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8"/>
        </w:rPr>
        <w:t>Documento de explicación de la infografía: Turismo en Guatemala 2009–2026</w:t>
      </w:r>
    </w:p>
    <w:p>
      <w:r>
        <w:t>Universidad del Valle de Guatemala · CC3084 Data Science · Laboratorio 9. Autores: David Dominguez (23712), Gabriel Bran (23590) y Luis Padilla (23663).</w:t>
      </w:r>
    </w:p>
    <w:p>
      <w:pPr>
        <w:pStyle w:val="Heading1"/>
      </w:pPr>
      <w:r>
        <w:t>Propósito y audiencia</w:t>
      </w:r>
    </w:p>
    <w:p>
      <w:r>
        <w:t>La infografía sintetiza el análisis del Laboratorio 1 (series de tiempo de viajeros internacionales a Guatemala, Base de Migración 2009–junio 2026, INGUAT/IGM) para un directivo que no es estadístico. Responde a la pregunta: ¿qué nos enseñan 17 años de datos migratorios sobre el turismo en Guatemala y qué debemos anticipar hacia el futuro? No se hizo un análisis nuevo: toda cifra proviene del notebook del Laboratorio 1 o de un cálculo directo sobre los CSV, con la misma partición temporal (entrenamiento de enero 2009 a marzo 2021, 147 meses; prueba de abril 2021 a junio 2026, 63 meses).</w:t>
      </w:r>
    </w:p>
    <w:p>
      <w:pPr>
        <w:pStyle w:val="Heading1"/>
      </w:pPr>
      <w:r>
        <w:t>Titular y mensaje central</w:t>
      </w:r>
    </w:p>
    <w:p>
      <w:r>
        <w:t>El titular es "Guatemala 2009–2026: crecimos 120%, el COVID nos borró 74% en un año y aún no recuperamos el nivel de 2019". Se escribió en forma de historia en tres tiempos (crecimiento, caída, recuperación incompleta) para que el lector entienda el mensaje antes de ver cualquier gráfico, y se evitaron nombres genéricos como "Laboratorio 1" o "Series de tiempo". Las cifras salen de los CSV (Turista + Excursionista): 1.88 M de viajeros en 2009, 4.13 M en 2019, 1.06 M en 2020 (−74.4%) y 3.35 M en 2025, que equivale al 81% de 2019.</w:t>
      </w:r>
    </w:p>
    <w:p>
      <w:pPr>
        <w:pStyle w:val="Heading1"/>
      </w:pPr>
      <w:r>
        <w:t>Orden narrativo</w:t>
      </w:r>
    </w:p>
    <w:p>
      <w:r>
        <w:t>La lectura es vertical, de arriba hacia abajo, siguiendo el hilo contexto, patrón, predicción y acción. El orden se eligió así por las razones siguientes.</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rPr>
          <w:cantSplit w:val="true"/>
          <w:tblHeader w:val="true"/>
        </w:trPr>
        <w:tc>
          <w:tcPr>
            <w:tcW w:type="dxa" w:w="792"/>
            <w:shd w:val="clear" w:color="auto" w:fill="E7E6E6"/>
          </w:tcPr>
          <w:p>
            <w:pPr>
              <w:spacing w:after="40"/>
            </w:pPr>
            <w:r/>
            <w:r>
              <w:rPr>
                <w:rFonts w:ascii="Calibri" w:hAnsi="Calibri"/>
                <w:b/>
                <w:sz w:val="20"/>
              </w:rPr>
              <w:t>Orden</w:t>
            </w:r>
          </w:p>
        </w:tc>
        <w:tc>
          <w:tcPr>
            <w:tcW w:type="dxa" w:w="2304"/>
            <w:shd w:val="clear" w:color="auto" w:fill="E7E6E6"/>
          </w:tcPr>
          <w:p>
            <w:pPr>
              <w:spacing w:after="40"/>
            </w:pPr>
            <w:r/>
            <w:r>
              <w:rPr>
                <w:rFonts w:ascii="Calibri" w:hAnsi="Calibri"/>
                <w:b/>
                <w:sz w:val="20"/>
              </w:rPr>
              <w:t>Bloque</w:t>
            </w:r>
          </w:p>
        </w:tc>
        <w:tc>
          <w:tcPr>
            <w:tcW w:type="dxa" w:w="2448"/>
            <w:shd w:val="clear" w:color="auto" w:fill="E7E6E6"/>
          </w:tcPr>
          <w:p>
            <w:pPr>
              <w:spacing w:after="40"/>
            </w:pPr>
            <w:r/>
            <w:r>
              <w:rPr>
                <w:rFonts w:ascii="Calibri" w:hAnsi="Calibri"/>
                <w:b/>
                <w:sz w:val="20"/>
              </w:rPr>
              <w:t>Pregunta que responde</w:t>
            </w:r>
          </w:p>
        </w:tc>
        <w:tc>
          <w:tcPr>
            <w:tcW w:type="dxa" w:w="3816"/>
            <w:shd w:val="clear" w:color="auto" w:fill="E7E6E6"/>
          </w:tcPr>
          <w:p>
            <w:pPr>
              <w:spacing w:after="40"/>
            </w:pPr>
            <w:r/>
            <w:r>
              <w:rPr>
                <w:rFonts w:ascii="Calibri" w:hAnsi="Calibri"/>
                <w:b/>
                <w:sz w:val="20"/>
              </w:rPr>
              <w:t>Por qué va en esa posición</w:t>
            </w:r>
          </w:p>
        </w:tc>
      </w:tr>
      <w:tr>
        <w:trPr>
          <w:cantSplit w:val="true"/>
        </w:trPr>
        <w:tc>
          <w:tcPr>
            <w:tcW w:type="dxa" w:w="792"/>
          </w:tcPr>
          <w:p>
            <w:pPr>
              <w:spacing w:after="40"/>
            </w:pPr>
            <w:r/>
            <w:r>
              <w:rPr>
                <w:rFonts w:ascii="Calibri" w:hAnsi="Calibri"/>
                <w:sz w:val="20"/>
              </w:rPr>
              <w:t>1</w:t>
            </w:r>
          </w:p>
        </w:tc>
        <w:tc>
          <w:tcPr>
            <w:tcW w:type="dxa" w:w="2304"/>
          </w:tcPr>
          <w:p>
            <w:pPr>
              <w:spacing w:after="40"/>
            </w:pPr>
            <w:r/>
            <w:r>
              <w:rPr>
                <w:rFonts w:ascii="Calibri" w:hAnsi="Calibri"/>
                <w:sz w:val="20"/>
              </w:rPr>
              <w:t>Titular y 4 KPI</w:t>
            </w:r>
          </w:p>
        </w:tc>
        <w:tc>
          <w:tcPr>
            <w:tcW w:type="dxa" w:w="2448"/>
          </w:tcPr>
          <w:p>
            <w:pPr>
              <w:spacing w:after="40"/>
            </w:pPr>
            <w:r/>
            <w:r>
              <w:rPr>
                <w:rFonts w:ascii="Calibri" w:hAnsi="Calibri"/>
                <w:sz w:val="20"/>
              </w:rPr>
              <w:t>¿Qué pasó, en una mirada?</w:t>
            </w:r>
          </w:p>
        </w:tc>
        <w:tc>
          <w:tcPr>
            <w:tcW w:type="dxa" w:w="3816"/>
          </w:tcPr>
          <w:p>
            <w:pPr>
              <w:spacing w:after="40"/>
            </w:pPr>
            <w:r/>
            <w:r>
              <w:rPr>
                <w:rFonts w:ascii="Calibri" w:hAnsi="Calibri"/>
                <w:sz w:val="20"/>
              </w:rPr>
              <w:t>El gancho numérico fija el mensaje antes del detalle y tiene el mayor peso visual.</w:t>
            </w:r>
          </w:p>
        </w:tc>
      </w:tr>
      <w:tr>
        <w:trPr>
          <w:cantSplit w:val="true"/>
        </w:trPr>
        <w:tc>
          <w:tcPr>
            <w:tcW w:type="dxa" w:w="792"/>
          </w:tcPr>
          <w:p>
            <w:pPr>
              <w:spacing w:after="40"/>
            </w:pPr>
            <w:r/>
            <w:r>
              <w:rPr>
                <w:rFonts w:ascii="Calibri" w:hAnsi="Calibri"/>
                <w:sz w:val="20"/>
              </w:rPr>
              <w:t>2</w:t>
            </w:r>
          </w:p>
        </w:tc>
        <w:tc>
          <w:tcPr>
            <w:tcW w:type="dxa" w:w="2304"/>
          </w:tcPr>
          <w:p>
            <w:pPr>
              <w:spacing w:after="40"/>
            </w:pPr>
            <w:r/>
            <w:r>
              <w:rPr>
                <w:rFonts w:ascii="Calibri" w:hAnsi="Calibri"/>
                <w:sz w:val="20"/>
              </w:rPr>
              <w:t>Panorama 2009–2026</w:t>
            </w:r>
          </w:p>
        </w:tc>
        <w:tc>
          <w:tcPr>
            <w:tcW w:type="dxa" w:w="2448"/>
          </w:tcPr>
          <w:p>
            <w:pPr>
              <w:spacing w:after="40"/>
            </w:pPr>
            <w:r/>
            <w:r>
              <w:rPr>
                <w:rFonts w:ascii="Calibri" w:hAnsi="Calibri"/>
                <w:sz w:val="20"/>
              </w:rPr>
              <w:t>¿Cuál es la historia?</w:t>
            </w:r>
          </w:p>
        </w:tc>
        <w:tc>
          <w:tcPr>
            <w:tcW w:type="dxa" w:w="3816"/>
          </w:tcPr>
          <w:p>
            <w:pPr>
              <w:spacing w:after="40"/>
            </w:pPr>
            <w:r/>
            <w:r>
              <w:rPr>
                <w:rFonts w:ascii="Calibri" w:hAnsi="Calibri"/>
                <w:sz w:val="20"/>
              </w:rPr>
              <w:t>Hay que ver el crecimiento, el quiebre y la recuperación antes de entender los patrones.</w:t>
            </w:r>
          </w:p>
        </w:tc>
      </w:tr>
      <w:tr>
        <w:trPr>
          <w:cantSplit w:val="true"/>
        </w:trPr>
        <w:tc>
          <w:tcPr>
            <w:tcW w:type="dxa" w:w="792"/>
          </w:tcPr>
          <w:p>
            <w:pPr>
              <w:spacing w:after="40"/>
            </w:pPr>
            <w:r/>
            <w:r>
              <w:rPr>
                <w:rFonts w:ascii="Calibri" w:hAnsi="Calibri"/>
                <w:sz w:val="20"/>
              </w:rPr>
              <w:t>3</w:t>
            </w:r>
          </w:p>
        </w:tc>
        <w:tc>
          <w:tcPr>
            <w:tcW w:type="dxa" w:w="2304"/>
          </w:tcPr>
          <w:p>
            <w:pPr>
              <w:spacing w:after="40"/>
            </w:pPr>
            <w:r/>
            <w:r>
              <w:rPr>
                <w:rFonts w:ascii="Calibri" w:hAnsi="Calibri"/>
                <w:sz w:val="20"/>
              </w:rPr>
              <w:t>Estacionalidad, vías, mercados y cuadrante</w:t>
            </w:r>
          </w:p>
        </w:tc>
        <w:tc>
          <w:tcPr>
            <w:tcW w:type="dxa" w:w="2448"/>
          </w:tcPr>
          <w:p>
            <w:pPr>
              <w:spacing w:after="40"/>
            </w:pPr>
            <w:r/>
            <w:r>
              <w:rPr>
                <w:rFonts w:ascii="Calibri" w:hAnsi="Calibri"/>
                <w:sz w:val="20"/>
              </w:rPr>
              <w:t>¿Cuándo y por dónde llegan?</w:t>
            </w:r>
          </w:p>
        </w:tc>
        <w:tc>
          <w:tcPr>
            <w:tcW w:type="dxa" w:w="3816"/>
          </w:tcPr>
          <w:p>
            <w:pPr>
              <w:spacing w:after="40"/>
            </w:pPr>
            <w:r/>
            <w:r>
              <w:rPr>
                <w:rFonts w:ascii="Calibri" w:hAnsi="Calibri"/>
                <w:sz w:val="20"/>
              </w:rPr>
              <w:t>Con la historia clara, se explican los ciclos y los canales, base de la planificación.</w:t>
            </w:r>
          </w:p>
        </w:tc>
      </w:tr>
      <w:tr>
        <w:trPr>
          <w:cantSplit w:val="true"/>
        </w:trPr>
        <w:tc>
          <w:tcPr>
            <w:tcW w:type="dxa" w:w="792"/>
          </w:tcPr>
          <w:p>
            <w:pPr>
              <w:spacing w:after="40"/>
            </w:pPr>
            <w:r/>
            <w:r>
              <w:rPr>
                <w:rFonts w:ascii="Calibri" w:hAnsi="Calibri"/>
                <w:sz w:val="20"/>
              </w:rPr>
              <w:t>4</w:t>
            </w:r>
          </w:p>
        </w:tc>
        <w:tc>
          <w:tcPr>
            <w:tcW w:type="dxa" w:w="2304"/>
          </w:tcPr>
          <w:p>
            <w:pPr>
              <w:spacing w:after="40"/>
            </w:pPr>
            <w:r/>
            <w:r>
              <w:rPr>
                <w:rFonts w:ascii="Calibri" w:hAnsi="Calibri"/>
                <w:sz w:val="20"/>
              </w:rPr>
              <w:t>Modelos y pronóstico</w:t>
            </w:r>
          </w:p>
        </w:tc>
        <w:tc>
          <w:tcPr>
            <w:tcW w:type="dxa" w:w="2448"/>
          </w:tcPr>
          <w:p>
            <w:pPr>
              <w:spacing w:after="40"/>
            </w:pPr>
            <w:r/>
            <w:r>
              <w:rPr>
                <w:rFonts w:ascii="Calibri" w:hAnsi="Calibri"/>
                <w:sz w:val="20"/>
              </w:rPr>
              <w:t>¿Qué esperar?</w:t>
            </w:r>
          </w:p>
        </w:tc>
        <w:tc>
          <w:tcPr>
            <w:tcW w:type="dxa" w:w="3816"/>
          </w:tcPr>
          <w:p>
            <w:pPr>
              <w:spacing w:after="40"/>
            </w:pPr>
            <w:r/>
            <w:r>
              <w:rPr>
                <w:rFonts w:ascii="Calibri" w:hAnsi="Calibri"/>
                <w:sz w:val="20"/>
              </w:rPr>
              <w:t>Solo se puede confiar en un pronóstico después de conocer el patrón; se muestra con su incertidumbre.</w:t>
            </w:r>
          </w:p>
        </w:tc>
      </w:tr>
      <w:tr>
        <w:trPr>
          <w:cantSplit w:val="true"/>
        </w:trPr>
        <w:tc>
          <w:tcPr>
            <w:tcW w:type="dxa" w:w="792"/>
          </w:tcPr>
          <w:p>
            <w:pPr>
              <w:spacing w:after="40"/>
            </w:pPr>
            <w:r/>
            <w:r>
              <w:rPr>
                <w:rFonts w:ascii="Calibri" w:hAnsi="Calibri"/>
                <w:sz w:val="20"/>
              </w:rPr>
              <w:t>5</w:t>
            </w:r>
          </w:p>
        </w:tc>
        <w:tc>
          <w:tcPr>
            <w:tcW w:type="dxa" w:w="2304"/>
          </w:tcPr>
          <w:p>
            <w:pPr>
              <w:spacing w:after="40"/>
            </w:pPr>
            <w:r/>
            <w:r>
              <w:rPr>
                <w:rFonts w:ascii="Calibri" w:hAnsi="Calibri"/>
                <w:sz w:val="20"/>
              </w:rPr>
              <w:t>Recomendaciones y fuentes</w:t>
            </w:r>
          </w:p>
        </w:tc>
        <w:tc>
          <w:tcPr>
            <w:tcW w:type="dxa" w:w="2448"/>
          </w:tcPr>
          <w:p>
            <w:pPr>
              <w:spacing w:after="40"/>
            </w:pPr>
            <w:r/>
            <w:r>
              <w:rPr>
                <w:rFonts w:ascii="Calibri" w:hAnsi="Calibri"/>
                <w:sz w:val="20"/>
              </w:rPr>
              <w:t>¿Qué hacemos?</w:t>
            </w:r>
          </w:p>
        </w:tc>
        <w:tc>
          <w:tcPr>
            <w:tcW w:type="dxa" w:w="3816"/>
          </w:tcPr>
          <w:p>
            <w:pPr>
              <w:spacing w:after="40"/>
            </w:pPr>
            <w:r/>
            <w:r>
              <w:rPr>
                <w:rFonts w:ascii="Calibri" w:hAnsi="Calibri"/>
                <w:sz w:val="20"/>
              </w:rPr>
              <w:t>Cierra con acciones que se derivan de la evidencia anterior; el pie da credibilidad.</w:t>
            </w:r>
          </w:p>
        </w:tc>
      </w:tr>
    </w:tbl>
    <w:p>
      <w:pPr>
        <w:spacing w:after="40"/>
      </w:pPr>
    </w:p>
    <w:p>
      <w:pPr>
        <w:pStyle w:val="Heading1"/>
      </w:pPr>
      <w:r>
        <w:t>Elección de gráficos según el tipo de dato</w:t>
      </w:r>
    </w:p>
    <w:p>
      <w:pPr>
        <w:pStyle w:val="ListBullet"/>
        <w:spacing w:after="40"/>
      </w:pPr>
      <w:r>
        <w:rPr>
          <w:b/>
        </w:rPr>
        <w:t>Tarjetas de KPI:</w:t>
      </w:r>
      <w:r>
        <w:t xml:space="preserve"> cifras puntuales (4.13 M, +120%, −74%, 81%). Un número aislado se lee mejor en grande que dentro de un gráfico. Las dos últimas, que hablan de la crisis, usan el color de acento.</w:t>
      </w:r>
    </w:p>
    <w:p>
      <w:pPr>
        <w:pStyle w:val="ListBullet"/>
        <w:spacing w:after="40"/>
      </w:pPr>
      <w:r>
        <w:rPr>
          <w:b/>
        </w:rPr>
        <w:t>Línea del panorama histórico:</w:t>
      </w:r>
      <w:r>
        <w:t xml:space="preserve"> la serie mensual es continua, por lo que la línea es la codificación estándar. El eje vertical empieza en cero para que la caída del 74% se vea con su tamaño real. Se anotan directamente el pico de diciembre 2019 (449 mil), el cierre de fronteras de marzo 2020 con el mínimo de mayo 2020 (9,779 viajeros) y la reapertura de 2022, además del inicio del periodo de prueba.</w:t>
      </w:r>
    </w:p>
    <w:p>
      <w:pPr>
        <w:pStyle w:val="ListBullet"/>
        <w:spacing w:after="40"/>
      </w:pPr>
      <w:r>
        <w:rPr>
          <w:b/>
        </w:rPr>
        <w:t>Barras de estacionalidad:</w:t>
      </w:r>
      <w:r>
        <w:t xml:space="preserve"> la estacionalidad es una variable cíclica de 12 categorías, así que se usan barras con un índice (media del mes dividida por la media anual, 2010–2019), con una línea en 1.0 como referencia. Se calculó directamente desde los CSV. Diciembre es +33% sobre la media, con Semana Santa (marzo y abril) y julio por encima, y febrero y septiembre como valles.</w:t>
      </w:r>
    </w:p>
    <w:p>
      <w:pPr>
        <w:pStyle w:val="ListBullet"/>
        <w:spacing w:after="40"/>
      </w:pPr>
      <w:r>
        <w:rPr>
          <w:b/>
        </w:rPr>
        <w:t>Barras de vías y países:</w:t>
      </w:r>
      <w:r>
        <w:t xml:space="preserve"> son categorías con magnitud, por lo que se usan barras horizontales ordenadas y con valor al final, partiendo de cero. La vía terrestre suma 27.6 M, la aérea 19.0 M y la marítima 0.1 M (con nota, porque los cruceros se registran como "Cruceristas").</w:t>
      </w:r>
    </w:p>
    <w:p>
      <w:pPr>
        <w:pStyle w:val="ListBullet"/>
        <w:spacing w:after="40"/>
      </w:pPr>
      <w:r>
        <w:rPr>
          <w:b/>
        </w:rPr>
        <w:t>Cuadrante comparativo:</w:t>
      </w:r>
      <w:r>
        <w:t xml:space="preserve"> compara 8 series en 4 métricas, por lo que una tabla tipo mapa de calor muestra valores exactos y a la vez deja ver patrones por intensidad. La celda ganadora de cada columna va en el color de acento.</w:t>
      </w:r>
    </w:p>
    <w:p>
      <w:pPr>
        <w:pStyle w:val="ListBullet"/>
        <w:spacing w:after="40"/>
      </w:pPr>
      <w:r>
        <w:rPr>
          <w:b/>
        </w:rPr>
        <w:t>Barras de modelos:</w:t>
      </w:r>
      <w:r>
        <w:t xml:space="preserve"> son errores de cinco algoritmos sobre el mismo conjunto de prueba, en las mismas unidades (viajeros por mes). Se usan barras agrupadas de MAE y RMSE, ordenadas de mejor a peor.</w:t>
      </w:r>
    </w:p>
    <w:p>
      <w:pPr>
        <w:pStyle w:val="ListBullet"/>
        <w:spacing w:after="40"/>
      </w:pPr>
      <w:r>
        <w:rPr>
          <w:b/>
        </w:rPr>
        <w:t>Proyección del modelo ganador:</w:t>
      </w:r>
      <w:r>
        <w:t xml:space="preserve"> serie temporal con incertidumbre. Se dibujan lo observado, el pronóstico de Prophet y una banda sombreada del intervalo de confianza de 80%, rotulada "Estimación", para no sugerir que el pronóstico es un valor exacto.</w:t>
      </w:r>
    </w:p>
    <w:p>
      <w:pPr>
        <w:pStyle w:val="Heading1"/>
      </w:pPr>
      <w:r>
        <w:t>Paleta de color y teoría aplicada</w:t>
      </w:r>
    </w:p>
    <w:p>
      <w:r>
        <w:t>Se usan dos colores temáticos, un color de acento y neutros, y cada color mantiene el mismo significado en toda la pieza.</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rPr>
          <w:cantSplit w:val="true"/>
          <w:tblHeader w:val="true"/>
        </w:trPr>
        <w:tc>
          <w:tcPr>
            <w:tcW w:type="dxa" w:w="1296"/>
            <w:shd w:val="clear" w:color="auto" w:fill="E7E6E6"/>
          </w:tcPr>
          <w:p>
            <w:pPr>
              <w:spacing w:after="40"/>
            </w:pPr>
            <w:r/>
            <w:r>
              <w:rPr>
                <w:rFonts w:ascii="Calibri" w:hAnsi="Calibri"/>
                <w:b/>
                <w:sz w:val="20"/>
              </w:rPr>
              <w:t>Rol</w:t>
            </w:r>
          </w:p>
        </w:tc>
        <w:tc>
          <w:tcPr>
            <w:tcW w:type="dxa" w:w="2160"/>
            <w:shd w:val="clear" w:color="auto" w:fill="E7E6E6"/>
          </w:tcPr>
          <w:p>
            <w:pPr>
              <w:spacing w:after="40"/>
            </w:pPr>
            <w:r/>
            <w:r>
              <w:rPr>
                <w:rFonts w:ascii="Calibri" w:hAnsi="Calibri"/>
                <w:b/>
                <w:sz w:val="20"/>
              </w:rPr>
              <w:t>Color</w:t>
            </w:r>
          </w:p>
        </w:tc>
        <w:tc>
          <w:tcPr>
            <w:tcW w:type="dxa" w:w="2592"/>
            <w:shd w:val="clear" w:color="auto" w:fill="E7E6E6"/>
          </w:tcPr>
          <w:p>
            <w:pPr>
              <w:spacing w:after="40"/>
            </w:pPr>
            <w:r/>
            <w:r>
              <w:rPr>
                <w:rFonts w:ascii="Calibri" w:hAnsi="Calibri"/>
                <w:b/>
                <w:sz w:val="20"/>
              </w:rPr>
              <w:t>Uso</w:t>
            </w:r>
          </w:p>
        </w:tc>
        <w:tc>
          <w:tcPr>
            <w:tcW w:type="dxa" w:w="3312"/>
            <w:shd w:val="clear" w:color="auto" w:fill="E7E6E6"/>
          </w:tcPr>
          <w:p>
            <w:pPr>
              <w:spacing w:after="40"/>
            </w:pPr>
            <w:r/>
            <w:r>
              <w:rPr>
                <w:rFonts w:ascii="Calibri" w:hAnsi="Calibri"/>
                <w:b/>
                <w:sz w:val="20"/>
              </w:rPr>
              <w:t>Fundamento</w:t>
            </w:r>
          </w:p>
        </w:tc>
      </w:tr>
      <w:tr>
        <w:trPr>
          <w:cantSplit w:val="true"/>
        </w:trPr>
        <w:tc>
          <w:tcPr>
            <w:tcW w:type="dxa" w:w="1296"/>
          </w:tcPr>
          <w:p>
            <w:pPr>
              <w:spacing w:after="40"/>
            </w:pPr>
            <w:r/>
            <w:r>
              <w:rPr>
                <w:rFonts w:ascii="Calibri" w:hAnsi="Calibri"/>
                <w:sz w:val="20"/>
              </w:rPr>
              <w:t>Principal</w:t>
            </w:r>
          </w:p>
        </w:tc>
        <w:tc>
          <w:tcPr>
            <w:tcW w:type="dxa" w:w="2160"/>
          </w:tcPr>
          <w:p>
            <w:pPr>
              <w:spacing w:after="40"/>
            </w:pPr>
            <w:r/>
            <w:r>
              <w:rPr>
                <w:rFonts w:ascii="Calibri" w:hAnsi="Calibri"/>
                <w:sz w:val="20"/>
              </w:rPr>
              <w:t>Azul marino #1F3A5F</w:t>
            </w:r>
          </w:p>
        </w:tc>
        <w:tc>
          <w:tcPr>
            <w:tcW w:type="dxa" w:w="2592"/>
          </w:tcPr>
          <w:p>
            <w:pPr>
              <w:spacing w:after="40"/>
            </w:pPr>
            <w:r/>
            <w:r>
              <w:rPr>
                <w:rFonts w:ascii="Calibri" w:hAnsi="Calibri"/>
                <w:sz w:val="20"/>
              </w:rPr>
              <w:t>Datos observados, títulos y encabezado</w:t>
            </w:r>
          </w:p>
        </w:tc>
        <w:tc>
          <w:tcPr>
            <w:tcW w:type="dxa" w:w="3312"/>
          </w:tcPr>
          <w:p>
            <w:pPr>
              <w:spacing w:after="40"/>
            </w:pPr>
            <w:r/>
            <w:r>
              <w:rPr>
                <w:rFonts w:ascii="Calibri" w:hAnsi="Calibri"/>
                <w:sz w:val="20"/>
              </w:rPr>
              <w:t>Los azules transmiten confianza e institucionalidad, adecuados para una entidad pública y para lo que ya ocurrió.</w:t>
            </w:r>
          </w:p>
        </w:tc>
      </w:tr>
      <w:tr>
        <w:trPr>
          <w:cantSplit w:val="true"/>
        </w:trPr>
        <w:tc>
          <w:tcPr>
            <w:tcW w:type="dxa" w:w="1296"/>
          </w:tcPr>
          <w:p>
            <w:pPr>
              <w:spacing w:after="40"/>
            </w:pPr>
            <w:r/>
            <w:r>
              <w:rPr>
                <w:rFonts w:ascii="Calibri" w:hAnsi="Calibri"/>
                <w:sz w:val="20"/>
              </w:rPr>
              <w:t>Secundario</w:t>
            </w:r>
          </w:p>
        </w:tc>
        <w:tc>
          <w:tcPr>
            <w:tcW w:type="dxa" w:w="2160"/>
          </w:tcPr>
          <w:p>
            <w:pPr>
              <w:spacing w:after="40"/>
            </w:pPr>
            <w:r/>
            <w:r>
              <w:rPr>
                <w:rFonts w:ascii="Calibri" w:hAnsi="Calibri"/>
                <w:sz w:val="20"/>
              </w:rPr>
              <w:t>Verde azulado #2A9D8F</w:t>
            </w:r>
          </w:p>
        </w:tc>
        <w:tc>
          <w:tcPr>
            <w:tcW w:type="dxa" w:w="2592"/>
          </w:tcPr>
          <w:p>
            <w:pPr>
              <w:spacing w:after="40"/>
            </w:pPr>
            <w:r/>
            <w:r>
              <w:rPr>
                <w:rFonts w:ascii="Calibri" w:hAnsi="Calibri"/>
                <w:sz w:val="20"/>
              </w:rPr>
              <w:t>Estacionalidad, mercados y tintes del cuadrante</w:t>
            </w:r>
          </w:p>
        </w:tc>
        <w:tc>
          <w:tcPr>
            <w:tcW w:type="dxa" w:w="3312"/>
          </w:tcPr>
          <w:p>
            <w:pPr>
              <w:spacing w:after="40"/>
            </w:pPr>
            <w:r/>
            <w:r>
              <w:rPr>
                <w:rFonts w:ascii="Calibri" w:hAnsi="Calibri"/>
                <w:sz w:val="20"/>
              </w:rPr>
              <w:t>Es un color análogo al azul: armoniza sin competir y se asocia con turismo y naturaleza.</w:t>
            </w:r>
          </w:p>
        </w:tc>
      </w:tr>
      <w:tr>
        <w:trPr>
          <w:cantSplit w:val="true"/>
        </w:trPr>
        <w:tc>
          <w:tcPr>
            <w:tcW w:type="dxa" w:w="1296"/>
          </w:tcPr>
          <w:p>
            <w:pPr>
              <w:spacing w:after="40"/>
            </w:pPr>
            <w:r/>
            <w:r>
              <w:rPr>
                <w:rFonts w:ascii="Calibri" w:hAnsi="Calibri"/>
                <w:sz w:val="20"/>
              </w:rPr>
              <w:t>Acento</w:t>
            </w:r>
          </w:p>
        </w:tc>
        <w:tc>
          <w:tcPr>
            <w:tcW w:type="dxa" w:w="2160"/>
          </w:tcPr>
          <w:p>
            <w:pPr>
              <w:spacing w:after="40"/>
            </w:pPr>
            <w:r/>
            <w:r>
              <w:rPr>
                <w:rFonts w:ascii="Calibri" w:hAnsi="Calibri"/>
                <w:sz w:val="20"/>
              </w:rPr>
              <w:t>Naranja #C2410C</w:t>
            </w:r>
          </w:p>
        </w:tc>
        <w:tc>
          <w:tcPr>
            <w:tcW w:type="dxa" w:w="2592"/>
          </w:tcPr>
          <w:p>
            <w:pPr>
              <w:spacing w:after="40"/>
            </w:pPr>
            <w:r/>
            <w:r>
              <w:rPr>
                <w:rFonts w:ascii="Calibri" w:hAnsi="Calibri"/>
                <w:sz w:val="20"/>
              </w:rPr>
              <w:t>Pandemia, pronóstico (Estimación) y ganador del cuadrante</w:t>
            </w:r>
          </w:p>
        </w:tc>
        <w:tc>
          <w:tcPr>
            <w:tcW w:type="dxa" w:w="3312"/>
          </w:tcPr>
          <w:p>
            <w:pPr>
              <w:spacing w:after="40"/>
            </w:pPr>
            <w:r/>
            <w:r>
              <w:rPr>
                <w:rFonts w:ascii="Calibri" w:hAnsi="Calibri"/>
                <w:sz w:val="20"/>
              </w:rPr>
              <w:t>Es complementario del azul, así que da el máximo contraste. Se usa poco para que atraiga la mirada a lo importante.</w:t>
            </w:r>
          </w:p>
        </w:tc>
      </w:tr>
      <w:tr>
        <w:trPr>
          <w:cantSplit w:val="true"/>
        </w:trPr>
        <w:tc>
          <w:tcPr>
            <w:tcW w:type="dxa" w:w="1296"/>
          </w:tcPr>
          <w:p>
            <w:pPr>
              <w:spacing w:after="40"/>
            </w:pPr>
            <w:r/>
            <w:r>
              <w:rPr>
                <w:rFonts w:ascii="Calibri" w:hAnsi="Calibri"/>
                <w:sz w:val="20"/>
              </w:rPr>
              <w:t>Neutros</w:t>
            </w:r>
          </w:p>
        </w:tc>
        <w:tc>
          <w:tcPr>
            <w:tcW w:type="dxa" w:w="2160"/>
          </w:tcPr>
          <w:p>
            <w:pPr>
              <w:spacing w:after="40"/>
            </w:pPr>
            <w:r/>
            <w:r>
              <w:rPr>
                <w:rFonts w:ascii="Calibri" w:hAnsi="Calibri"/>
                <w:sz w:val="20"/>
              </w:rPr>
              <w:t>Grises y fondo #FAFAF7</w:t>
            </w:r>
          </w:p>
        </w:tc>
        <w:tc>
          <w:tcPr>
            <w:tcW w:type="dxa" w:w="2592"/>
          </w:tcPr>
          <w:p>
            <w:pPr>
              <w:spacing w:after="40"/>
            </w:pPr>
            <w:r/>
            <w:r>
              <w:rPr>
                <w:rFonts w:ascii="Calibri" w:hAnsi="Calibri"/>
                <w:sz w:val="20"/>
              </w:rPr>
              <w:t>Texto secundario, rejillas y fondo</w:t>
            </w:r>
          </w:p>
        </w:tc>
        <w:tc>
          <w:tcPr>
            <w:tcW w:type="dxa" w:w="3312"/>
          </w:tcPr>
          <w:p>
            <w:pPr>
              <w:spacing w:after="40"/>
            </w:pPr>
            <w:r/>
            <w:r>
              <w:rPr>
                <w:rFonts w:ascii="Calibri" w:hAnsi="Calibri"/>
                <w:sz w:val="20"/>
              </w:rPr>
              <w:t>Reducen el ruido y aseguran la legibilidad en pantalla.</w:t>
            </w:r>
          </w:p>
        </w:tc>
      </w:tr>
    </w:tbl>
    <w:p>
      <w:pPr>
        <w:spacing w:after="40"/>
      </w:pPr>
    </w:p>
    <w:p>
      <w:pPr>
        <w:keepNext/>
        <w:spacing w:after="40"/>
      </w:pPr>
      <w:r>
        <w:rPr>
          <w:b/>
        </w:rPr>
        <w:t>Accesibilidad</w:t>
      </w:r>
    </w:p>
    <w:p>
      <w:pPr>
        <w:pStyle w:val="ListBullet"/>
        <w:spacing w:after="40"/>
      </w:pPr>
      <w:r>
        <w:t>Se calculó el contraste de cada combinación de texto y fondo. El texto principal tiene 15:1 y el blanco sobre azul 11.5:1. Un primer naranja (#D9480F) daba 4.1:1 en texto pequeño, por lo que se oscureció a #C2410C. Las etiquetas pequeñas en verde azulado (3.2:1) y la leyenda de RMSE (3.0:1) pasaron a versiones más oscuras para llegar al mínimo de 4.5:1. Las barras conservan el verde original.</w:t>
      </w:r>
    </w:p>
    <w:p>
      <w:pPr>
        <w:pStyle w:val="ListBullet"/>
        <w:spacing w:after="40"/>
      </w:pPr>
      <w:r>
        <w:t>Con daltonismo rojo-verde, el naranja y el verde azulado se parecen. Por eso nunca son el único diferenciador: hay etiquetas directas ("Dic: +33%", "Estimación") y las celdas ganadoras del cuadrante son naranja sólido con texto blanco, frente a celdas verdes muy pálidas.</w:t>
      </w:r>
    </w:p>
    <w:p>
      <w:pPr>
        <w:pStyle w:val="ListBullet"/>
        <w:spacing w:after="40"/>
      </w:pPr>
      <w:r>
        <w:t>No hay arcoíris, degradados, sombras ni 3D; las etiquetas van directamente sobre los puntos clave, sin leyendas lejanas.</w:t>
      </w:r>
    </w:p>
    <w:p>
      <w:pPr>
        <w:pStyle w:val="Heading1"/>
      </w:pPr>
      <w:r>
        <w:t>Cifras del Laboratorio 1 que se usan</w:t>
      </w:r>
    </w:p>
    <w:p>
      <w:pPr>
        <w:keepNext/>
        <w:spacing w:after="40"/>
      </w:pPr>
      <w:r>
        <w:rPr>
          <w:b/>
        </w:rPr>
        <w:t>Desempeño de los modelos en la prueba (viajeros por mes)</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rPr>
          <w:cantSplit w:val="true"/>
          <w:tblHeader w:val="true"/>
        </w:trPr>
        <w:tc>
          <w:tcPr>
            <w:tcW w:type="dxa" w:w="4608"/>
            <w:shd w:val="clear" w:color="auto" w:fill="E7E6E6"/>
          </w:tcPr>
          <w:p>
            <w:pPr>
              <w:spacing w:after="40"/>
            </w:pPr>
            <w:r/>
            <w:r>
              <w:rPr>
                <w:rFonts w:ascii="Calibri" w:hAnsi="Calibri"/>
                <w:b/>
                <w:sz w:val="20"/>
              </w:rPr>
              <w:t>Modelo</w:t>
            </w:r>
          </w:p>
        </w:tc>
        <w:tc>
          <w:tcPr>
            <w:tcW w:type="dxa" w:w="2016"/>
            <w:shd w:val="clear" w:color="auto" w:fill="E7E6E6"/>
          </w:tcPr>
          <w:p>
            <w:pPr>
              <w:spacing w:after="40"/>
            </w:pPr>
            <w:r/>
            <w:r>
              <w:rPr>
                <w:rFonts w:ascii="Calibri" w:hAnsi="Calibri"/>
                <w:b/>
                <w:sz w:val="20"/>
              </w:rPr>
              <w:t>MAE</w:t>
            </w:r>
          </w:p>
        </w:tc>
        <w:tc>
          <w:tcPr>
            <w:tcW w:type="dxa" w:w="2016"/>
            <w:shd w:val="clear" w:color="auto" w:fill="E7E6E6"/>
          </w:tcPr>
          <w:p>
            <w:pPr>
              <w:spacing w:after="40"/>
            </w:pPr>
            <w:r/>
            <w:r>
              <w:rPr>
                <w:rFonts w:ascii="Calibri" w:hAnsi="Calibri"/>
                <w:b/>
                <w:sz w:val="20"/>
              </w:rPr>
              <w:t>RMSE</w:t>
            </w:r>
          </w:p>
        </w:tc>
      </w:tr>
      <w:tr>
        <w:trPr>
          <w:cantSplit w:val="true"/>
        </w:trPr>
        <w:tc>
          <w:tcPr>
            <w:tcW w:type="dxa" w:w="4608"/>
          </w:tcPr>
          <w:p>
            <w:pPr>
              <w:spacing w:after="40"/>
            </w:pPr>
            <w:r/>
            <w:r>
              <w:rPr>
                <w:rFonts w:ascii="Calibri" w:hAnsi="Calibri"/>
                <w:sz w:val="20"/>
              </w:rPr>
              <w:t>Prophet (ganador)</w:t>
            </w:r>
          </w:p>
        </w:tc>
        <w:tc>
          <w:tcPr>
            <w:tcW w:type="dxa" w:w="2016"/>
          </w:tcPr>
          <w:p>
            <w:pPr>
              <w:spacing w:after="40"/>
            </w:pPr>
            <w:r/>
            <w:r>
              <w:rPr>
                <w:rFonts w:ascii="Calibri" w:hAnsi="Calibri"/>
                <w:sz w:val="20"/>
              </w:rPr>
              <w:t>113,359</w:t>
            </w:r>
          </w:p>
        </w:tc>
        <w:tc>
          <w:tcPr>
            <w:tcW w:type="dxa" w:w="2016"/>
          </w:tcPr>
          <w:p>
            <w:pPr>
              <w:spacing w:after="40"/>
            </w:pPr>
            <w:r/>
            <w:r>
              <w:rPr>
                <w:rFonts w:ascii="Calibri" w:hAnsi="Calibri"/>
                <w:sz w:val="20"/>
              </w:rPr>
              <w:t>119,739</w:t>
            </w:r>
          </w:p>
        </w:tc>
      </w:tr>
      <w:tr>
        <w:trPr>
          <w:cantSplit w:val="true"/>
        </w:trPr>
        <w:tc>
          <w:tcPr>
            <w:tcW w:type="dxa" w:w="4608"/>
          </w:tcPr>
          <w:p>
            <w:pPr>
              <w:spacing w:after="40"/>
            </w:pPr>
            <w:r/>
            <w:r>
              <w:rPr>
                <w:rFonts w:ascii="Calibri" w:hAnsi="Calibri"/>
                <w:sz w:val="20"/>
              </w:rPr>
              <w:t>Holt-Winters</w:t>
            </w:r>
          </w:p>
        </w:tc>
        <w:tc>
          <w:tcPr>
            <w:tcW w:type="dxa" w:w="2016"/>
          </w:tcPr>
          <w:p>
            <w:pPr>
              <w:spacing w:after="40"/>
            </w:pPr>
            <w:r/>
            <w:r>
              <w:rPr>
                <w:rFonts w:ascii="Calibri" w:hAnsi="Calibri"/>
                <w:sz w:val="20"/>
              </w:rPr>
              <w:t>134,375</w:t>
            </w:r>
          </w:p>
        </w:tc>
        <w:tc>
          <w:tcPr>
            <w:tcW w:type="dxa" w:w="2016"/>
          </w:tcPr>
          <w:p>
            <w:pPr>
              <w:spacing w:after="40"/>
            </w:pPr>
            <w:r/>
            <w:r>
              <w:rPr>
                <w:rFonts w:ascii="Calibri" w:hAnsi="Calibri"/>
                <w:sz w:val="20"/>
              </w:rPr>
              <w:t>146,606</w:t>
            </w:r>
          </w:p>
        </w:tc>
      </w:tr>
      <w:tr>
        <w:trPr>
          <w:cantSplit w:val="true"/>
        </w:trPr>
        <w:tc>
          <w:tcPr>
            <w:tcW w:type="dxa" w:w="4608"/>
          </w:tcPr>
          <w:p>
            <w:pPr>
              <w:spacing w:after="40"/>
            </w:pPr>
            <w:r/>
            <w:r>
              <w:rPr>
                <w:rFonts w:ascii="Calibri" w:hAnsi="Calibri"/>
                <w:sz w:val="20"/>
              </w:rPr>
              <w:t>Suavizamiento exponencial simple</w:t>
            </w:r>
          </w:p>
        </w:tc>
        <w:tc>
          <w:tcPr>
            <w:tcW w:type="dxa" w:w="2016"/>
          </w:tcPr>
          <w:p>
            <w:pPr>
              <w:spacing w:after="40"/>
            </w:pPr>
            <w:r/>
            <w:r>
              <w:rPr>
                <w:rFonts w:ascii="Calibri" w:hAnsi="Calibri"/>
                <w:sz w:val="20"/>
              </w:rPr>
              <w:t>165,372</w:t>
            </w:r>
          </w:p>
        </w:tc>
        <w:tc>
          <w:tcPr>
            <w:tcW w:type="dxa" w:w="2016"/>
          </w:tcPr>
          <w:p>
            <w:pPr>
              <w:spacing w:after="40"/>
            </w:pPr>
            <w:r/>
            <w:r>
              <w:rPr>
                <w:rFonts w:ascii="Calibri" w:hAnsi="Calibri"/>
                <w:sz w:val="20"/>
              </w:rPr>
              <w:t>180,598</w:t>
            </w:r>
          </w:p>
        </w:tc>
      </w:tr>
      <w:tr>
        <w:trPr>
          <w:cantSplit w:val="true"/>
        </w:trPr>
        <w:tc>
          <w:tcPr>
            <w:tcW w:type="dxa" w:w="4608"/>
          </w:tcPr>
          <w:p>
            <w:pPr>
              <w:spacing w:after="40"/>
            </w:pPr>
            <w:r/>
            <w:r>
              <w:rPr>
                <w:rFonts w:ascii="Calibri" w:hAnsi="Calibri"/>
                <w:sz w:val="20"/>
              </w:rPr>
              <w:t>Seasonal naive</w:t>
            </w:r>
          </w:p>
        </w:tc>
        <w:tc>
          <w:tcPr>
            <w:tcW w:type="dxa" w:w="2016"/>
          </w:tcPr>
          <w:p>
            <w:pPr>
              <w:spacing w:after="40"/>
            </w:pPr>
            <w:r/>
            <w:r>
              <w:rPr>
                <w:rFonts w:ascii="Calibri" w:hAnsi="Calibri"/>
                <w:sz w:val="20"/>
              </w:rPr>
              <w:t>207,322</w:t>
            </w:r>
          </w:p>
        </w:tc>
        <w:tc>
          <w:tcPr>
            <w:tcW w:type="dxa" w:w="2016"/>
          </w:tcPr>
          <w:p>
            <w:pPr>
              <w:spacing w:after="40"/>
            </w:pPr>
            <w:r/>
            <w:r>
              <w:rPr>
                <w:rFonts w:ascii="Calibri" w:hAnsi="Calibri"/>
                <w:sz w:val="20"/>
              </w:rPr>
              <w:t>219,664</w:t>
            </w:r>
          </w:p>
        </w:tc>
      </w:tr>
      <w:tr>
        <w:trPr>
          <w:cantSplit w:val="true"/>
        </w:trPr>
        <w:tc>
          <w:tcPr>
            <w:tcW w:type="dxa" w:w="4608"/>
          </w:tcPr>
          <w:p>
            <w:pPr>
              <w:spacing w:after="40"/>
            </w:pPr>
            <w:r/>
            <w:r>
              <w:rPr>
                <w:rFonts w:ascii="Calibri" w:hAnsi="Calibri"/>
                <w:sz w:val="20"/>
              </w:rPr>
              <w:t>SARIMA(2,1,0)(1,1,0)[12]</w:t>
            </w:r>
          </w:p>
        </w:tc>
        <w:tc>
          <w:tcPr>
            <w:tcW w:type="dxa" w:w="2016"/>
          </w:tcPr>
          <w:p>
            <w:pPr>
              <w:spacing w:after="40"/>
            </w:pPr>
            <w:r/>
            <w:r>
              <w:rPr>
                <w:rFonts w:ascii="Calibri" w:hAnsi="Calibri"/>
                <w:sz w:val="20"/>
              </w:rPr>
              <w:t>226,437</w:t>
            </w:r>
          </w:p>
        </w:tc>
        <w:tc>
          <w:tcPr>
            <w:tcW w:type="dxa" w:w="2016"/>
          </w:tcPr>
          <w:p>
            <w:pPr>
              <w:spacing w:after="40"/>
            </w:pPr>
            <w:r/>
            <w:r>
              <w:rPr>
                <w:rFonts w:ascii="Calibri" w:hAnsi="Calibri"/>
                <w:sz w:val="20"/>
              </w:rPr>
              <w:t>242,858</w:t>
            </w:r>
          </w:p>
        </w:tc>
      </w:tr>
    </w:tbl>
    <w:p>
      <w:pPr>
        <w:spacing w:after="40"/>
      </w:pPr>
    </w:p>
    <w:p>
      <w:pPr>
        <w:keepNext/>
        <w:spacing w:after="40"/>
      </w:pPr>
      <w:r>
        <w:rPr>
          <w:b/>
        </w:rPr>
        <w:t>Cuadrante comparativo (series de entrenamiento)</w:t>
      </w:r>
    </w:p>
    <w:p>
      <w:pPr>
        <w:pStyle w:val="ListBullet"/>
        <w:spacing w:after="40"/>
      </w:pPr>
      <w:r>
        <w:t>Mayor estacionalidad: Cruceristas (0.542) y, entre las vías, Marítima (0.395).</w:t>
      </w:r>
    </w:p>
    <w:p>
      <w:pPr>
        <w:pStyle w:val="ListBullet"/>
        <w:spacing w:after="40"/>
      </w:pPr>
      <w:r>
        <w:t>Mayor crecimiento anual antes de la pandemia: Viajero (22.84%, con salvedad de definición) y, entre las vías, Terrestre (12.35%).</w:t>
      </w:r>
    </w:p>
    <w:p>
      <w:pPr>
        <w:pStyle w:val="ListBullet"/>
        <w:spacing w:after="40"/>
      </w:pPr>
      <w:r>
        <w:t>Mayor volatilidad: Cruceristas (2.237) y, entre las vías, Marítima (1.547).</w:t>
      </w:r>
    </w:p>
    <w:p>
      <w:pPr>
        <w:pStyle w:val="ListBullet"/>
        <w:spacing w:after="40"/>
      </w:pPr>
      <w:r>
        <w:t>Más golpeada por la pandemia: Excursionista (−75.7%) y, entre las vías, Terrestre (−73.6%).</w:t>
      </w:r>
    </w:p>
    <w:p>
      <w:pPr>
        <w:pStyle w:val="Heading1"/>
      </w:pPr>
      <w:r>
        <w:t>Decisiones de fidelidad y limitaciones</w:t>
      </w:r>
    </w:p>
    <w:p>
      <w:pPr>
        <w:pStyle w:val="ListBullet"/>
        <w:spacing w:after="40"/>
      </w:pPr>
      <w:r>
        <w:rPr>
          <w:b/>
        </w:rPr>
        <w:t>Diferencia en Prophet:</w:t>
      </w:r>
      <w:r>
        <w:t xml:space="preserve"> al reejecutar el modelo, Prophet da MAE 112,852 y RMSE 119,203, contra 113,359 y 119,739 del notebook (diferencia de 0.4%; el ranking no cambia). La infografía muestra las cifras del notebook. La curva y la banda del pronóstico provienen de la reejecución, por lo que son prácticamente iguales, no idénticas, a las del notebook.</w:t>
      </w:r>
    </w:p>
    <w:p>
      <w:pPr>
        <w:pStyle w:val="ListBullet"/>
        <w:spacing w:after="40"/>
      </w:pPr>
      <w:r>
        <w:rPr>
          <w:b/>
        </w:rPr>
        <w:t>Recuperación posterior a la pandemia:</w:t>
      </w:r>
      <w:r>
        <w:t xml:space="preserve"> el notebook afirma que el total volvió a niveles cercanos a 2019. Con los CSV, 2025 está 19% por debajo de 2019 y enero–junio de 2026 (1.58 M) está 3% por debajo de enero–junio de 2025. La infografía usa la cifra de los CSV y la presenta como recuperación incompleta.</w:t>
      </w:r>
    </w:p>
    <w:p>
      <w:pPr>
        <w:pStyle w:val="ListBullet"/>
        <w:spacing w:after="40"/>
      </w:pPr>
      <w:r>
        <w:rPr>
          <w:b/>
        </w:rPr>
        <w:t>Alcance del intervalo:</w:t>
      </w:r>
      <w:r>
        <w:t xml:space="preserve"> la banda de 80% solo contiene el 21% de los meses reales de prueba, porque los modelos se entrenaron con datos hasta marzo de 2021 y no vieron la reapertura. Se dice de forma explícita en la infografía y se pide usar el pronóstico como referencia.</w:t>
      </w:r>
    </w:p>
    <w:p>
      <w:pPr>
        <w:pStyle w:val="ListBullet"/>
        <w:spacing w:after="40"/>
      </w:pPr>
      <w:r>
        <w:rPr>
          <w:b/>
        </w:rPr>
        <w:t>Cambio de definición:</w:t>
      </w:r>
      <w:r>
        <w:t xml:space="preserve"> la categoría "Viajero" cambió de definición entre 2022 y 2023 y "Cruceristas" dejó de reportarse. La serie principal usa Turista + Excursionista, y las cifras de esas dos categorías llevan un asterisco con la aclaración.</w:t>
      </w:r>
    </w:p>
    <w:p>
      <w:pPr>
        <w:pStyle w:val="Heading1"/>
      </w:pPr>
      <w:r>
        <w:t>Recomendaciones y evidencia que las respalda</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rPr>
          <w:cantSplit w:val="true"/>
          <w:tblHeader w:val="true"/>
        </w:trPr>
        <w:tc>
          <w:tcPr>
            <w:tcW w:type="dxa" w:w="3744"/>
            <w:shd w:val="clear" w:color="auto" w:fill="E7E6E6"/>
          </w:tcPr>
          <w:p>
            <w:pPr>
              <w:spacing w:after="40"/>
            </w:pPr>
            <w:r/>
            <w:r>
              <w:rPr>
                <w:rFonts w:ascii="Calibri" w:hAnsi="Calibri"/>
                <w:b/>
                <w:sz w:val="20"/>
              </w:rPr>
              <w:t>Recomendación</w:t>
            </w:r>
          </w:p>
        </w:tc>
        <w:tc>
          <w:tcPr>
            <w:tcW w:type="dxa" w:w="5616"/>
            <w:shd w:val="clear" w:color="auto" w:fill="E7E6E6"/>
          </w:tcPr>
          <w:p>
            <w:pPr>
              <w:spacing w:after="40"/>
            </w:pPr>
            <w:r/>
            <w:r>
              <w:rPr>
                <w:rFonts w:ascii="Calibri" w:hAnsi="Calibri"/>
                <w:b/>
                <w:sz w:val="20"/>
              </w:rPr>
              <w:t>Evidencia</w:t>
            </w:r>
          </w:p>
        </w:tc>
      </w:tr>
      <w:tr>
        <w:trPr>
          <w:cantSplit w:val="true"/>
        </w:trPr>
        <w:tc>
          <w:tcPr>
            <w:tcW w:type="dxa" w:w="3744"/>
          </w:tcPr>
          <w:p>
            <w:pPr>
              <w:spacing w:after="40"/>
            </w:pPr>
            <w:r/>
            <w:r>
              <w:rPr>
                <w:rFonts w:ascii="Calibri" w:hAnsi="Calibri"/>
                <w:sz w:val="20"/>
              </w:rPr>
              <w:t>Priorizar las fronteras terrestres.</w:t>
            </w:r>
          </w:p>
        </w:tc>
        <w:tc>
          <w:tcPr>
            <w:tcW w:type="dxa" w:w="5616"/>
          </w:tcPr>
          <w:p>
            <w:pPr>
              <w:spacing w:after="40"/>
            </w:pPr>
            <w:r/>
            <w:r>
              <w:rPr>
                <w:rFonts w:ascii="Calibri" w:hAnsi="Calibri"/>
                <w:sz w:val="20"/>
              </w:rPr>
              <w:t>Concentran el 59% de los ingresos y crecieron 12.3% anual antes de la pandemia.</w:t>
            </w:r>
          </w:p>
        </w:tc>
      </w:tr>
      <w:tr>
        <w:trPr>
          <w:cantSplit w:val="true"/>
        </w:trPr>
        <w:tc>
          <w:tcPr>
            <w:tcW w:type="dxa" w:w="3744"/>
          </w:tcPr>
          <w:p>
            <w:pPr>
              <w:spacing w:after="40"/>
            </w:pPr>
            <w:r/>
            <w:r>
              <w:rPr>
                <w:rFonts w:ascii="Calibri" w:hAnsi="Calibri"/>
                <w:sz w:val="20"/>
              </w:rPr>
              <w:t>Calendarizar personal y capacidad según la estacionalidad.</w:t>
            </w:r>
          </w:p>
        </w:tc>
        <w:tc>
          <w:tcPr>
            <w:tcW w:type="dxa" w:w="5616"/>
          </w:tcPr>
          <w:p>
            <w:pPr>
              <w:spacing w:after="40"/>
            </w:pPr>
            <w:r/>
            <w:r>
              <w:rPr>
                <w:rFonts w:ascii="Calibri" w:hAnsi="Calibri"/>
                <w:sz w:val="20"/>
              </w:rPr>
              <w:t>Diciembre es +33% sobre la media; Semana Santa y julio también están por encima; febrero y septiembre son valles para promoción.</w:t>
            </w:r>
          </w:p>
        </w:tc>
      </w:tr>
      <w:tr>
        <w:trPr>
          <w:cantSplit w:val="true"/>
        </w:trPr>
        <w:tc>
          <w:tcPr>
            <w:tcW w:type="dxa" w:w="3744"/>
          </w:tcPr>
          <w:p>
            <w:pPr>
              <w:spacing w:after="40"/>
            </w:pPr>
            <w:r/>
            <w:r>
              <w:rPr>
                <w:rFonts w:ascii="Calibri" w:hAnsi="Calibri"/>
                <w:sz w:val="20"/>
              </w:rPr>
              <w:t>Tener un plan propio para cruceros.</w:t>
            </w:r>
          </w:p>
        </w:tc>
        <w:tc>
          <w:tcPr>
            <w:tcW w:type="dxa" w:w="5616"/>
          </w:tcPr>
          <w:p>
            <w:pPr>
              <w:spacing w:after="40"/>
            </w:pPr>
            <w:r/>
            <w:r>
              <w:rPr>
                <w:rFonts w:ascii="Calibri" w:hAnsi="Calibri"/>
                <w:sz w:val="20"/>
              </w:rPr>
              <w:t>Caían 5.3% anual antes de la pandemia y son los más estacionales y volátiles; el mejor pronóstico es el más simple (seasonal naive).</w:t>
            </w:r>
          </w:p>
        </w:tc>
      </w:tr>
      <w:tr>
        <w:trPr>
          <w:cantSplit w:val="true"/>
        </w:trPr>
        <w:tc>
          <w:tcPr>
            <w:tcW w:type="dxa" w:w="3744"/>
          </w:tcPr>
          <w:p>
            <w:pPr>
              <w:spacing w:after="40"/>
            </w:pPr>
            <w:r/>
            <w:r>
              <w:rPr>
                <w:rFonts w:ascii="Calibri" w:hAnsi="Calibri"/>
                <w:sz w:val="20"/>
              </w:rPr>
              <w:t>Pronosticar con Prophet y vigilar mes a mes.</w:t>
            </w:r>
          </w:p>
        </w:tc>
        <w:tc>
          <w:tcPr>
            <w:tcW w:type="dxa" w:w="5616"/>
          </w:tcPr>
          <w:p>
            <w:pPr>
              <w:spacing w:after="40"/>
            </w:pPr>
            <w:r/>
            <w:r>
              <w:rPr>
                <w:rFonts w:ascii="Calibri" w:hAnsi="Calibri"/>
                <w:sz w:val="20"/>
              </w:rPr>
              <w:t>Es el mejor modelo en la serie total, pero su banda cubre solo el 21% de lo real; el dato observado debe corregir la proyección.</w:t>
            </w:r>
          </w:p>
        </w:tc>
      </w:tr>
      <w:tr>
        <w:trPr>
          <w:cantSplit w:val="true"/>
        </w:trPr>
        <w:tc>
          <w:tcPr>
            <w:tcW w:type="dxa" w:w="3744"/>
          </w:tcPr>
          <w:p>
            <w:pPr>
              <w:spacing w:after="40"/>
            </w:pPr>
            <w:r/>
            <w:r>
              <w:rPr>
                <w:rFonts w:ascii="Calibri" w:hAnsi="Calibri"/>
                <w:sz w:val="20"/>
              </w:rPr>
              <w:t>Tratar la recuperación como incompleta.</w:t>
            </w:r>
          </w:p>
        </w:tc>
        <w:tc>
          <w:tcPr>
            <w:tcW w:type="dxa" w:w="5616"/>
          </w:tcPr>
          <w:p>
            <w:pPr>
              <w:spacing w:after="40"/>
            </w:pPr>
            <w:r/>
            <w:r>
              <w:rPr>
                <w:rFonts w:ascii="Calibri" w:hAnsi="Calibri"/>
                <w:sz w:val="20"/>
              </w:rPr>
              <w:t>2025 está 19% por debajo de 2019 y el primer semestre de 2026 está 3% por debajo del de 2025; reactivar mercados lejanos (Estados Unidos, 7.0 M acumulados) por la vía aérea.</w:t>
            </w:r>
          </w:p>
        </w:tc>
      </w:tr>
    </w:tbl>
    <w:p>
      <w:pPr>
        <w:spacing w:after="40"/>
      </w:pPr>
    </w:p>
    <w:p>
      <w:pPr>
        <w:pStyle w:val="Heading1"/>
      </w:pPr>
      <w:r>
        <w:t>Formato y reproducibilidad</w:t>
      </w:r>
    </w:p>
    <w:p>
      <w:pPr>
        <w:pStyle w:val="ListBullet"/>
        <w:spacing w:after="40"/>
      </w:pPr>
      <w:r>
        <w:t>Lienzo digital de 2200 × 3400 px en PNG y versión de impresión de 1 página en A3 vertical (11 × 17 pulgadas) en PDF.</w:t>
      </w:r>
    </w:p>
    <w:p>
      <w:pPr>
        <w:pStyle w:val="ListBullet"/>
        <w:spacing w:after="40"/>
      </w:pPr>
      <w:r>
        <w:t>Las cifras y los gráficos se generan con dos scripts de Python: lab9_datos.py (calcula todo desde los CSV con la partición del Laboratorio 1) y lab9_infografia.py (dibuja la infografía).</w:t>
      </w:r>
    </w:p>
    <w:p>
      <w:pPr>
        <w:pStyle w:val="ListBullet"/>
        <w:spacing w:after="40"/>
      </w:pPr>
      <w:r>
        <w:t>Fuente de los datos: Base de Migración 2009–junio 2026, INGUAT/IGM, usada con fines académicos.</w:t>
      </w:r>
    </w:p>
    <w:p>
      <w:r>
        <w:br w:type="page"/>
      </w:r>
    </w:p>
    <w:p>
      <w:pPr>
        <w:pStyle w:val="Heading1"/>
      </w:pPr>
      <w:r>
        <w:t>Infografía final</w:t>
      </w:r>
    </w:p>
    <w:p>
      <w:pPr>
        <w:jc w:val="center"/>
      </w:pPr>
      <w:r>
        <w:drawing>
          <wp:inline xmlns:a="http://schemas.openxmlformats.org/drawingml/2006/main" xmlns:pic="http://schemas.openxmlformats.org/drawingml/2006/picture">
            <wp:extent cx="5088367" cy="7863840"/>
            <wp:docPr id="1" name="Picture 1"/>
            <wp:cNvGraphicFramePr>
              <a:graphicFrameLocks noChangeAspect="1"/>
            </wp:cNvGraphicFramePr>
            <a:graphic>
              <a:graphicData uri="http://schemas.openxmlformats.org/drawingml/2006/picture">
                <pic:pic>
                  <pic:nvPicPr>
                    <pic:cNvPr id="0" name="Lab9_Infografia.png"/>
                    <pic:cNvPicPr/>
                  </pic:nvPicPr>
                  <pic:blipFill>
                    <a:blip r:embed="rId9"/>
                    <a:stretch>
                      <a:fillRect/>
                    </a:stretch>
                  </pic:blipFill>
                  <pic:spPr>
                    <a:xfrm>
                      <a:off x="0" y="0"/>
                      <a:ext cx="5088367" cy="7863840"/>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libri" w:hAnsi="Calibri" w:eastAsia="Calibri" w:cs="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s="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