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D7E12E" w14:textId="56844D52" w:rsidR="00B022F2" w:rsidRPr="00FE03F7" w:rsidRDefault="00C17A07" w:rsidP="00FE03F7">
      <w:pPr>
        <w:jc w:val="both"/>
        <w:rPr>
          <w:rFonts w:ascii="Agency FB" w:hAnsi="Agency FB"/>
          <w:color w:val="002060"/>
          <w:sz w:val="68"/>
          <w:szCs w:val="68"/>
        </w:rPr>
      </w:pPr>
      <w:r w:rsidRPr="00FE03F7">
        <w:rPr>
          <w:rFonts w:ascii="Agency FB" w:hAnsi="Agency FB"/>
          <w:color w:val="002060"/>
          <w:sz w:val="68"/>
          <w:szCs w:val="68"/>
        </w:rPr>
        <w:t>mercaderías</w:t>
      </w:r>
      <w:r w:rsidRPr="00FE03F7">
        <w:rPr>
          <w:rFonts w:ascii="Agency FB" w:hAnsi="Agency FB"/>
          <w:color w:val="002060"/>
          <w:sz w:val="68"/>
          <w:szCs w:val="68"/>
        </w:rPr>
        <w:t xml:space="preserve"> o materias primas en aduana</w:t>
      </w:r>
      <w:r w:rsidR="004C2584">
        <w:rPr>
          <w:rFonts w:ascii="Agency FB" w:hAnsi="Agency FB"/>
          <w:color w:val="002060"/>
          <w:sz w:val="68"/>
          <w:szCs w:val="68"/>
        </w:rPr>
        <w:t>:</w:t>
      </w:r>
    </w:p>
    <w:p w14:paraId="3EC2C4C9" w14:textId="15AB6B94" w:rsidR="00B70D8A" w:rsidRPr="00FE03F7" w:rsidRDefault="00C17A07" w:rsidP="00FE03F7">
      <w:pPr>
        <w:jc w:val="both"/>
        <w:rPr>
          <w:rFonts w:ascii="Arial" w:hAnsi="Arial" w:cs="Arial"/>
          <w:color w:val="0D0D0D" w:themeColor="text1" w:themeTint="F2"/>
          <w:sz w:val="36"/>
          <w:szCs w:val="36"/>
        </w:rPr>
      </w:pPr>
      <w:r w:rsidRPr="00FE03F7">
        <w:rPr>
          <w:rFonts w:ascii="Arial" w:hAnsi="Arial" w:cs="Arial"/>
          <w:color w:val="0D0D0D" w:themeColor="text1" w:themeTint="F2"/>
          <w:sz w:val="36"/>
          <w:szCs w:val="36"/>
        </w:rPr>
        <w:t>Comprende la materia prima que se trae del exterior y que después de haber pasado por todo el proceso de importación, se encuentra ya en la aduana</w:t>
      </w:r>
      <w:r w:rsidR="00B70D8A" w:rsidRPr="00FE03F7">
        <w:rPr>
          <w:rFonts w:ascii="Arial" w:hAnsi="Arial" w:cs="Arial"/>
          <w:color w:val="0D0D0D" w:themeColor="text1" w:themeTint="F2"/>
          <w:sz w:val="36"/>
          <w:szCs w:val="36"/>
        </w:rPr>
        <w:t xml:space="preserve"> de nuestro país, Como cuenta, se carga con el importe de la materia prima importada (materia prima en aduana a materia prima en tránsito).</w:t>
      </w:r>
    </w:p>
    <w:p w14:paraId="5531EC97" w14:textId="410D7AE1" w:rsidR="00B70D8A" w:rsidRPr="00FE03F7" w:rsidRDefault="004C2584" w:rsidP="00FE03F7">
      <w:pPr>
        <w:jc w:val="both"/>
        <w:rPr>
          <w:rFonts w:ascii="Arial" w:hAnsi="Arial" w:cs="Arial"/>
          <w:color w:val="0D0D0D" w:themeColor="text1" w:themeTint="F2"/>
          <w:sz w:val="36"/>
          <w:szCs w:val="36"/>
        </w:rPr>
      </w:pPr>
      <w:r w:rsidRPr="004C2584">
        <w:drawing>
          <wp:anchor distT="0" distB="0" distL="114300" distR="114300" simplePos="0" relativeHeight="251658240" behindDoc="1" locked="0" layoutInCell="1" allowOverlap="1" wp14:anchorId="12FC889C" wp14:editId="02FC9E71">
            <wp:simplePos x="0" y="0"/>
            <wp:positionH relativeFrom="margin">
              <wp:posOffset>-365761</wp:posOffset>
            </wp:positionH>
            <wp:positionV relativeFrom="paragraph">
              <wp:posOffset>2721577</wp:posOffset>
            </wp:positionV>
            <wp:extent cx="3836269" cy="339725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890" cy="3418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2584">
        <w:drawing>
          <wp:anchor distT="0" distB="0" distL="114300" distR="114300" simplePos="0" relativeHeight="251659264" behindDoc="1" locked="0" layoutInCell="1" allowOverlap="1" wp14:anchorId="032B2E1F" wp14:editId="2A397E43">
            <wp:simplePos x="0" y="0"/>
            <wp:positionH relativeFrom="column">
              <wp:posOffset>3559810</wp:posOffset>
            </wp:positionH>
            <wp:positionV relativeFrom="paragraph">
              <wp:posOffset>2720975</wp:posOffset>
            </wp:positionV>
            <wp:extent cx="2482850" cy="339725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D8A" w:rsidRPr="00FE03F7">
        <w:rPr>
          <w:rFonts w:ascii="Arial" w:hAnsi="Arial" w:cs="Arial"/>
          <w:color w:val="0D0D0D" w:themeColor="text1" w:themeTint="F2"/>
          <w:sz w:val="36"/>
          <w:szCs w:val="36"/>
        </w:rPr>
        <w:t xml:space="preserve">Se abona cuando la materia prima se retire de la </w:t>
      </w:r>
      <w:r w:rsidR="00FE03F7" w:rsidRPr="00FE03F7">
        <w:rPr>
          <w:rFonts w:ascii="Arial" w:hAnsi="Arial" w:cs="Arial"/>
          <w:color w:val="0D0D0D" w:themeColor="text1" w:themeTint="F2"/>
          <w:sz w:val="36"/>
          <w:szCs w:val="36"/>
        </w:rPr>
        <w:t>aduana (</w:t>
      </w:r>
      <w:r w:rsidR="00B70D8A" w:rsidRPr="00FE03F7">
        <w:rPr>
          <w:rFonts w:ascii="Arial" w:hAnsi="Arial" w:cs="Arial"/>
          <w:color w:val="0D0D0D" w:themeColor="text1" w:themeTint="F2"/>
          <w:sz w:val="36"/>
          <w:szCs w:val="36"/>
        </w:rPr>
        <w:t xml:space="preserve">compras de materia prima a materia prima en aduanas), también se abona como consecuencia de un ajuste, y el cierre del ejercicio con las partidas de liquidación y cierre para cerrar la cuenta. Es cuenta de activo, su saldo es deudor </w:t>
      </w:r>
      <w:r w:rsidR="00FE03F7" w:rsidRPr="00FE03F7">
        <w:rPr>
          <w:rFonts w:ascii="Arial" w:hAnsi="Arial" w:cs="Arial"/>
          <w:color w:val="0D0D0D" w:themeColor="text1" w:themeTint="F2"/>
          <w:sz w:val="36"/>
          <w:szCs w:val="36"/>
        </w:rPr>
        <w:t xml:space="preserve">y representa </w:t>
      </w:r>
      <w:r>
        <w:rPr>
          <w:rFonts w:ascii="Arial" w:hAnsi="Arial" w:cs="Arial"/>
          <w:color w:val="0D0D0D" w:themeColor="text1" w:themeTint="F2"/>
          <w:sz w:val="36"/>
          <w:szCs w:val="36"/>
        </w:rPr>
        <w:t xml:space="preserve">el importe invertido por el concepto indicado. Se registra en el Balance General o Balance de Situación General en el activo corriente </w:t>
      </w:r>
    </w:p>
    <w:sectPr w:rsidR="00B70D8A" w:rsidRPr="00FE03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A07"/>
    <w:rsid w:val="004C2584"/>
    <w:rsid w:val="00B022F2"/>
    <w:rsid w:val="00B70D8A"/>
    <w:rsid w:val="00C17A07"/>
    <w:rsid w:val="00FE0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2AC2F"/>
  <w15:chartTrackingRefBased/>
  <w15:docId w15:val="{A7A5CABA-379C-4995-AABC-8E65272FD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118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Wobydared@outlook.com</dc:creator>
  <cp:keywords/>
  <dc:description/>
  <cp:lastModifiedBy>Wobydared@outlook.com</cp:lastModifiedBy>
  <cp:revision>1</cp:revision>
  <dcterms:created xsi:type="dcterms:W3CDTF">2021-03-12T01:45:00Z</dcterms:created>
  <dcterms:modified xsi:type="dcterms:W3CDTF">2021-03-12T02:47:00Z</dcterms:modified>
</cp:coreProperties>
</file>