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11120" w14:textId="77777777" w:rsidR="003E22CB" w:rsidRPr="00DB183A" w:rsidRDefault="003E22CB">
      <w:pPr>
        <w:rPr>
          <w:rFonts w:ascii="Garamond" w:hAnsi="Garamond"/>
          <w:b/>
          <w:bCs/>
          <w:sz w:val="20"/>
          <w:szCs w:val="20"/>
        </w:rPr>
      </w:pPr>
    </w:p>
    <w:p w14:paraId="2798E66F" w14:textId="77777777" w:rsidR="00DB183A" w:rsidRDefault="00DB183A" w:rsidP="00762AE3">
      <w:pPr>
        <w:jc w:val="center"/>
        <w:rPr>
          <w:rFonts w:ascii="Garamond" w:hAnsi="Garamond"/>
          <w:i/>
          <w:iCs/>
        </w:rPr>
      </w:pPr>
      <w:r w:rsidRPr="00DB183A">
        <w:rPr>
          <w:rFonts w:ascii="Garamond" w:hAnsi="Garamond"/>
          <w:b/>
          <w:bCs/>
        </w:rPr>
        <w:t>Resources</w:t>
      </w:r>
      <w:r w:rsidRPr="00DB183A">
        <w:rPr>
          <w:rFonts w:ascii="Garamond" w:hAnsi="Garamond"/>
        </w:rPr>
        <w:br/>
      </w:r>
      <w:r w:rsidRPr="00DB183A">
        <w:rPr>
          <w:rFonts w:ascii="Garamond" w:hAnsi="Garamond"/>
          <w:i/>
          <w:iCs/>
        </w:rPr>
        <w:t>Clarity without coercion.</w:t>
      </w:r>
    </w:p>
    <w:p w14:paraId="467D9F06" w14:textId="77777777" w:rsidR="00762AE3" w:rsidRPr="00DB183A" w:rsidRDefault="00762AE3" w:rsidP="00762AE3">
      <w:pPr>
        <w:jc w:val="center"/>
        <w:rPr>
          <w:rFonts w:ascii="Garamond" w:hAnsi="Garamond"/>
        </w:rPr>
      </w:pPr>
    </w:p>
    <w:p w14:paraId="2FCCF6FC" w14:textId="77777777" w:rsidR="00DB183A" w:rsidRPr="00DB183A" w:rsidRDefault="00DB183A" w:rsidP="00DB183A">
      <w:pPr>
        <w:rPr>
          <w:rFonts w:ascii="Garamond" w:hAnsi="Garamond"/>
        </w:rPr>
      </w:pPr>
      <w:r w:rsidRPr="00DB183A">
        <w:rPr>
          <w:rFonts w:ascii="Garamond" w:hAnsi="Garamond"/>
        </w:rPr>
        <w:t>Selected resources from the Integrated Relational Dynamics (IRD) Framework Library for reflection and professional dialogue.</w:t>
      </w:r>
    </w:p>
    <w:p w14:paraId="652BE009" w14:textId="77777777" w:rsidR="00DB183A" w:rsidRPr="00DB183A" w:rsidRDefault="00DB183A" w:rsidP="00DB183A">
      <w:pPr>
        <w:rPr>
          <w:rFonts w:ascii="Garamond" w:hAnsi="Garamond"/>
        </w:rPr>
      </w:pPr>
      <w:r w:rsidRPr="00DB183A">
        <w:rPr>
          <w:rFonts w:ascii="Garamond" w:hAnsi="Garamond"/>
        </w:rPr>
        <w:t>Integrated Relational Dynamics (IRD) is a conceptual framework for clarifying responsibility, cost, and relational context under pressure. It is not a treatment model, diagnostic framework, or scoring system.</w:t>
      </w:r>
    </w:p>
    <w:p w14:paraId="5F3EA5D7" w14:textId="77777777" w:rsidR="00DB183A" w:rsidRPr="00460AC4" w:rsidRDefault="00DB183A" w:rsidP="00DB183A">
      <w:pPr>
        <w:rPr>
          <w:rFonts w:ascii="Garamond" w:hAnsi="Garamond"/>
          <w:u w:val="single"/>
        </w:rPr>
      </w:pPr>
      <w:r w:rsidRPr="00460AC4">
        <w:rPr>
          <w:rFonts w:ascii="Garamond" w:hAnsi="Garamond"/>
          <w:b/>
          <w:bCs/>
          <w:u w:val="single"/>
        </w:rPr>
        <w:t>Learn More About the IRD Framework</w:t>
      </w:r>
    </w:p>
    <w:p w14:paraId="016D0A84" w14:textId="77777777" w:rsidR="00DB183A" w:rsidRPr="00DB183A" w:rsidRDefault="00DB183A" w:rsidP="00DB183A">
      <w:pPr>
        <w:rPr>
          <w:rFonts w:ascii="Garamond" w:hAnsi="Garamond"/>
        </w:rPr>
      </w:pPr>
      <w:r w:rsidRPr="00DB183A">
        <w:rPr>
          <w:rFonts w:ascii="Garamond" w:hAnsi="Garamond"/>
        </w:rPr>
        <w:pict w14:anchorId="7D9DE083">
          <v:rect id="_x0000_i1035" style="width:0;height:1.5pt" o:hralign="center" o:hrstd="t" o:hr="t" fillcolor="#a0a0a0" stroked="f"/>
        </w:pict>
      </w:r>
    </w:p>
    <w:p w14:paraId="4F392286" w14:textId="77777777" w:rsidR="00DB183A" w:rsidRPr="00DB183A" w:rsidRDefault="00DB183A" w:rsidP="00DB183A">
      <w:pPr>
        <w:rPr>
          <w:rFonts w:ascii="Garamond" w:hAnsi="Garamond"/>
          <w:b/>
          <w:bCs/>
        </w:rPr>
      </w:pPr>
      <w:r w:rsidRPr="00DB183A">
        <w:rPr>
          <w:rFonts w:ascii="Garamond" w:hAnsi="Garamond"/>
          <w:b/>
          <w:bCs/>
        </w:rPr>
        <w:t>Foundations</w:t>
      </w:r>
    </w:p>
    <w:p w14:paraId="5DEE4DD7" w14:textId="77777777" w:rsidR="00DB183A" w:rsidRPr="00DB183A" w:rsidRDefault="00DB183A" w:rsidP="00DB183A">
      <w:pPr>
        <w:rPr>
          <w:rFonts w:ascii="Garamond" w:hAnsi="Garamond"/>
        </w:rPr>
      </w:pPr>
      <w:r w:rsidRPr="00DB183A">
        <w:rPr>
          <w:rFonts w:ascii="Garamond" w:hAnsi="Garamond"/>
          <w:b/>
          <w:bCs/>
        </w:rPr>
        <w:t>Relational Accountability — Public Definition</w:t>
      </w:r>
      <w:r w:rsidRPr="00DB183A">
        <w:rPr>
          <w:rFonts w:ascii="Garamond" w:hAnsi="Garamond"/>
        </w:rPr>
        <w:br/>
        <w:t>A concise explanation of relational accountability and the conditions that make it ethically intelligible.</w:t>
      </w:r>
      <w:r w:rsidRPr="00DB183A">
        <w:rPr>
          <w:rFonts w:ascii="Garamond" w:hAnsi="Garamond"/>
        </w:rPr>
        <w:br/>
      </w:r>
      <w:r w:rsidRPr="00DB183A">
        <w:rPr>
          <w:rFonts w:ascii="Garamond" w:hAnsi="Garamond"/>
          <w:b/>
          <w:bCs/>
        </w:rPr>
        <w:t>View PDF</w:t>
      </w:r>
    </w:p>
    <w:p w14:paraId="1A2D0A46" w14:textId="77777777" w:rsidR="00DB183A" w:rsidRPr="00DB183A" w:rsidRDefault="00DB183A" w:rsidP="00DB183A">
      <w:pPr>
        <w:rPr>
          <w:rFonts w:ascii="Garamond" w:hAnsi="Garamond"/>
        </w:rPr>
      </w:pPr>
      <w:r w:rsidRPr="00DB183A">
        <w:rPr>
          <w:rFonts w:ascii="Garamond" w:hAnsi="Garamond"/>
          <w:b/>
          <w:bCs/>
        </w:rPr>
        <w:t>Accountability Conditions &amp; Collapse Mapping (Agency–Cost–Exposure)</w:t>
      </w:r>
      <w:r w:rsidRPr="00DB183A">
        <w:rPr>
          <w:rFonts w:ascii="Garamond" w:hAnsi="Garamond"/>
        </w:rPr>
        <w:br/>
        <w:t>Explains the three conditions required for accountability and how accountability collapses when agency, cost, or relational exposure is displaced.</w:t>
      </w:r>
      <w:r w:rsidRPr="00DB183A">
        <w:rPr>
          <w:rFonts w:ascii="Garamond" w:hAnsi="Garamond"/>
        </w:rPr>
        <w:br/>
      </w:r>
      <w:r w:rsidRPr="00DB183A">
        <w:rPr>
          <w:rFonts w:ascii="Garamond" w:hAnsi="Garamond"/>
          <w:b/>
          <w:bCs/>
        </w:rPr>
        <w:t>View PDF</w:t>
      </w:r>
      <w:r w:rsidRPr="00DB183A">
        <w:rPr>
          <w:rFonts w:ascii="Garamond" w:hAnsi="Garamond"/>
        </w:rPr>
        <w:br/>
      </w:r>
      <w:r w:rsidRPr="00DB183A">
        <w:rPr>
          <w:rFonts w:ascii="Garamond" w:hAnsi="Garamond"/>
          <w:b/>
          <w:bCs/>
        </w:rPr>
        <w:t>View Table</w:t>
      </w:r>
    </w:p>
    <w:p w14:paraId="4CEFD8C0" w14:textId="77777777" w:rsidR="00DB183A" w:rsidRPr="00DB183A" w:rsidRDefault="00DB183A" w:rsidP="00DB183A">
      <w:pPr>
        <w:rPr>
          <w:rFonts w:ascii="Garamond" w:hAnsi="Garamond"/>
        </w:rPr>
      </w:pPr>
      <w:r w:rsidRPr="00DB183A">
        <w:rPr>
          <w:rFonts w:ascii="Garamond" w:hAnsi="Garamond"/>
        </w:rPr>
        <w:pict w14:anchorId="2CBB010B">
          <v:rect id="_x0000_i1036" style="width:0;height:1.5pt" o:hralign="center" o:hrstd="t" o:hr="t" fillcolor="#a0a0a0" stroked="f"/>
        </w:pict>
      </w:r>
    </w:p>
    <w:p w14:paraId="285B15DE" w14:textId="77777777" w:rsidR="00DB183A" w:rsidRPr="00DB183A" w:rsidRDefault="00DB183A" w:rsidP="00DB183A">
      <w:pPr>
        <w:rPr>
          <w:rFonts w:ascii="Garamond" w:hAnsi="Garamond"/>
          <w:b/>
          <w:bCs/>
        </w:rPr>
      </w:pPr>
      <w:r w:rsidRPr="00DB183A">
        <w:rPr>
          <w:rFonts w:ascii="Garamond" w:hAnsi="Garamond"/>
          <w:b/>
          <w:bCs/>
        </w:rPr>
        <w:t>Conceptual Distinctions</w:t>
      </w:r>
    </w:p>
    <w:p w14:paraId="4962B080" w14:textId="77777777" w:rsidR="00DB183A" w:rsidRPr="00DB183A" w:rsidRDefault="00DB183A" w:rsidP="00DB183A">
      <w:pPr>
        <w:rPr>
          <w:rFonts w:ascii="Garamond" w:hAnsi="Garamond"/>
        </w:rPr>
      </w:pPr>
      <w:r w:rsidRPr="00DB183A">
        <w:rPr>
          <w:rFonts w:ascii="Garamond" w:hAnsi="Garamond"/>
          <w:b/>
          <w:bCs/>
        </w:rPr>
        <w:t>Accountability Isn’t the Same As…</w:t>
      </w:r>
      <w:r w:rsidRPr="00DB183A">
        <w:rPr>
          <w:rFonts w:ascii="Garamond" w:hAnsi="Garamond"/>
        </w:rPr>
        <w:br/>
        <w:t>A clarification tool distinguishing accountability from common substitutes across four areas: Words &amp; Disclosure, Feelings &amp; Insight, Process &amp; Control, and Repair &amp; Outcomes.</w:t>
      </w:r>
      <w:r w:rsidRPr="00DB183A">
        <w:rPr>
          <w:rFonts w:ascii="Garamond" w:hAnsi="Garamond"/>
        </w:rPr>
        <w:br/>
      </w:r>
      <w:r w:rsidRPr="00DB183A">
        <w:rPr>
          <w:rFonts w:ascii="Garamond" w:hAnsi="Garamond"/>
          <w:b/>
          <w:bCs/>
        </w:rPr>
        <w:t>View PDF</w:t>
      </w:r>
      <w:r w:rsidRPr="00DB183A">
        <w:rPr>
          <w:rFonts w:ascii="Garamond" w:hAnsi="Garamond"/>
        </w:rPr>
        <w:br/>
      </w:r>
      <w:r w:rsidRPr="00DB183A">
        <w:rPr>
          <w:rFonts w:ascii="Garamond" w:hAnsi="Garamond"/>
          <w:b/>
          <w:bCs/>
        </w:rPr>
        <w:t>View Table</w:t>
      </w:r>
    </w:p>
    <w:p w14:paraId="6A1A09F2" w14:textId="77777777" w:rsidR="00DB183A" w:rsidRPr="00DB183A" w:rsidRDefault="00DB183A" w:rsidP="00DB183A">
      <w:pPr>
        <w:rPr>
          <w:rFonts w:ascii="Garamond" w:hAnsi="Garamond"/>
        </w:rPr>
      </w:pPr>
      <w:r w:rsidRPr="00DB183A">
        <w:rPr>
          <w:rFonts w:ascii="Garamond" w:hAnsi="Garamond"/>
        </w:rPr>
        <w:pict w14:anchorId="1D23DBCA">
          <v:rect id="_x0000_i1037" style="width:0;height:1.5pt" o:hralign="center" o:hrstd="t" o:hr="t" fillcolor="#a0a0a0" stroked="f"/>
        </w:pict>
      </w:r>
    </w:p>
    <w:p w14:paraId="03FC74E4" w14:textId="77777777" w:rsidR="00DB183A" w:rsidRPr="00DB183A" w:rsidRDefault="00DB183A" w:rsidP="00DB183A">
      <w:pPr>
        <w:rPr>
          <w:rFonts w:ascii="Garamond" w:hAnsi="Garamond"/>
          <w:b/>
          <w:bCs/>
        </w:rPr>
      </w:pPr>
      <w:r w:rsidRPr="00DB183A">
        <w:rPr>
          <w:rFonts w:ascii="Garamond" w:hAnsi="Garamond"/>
          <w:b/>
          <w:bCs/>
        </w:rPr>
        <w:t>Reflection and Dialogue Tools</w:t>
      </w:r>
    </w:p>
    <w:p w14:paraId="071CF87E" w14:textId="77777777" w:rsidR="00DB183A" w:rsidRPr="00DB183A" w:rsidRDefault="00DB183A" w:rsidP="00DB183A">
      <w:pPr>
        <w:rPr>
          <w:rFonts w:ascii="Garamond" w:hAnsi="Garamond"/>
        </w:rPr>
      </w:pPr>
      <w:r w:rsidRPr="00DB183A">
        <w:rPr>
          <w:rFonts w:ascii="Garamond" w:hAnsi="Garamond"/>
        </w:rPr>
        <w:t>Brief tools for first-person reflection and supervision dialogue when responsibility feels costly, constrained, or difficult to locate.</w:t>
      </w:r>
    </w:p>
    <w:p w14:paraId="7D75ACF2" w14:textId="77777777" w:rsidR="00DB183A" w:rsidRPr="00DB183A" w:rsidRDefault="00DB183A" w:rsidP="00DB183A">
      <w:pPr>
        <w:rPr>
          <w:rFonts w:ascii="Garamond" w:hAnsi="Garamond"/>
        </w:rPr>
      </w:pPr>
      <w:r w:rsidRPr="00DB183A">
        <w:rPr>
          <w:rFonts w:ascii="Garamond" w:hAnsi="Garamond"/>
          <w:i/>
          <w:iCs/>
        </w:rPr>
        <w:t>Not diagnostic. Not evaluative. Not a scorecard. Not for assigning accountability to others.</w:t>
      </w:r>
    </w:p>
    <w:p w14:paraId="2678C271" w14:textId="77777777" w:rsidR="00DB183A" w:rsidRPr="00DB183A" w:rsidRDefault="00DB183A" w:rsidP="00DB183A">
      <w:pPr>
        <w:rPr>
          <w:rFonts w:ascii="Garamond" w:hAnsi="Garamond"/>
        </w:rPr>
      </w:pPr>
      <w:r w:rsidRPr="00DB183A">
        <w:rPr>
          <w:rFonts w:ascii="Garamond" w:hAnsi="Garamond"/>
          <w:b/>
          <w:bCs/>
        </w:rPr>
        <w:lastRenderedPageBreak/>
        <w:t>Accountability Map</w:t>
      </w:r>
      <w:r w:rsidRPr="00DB183A">
        <w:rPr>
          <w:rFonts w:ascii="Garamond" w:hAnsi="Garamond"/>
        </w:rPr>
        <w:br/>
        <w:t>Clarifies what is yours to own and what responsible follow-through may require when accountability is present but costly.</w:t>
      </w:r>
      <w:r w:rsidRPr="00DB183A">
        <w:rPr>
          <w:rFonts w:ascii="Garamond" w:hAnsi="Garamond"/>
        </w:rPr>
        <w:br/>
      </w:r>
      <w:r w:rsidRPr="00DB183A">
        <w:rPr>
          <w:rFonts w:ascii="Garamond" w:hAnsi="Garamond"/>
          <w:b/>
          <w:bCs/>
        </w:rPr>
        <w:t>View PDF</w:t>
      </w:r>
    </w:p>
    <w:p w14:paraId="01C82CB7" w14:textId="77777777" w:rsidR="00DB183A" w:rsidRPr="00DB183A" w:rsidRDefault="00DB183A" w:rsidP="00DB183A">
      <w:pPr>
        <w:rPr>
          <w:rFonts w:ascii="Garamond" w:hAnsi="Garamond"/>
        </w:rPr>
      </w:pPr>
      <w:r w:rsidRPr="00DB183A">
        <w:rPr>
          <w:rFonts w:ascii="Garamond" w:hAnsi="Garamond"/>
          <w:b/>
          <w:bCs/>
        </w:rPr>
        <w:t>Cost Clarity Inventory</w:t>
      </w:r>
      <w:r w:rsidRPr="00DB183A">
        <w:rPr>
          <w:rFonts w:ascii="Garamond" w:hAnsi="Garamond"/>
        </w:rPr>
        <w:br/>
        <w:t>Identifies the real costs involved in responsible action and where cost may be minimized, displaced, or redistributed.</w:t>
      </w:r>
      <w:r w:rsidRPr="00DB183A">
        <w:rPr>
          <w:rFonts w:ascii="Garamond" w:hAnsi="Garamond"/>
        </w:rPr>
        <w:br/>
      </w:r>
      <w:r w:rsidRPr="00DB183A">
        <w:rPr>
          <w:rFonts w:ascii="Garamond" w:hAnsi="Garamond"/>
          <w:b/>
          <w:bCs/>
        </w:rPr>
        <w:t>View PDF</w:t>
      </w:r>
    </w:p>
    <w:p w14:paraId="77681CC7" w14:textId="77777777" w:rsidR="00DB183A" w:rsidRPr="00DB183A" w:rsidRDefault="00DB183A" w:rsidP="00DB183A">
      <w:pPr>
        <w:rPr>
          <w:rFonts w:ascii="Garamond" w:hAnsi="Garamond"/>
        </w:rPr>
      </w:pPr>
      <w:r w:rsidRPr="00DB183A">
        <w:rPr>
          <w:rFonts w:ascii="Garamond" w:hAnsi="Garamond"/>
          <w:b/>
          <w:bCs/>
        </w:rPr>
        <w:t>Exposure Location Check</w:t>
      </w:r>
      <w:r w:rsidRPr="00DB183A">
        <w:rPr>
          <w:rFonts w:ascii="Garamond" w:hAnsi="Garamond"/>
        </w:rPr>
        <w:br/>
        <w:t>Clarifies where responsibility is being owned—within the relational context of impact or displaced into safer or buffered spaces.</w:t>
      </w:r>
      <w:r w:rsidRPr="00DB183A">
        <w:rPr>
          <w:rFonts w:ascii="Garamond" w:hAnsi="Garamond"/>
        </w:rPr>
        <w:br/>
      </w:r>
      <w:r w:rsidRPr="00DB183A">
        <w:rPr>
          <w:rFonts w:ascii="Garamond" w:hAnsi="Garamond"/>
          <w:b/>
          <w:bCs/>
        </w:rPr>
        <w:t>View PDF</w:t>
      </w:r>
    </w:p>
    <w:p w14:paraId="7024F641" w14:textId="77777777" w:rsidR="00DB183A" w:rsidRPr="00DB183A" w:rsidRDefault="00DB183A" w:rsidP="00DB183A">
      <w:pPr>
        <w:rPr>
          <w:rFonts w:ascii="Garamond" w:hAnsi="Garamond"/>
        </w:rPr>
      </w:pPr>
      <w:r w:rsidRPr="00DB183A">
        <w:rPr>
          <w:rFonts w:ascii="Garamond" w:hAnsi="Garamond"/>
          <w:b/>
          <w:bCs/>
        </w:rPr>
        <w:t>Repair-Labor Audit</w:t>
      </w:r>
      <w:r w:rsidRPr="00DB183A">
        <w:rPr>
          <w:rFonts w:ascii="Garamond" w:hAnsi="Garamond"/>
        </w:rPr>
        <w:br/>
        <w:t>Identifies where repair labor is being carried and what unresolved impact may still require ownership.</w:t>
      </w:r>
      <w:r w:rsidRPr="00DB183A">
        <w:rPr>
          <w:rFonts w:ascii="Garamond" w:hAnsi="Garamond"/>
        </w:rPr>
        <w:br/>
      </w:r>
      <w:r w:rsidRPr="00DB183A">
        <w:rPr>
          <w:rFonts w:ascii="Garamond" w:hAnsi="Garamond"/>
          <w:b/>
          <w:bCs/>
        </w:rPr>
        <w:t>View PDF</w:t>
      </w:r>
    </w:p>
    <w:p w14:paraId="55080509" w14:textId="77777777" w:rsidR="00DB183A" w:rsidRPr="00DB183A" w:rsidRDefault="00DB183A" w:rsidP="00DB183A">
      <w:pPr>
        <w:rPr>
          <w:rFonts w:ascii="Garamond" w:hAnsi="Garamond"/>
        </w:rPr>
      </w:pPr>
      <w:r w:rsidRPr="00DB183A">
        <w:rPr>
          <w:rFonts w:ascii="Garamond" w:hAnsi="Garamond"/>
          <w:b/>
          <w:bCs/>
        </w:rPr>
        <w:t>Refusal Viability Check</w:t>
      </w:r>
      <w:r w:rsidRPr="00DB183A">
        <w:rPr>
          <w:rFonts w:ascii="Garamond" w:hAnsi="Garamond"/>
        </w:rPr>
        <w:br/>
        <w:t>Clarifies boundaries when responsibility is refused, without moralizing, coercion, or outcome leverage.</w:t>
      </w:r>
      <w:r w:rsidRPr="00DB183A">
        <w:rPr>
          <w:rFonts w:ascii="Garamond" w:hAnsi="Garamond"/>
        </w:rPr>
        <w:br/>
      </w:r>
      <w:r w:rsidRPr="00DB183A">
        <w:rPr>
          <w:rFonts w:ascii="Garamond" w:hAnsi="Garamond"/>
          <w:b/>
          <w:bCs/>
        </w:rPr>
        <w:t>View PDF</w:t>
      </w:r>
    </w:p>
    <w:p w14:paraId="2FB619FD" w14:textId="77777777" w:rsidR="00DB183A" w:rsidRPr="00DB183A" w:rsidRDefault="00DB183A" w:rsidP="00DB183A">
      <w:pPr>
        <w:rPr>
          <w:rFonts w:ascii="Garamond" w:hAnsi="Garamond"/>
        </w:rPr>
      </w:pPr>
      <w:r w:rsidRPr="00DB183A">
        <w:rPr>
          <w:rFonts w:ascii="Garamond" w:hAnsi="Garamond"/>
        </w:rPr>
        <w:pict w14:anchorId="03B3913B">
          <v:rect id="_x0000_i1038" style="width:0;height:1.5pt" o:hralign="center" o:hrstd="t" o:hr="t" fillcolor="#a0a0a0" stroked="f"/>
        </w:pict>
      </w:r>
    </w:p>
    <w:p w14:paraId="780FD214" w14:textId="77777777" w:rsidR="00DB183A" w:rsidRPr="00DB183A" w:rsidRDefault="00DB183A" w:rsidP="00DB183A">
      <w:pPr>
        <w:rPr>
          <w:rFonts w:ascii="Garamond" w:hAnsi="Garamond"/>
          <w:b/>
          <w:bCs/>
        </w:rPr>
      </w:pPr>
      <w:r w:rsidRPr="00DB183A">
        <w:rPr>
          <w:rFonts w:ascii="Garamond" w:hAnsi="Garamond"/>
          <w:b/>
          <w:bCs/>
        </w:rPr>
        <w:t xml:space="preserve">Working Manuscripts </w:t>
      </w:r>
      <w:r w:rsidRPr="00DB183A">
        <w:rPr>
          <w:rFonts w:ascii="Garamond" w:hAnsi="Garamond"/>
          <w:b/>
          <w:bCs/>
          <w:i/>
          <w:iCs/>
        </w:rPr>
        <w:t>(in preparation)</w:t>
      </w:r>
    </w:p>
    <w:p w14:paraId="11FB3AEF" w14:textId="77777777" w:rsidR="00DB183A" w:rsidRPr="00DB183A" w:rsidRDefault="00DB183A" w:rsidP="00DB183A">
      <w:pPr>
        <w:rPr>
          <w:rFonts w:ascii="Garamond" w:hAnsi="Garamond"/>
        </w:rPr>
      </w:pPr>
      <w:r w:rsidRPr="00DB183A">
        <w:rPr>
          <w:rFonts w:ascii="Garamond" w:hAnsi="Garamond"/>
        </w:rPr>
        <w:t>Titles are listed for professional dialogue. Working manuscripts remain subject to revision.</w:t>
      </w:r>
    </w:p>
    <w:p w14:paraId="6E10AB6D" w14:textId="77777777" w:rsidR="00DB183A" w:rsidRPr="00DB183A" w:rsidRDefault="00DB183A" w:rsidP="00DB183A">
      <w:pPr>
        <w:rPr>
          <w:rFonts w:ascii="Garamond" w:hAnsi="Garamond"/>
        </w:rPr>
      </w:pPr>
      <w:r w:rsidRPr="00DB183A">
        <w:rPr>
          <w:rFonts w:ascii="Garamond" w:hAnsi="Garamond"/>
          <w:b/>
          <w:bCs/>
        </w:rPr>
        <w:t>Relational Accountability Without Control: An Integrative Ethical Framework for Preserving Agency Under Cost</w:t>
      </w:r>
      <w:r w:rsidRPr="00DB183A">
        <w:rPr>
          <w:rFonts w:ascii="Garamond" w:hAnsi="Garamond"/>
        </w:rPr>
        <w:br/>
      </w:r>
      <w:r w:rsidRPr="00DB183A">
        <w:rPr>
          <w:rFonts w:ascii="Garamond" w:hAnsi="Garamond"/>
          <w:i/>
          <w:iCs/>
        </w:rPr>
        <w:t>2026 · In preparation</w:t>
      </w:r>
    </w:p>
    <w:p w14:paraId="108D752E" w14:textId="77777777" w:rsidR="00DB183A" w:rsidRPr="00DB183A" w:rsidRDefault="00DB183A" w:rsidP="00DB183A">
      <w:pPr>
        <w:rPr>
          <w:rFonts w:ascii="Garamond" w:hAnsi="Garamond"/>
        </w:rPr>
      </w:pPr>
      <w:r w:rsidRPr="00DB183A">
        <w:rPr>
          <w:rFonts w:ascii="Garamond" w:hAnsi="Garamond"/>
          <w:b/>
          <w:bCs/>
        </w:rPr>
        <w:t>Accountability Without Control: Why Modern Systems Simulate Responsibility and Fracture Trust</w:t>
      </w:r>
      <w:r w:rsidRPr="00DB183A">
        <w:rPr>
          <w:rFonts w:ascii="Garamond" w:hAnsi="Garamond"/>
        </w:rPr>
        <w:br/>
      </w:r>
      <w:r w:rsidRPr="00DB183A">
        <w:rPr>
          <w:rFonts w:ascii="Garamond" w:hAnsi="Garamond"/>
          <w:i/>
          <w:iCs/>
        </w:rPr>
        <w:t>2026 · In preparation</w:t>
      </w:r>
    </w:p>
    <w:p w14:paraId="1DD50D80" w14:textId="77777777" w:rsidR="00DB183A" w:rsidRPr="00DB183A" w:rsidRDefault="00DB183A" w:rsidP="00DB183A">
      <w:pPr>
        <w:rPr>
          <w:rFonts w:ascii="Garamond" w:hAnsi="Garamond"/>
        </w:rPr>
      </w:pPr>
      <w:r w:rsidRPr="00DB183A">
        <w:rPr>
          <w:rFonts w:ascii="Garamond" w:hAnsi="Garamond"/>
          <w:b/>
          <w:bCs/>
        </w:rPr>
        <w:t>Accountability Without Control: The Cross, Belief, and Cost-Bearing Obedience in Christian Ethics</w:t>
      </w:r>
      <w:r w:rsidRPr="00DB183A">
        <w:rPr>
          <w:rFonts w:ascii="Garamond" w:hAnsi="Garamond"/>
        </w:rPr>
        <w:br/>
      </w:r>
      <w:r w:rsidRPr="00DB183A">
        <w:rPr>
          <w:rFonts w:ascii="Garamond" w:hAnsi="Garamond"/>
          <w:i/>
          <w:iCs/>
        </w:rPr>
        <w:t>2026 · In preparation</w:t>
      </w:r>
    </w:p>
    <w:p w14:paraId="1173AC4A" w14:textId="77777777" w:rsidR="00DB183A" w:rsidRPr="00DB183A" w:rsidRDefault="00DB183A" w:rsidP="00DB183A">
      <w:pPr>
        <w:rPr>
          <w:rFonts w:ascii="Garamond" w:hAnsi="Garamond"/>
        </w:rPr>
      </w:pPr>
      <w:r w:rsidRPr="00DB183A">
        <w:rPr>
          <w:rFonts w:ascii="Garamond" w:hAnsi="Garamond"/>
        </w:rPr>
        <w:pict w14:anchorId="1AD7246E">
          <v:rect id="_x0000_i1039" style="width:0;height:1.5pt" o:hralign="center" o:hrstd="t" o:hr="t" fillcolor="#a0a0a0" stroked="f"/>
        </w:pict>
      </w:r>
    </w:p>
    <w:p w14:paraId="1DA53C9F" w14:textId="77777777" w:rsidR="00DB183A" w:rsidRPr="00DB183A" w:rsidRDefault="00DB183A" w:rsidP="00DB183A">
      <w:pPr>
        <w:rPr>
          <w:rFonts w:ascii="Garamond" w:hAnsi="Garamond"/>
          <w:b/>
          <w:bCs/>
        </w:rPr>
      </w:pPr>
      <w:r w:rsidRPr="00DB183A">
        <w:rPr>
          <w:rFonts w:ascii="Garamond" w:hAnsi="Garamond"/>
          <w:b/>
          <w:bCs/>
        </w:rPr>
        <w:t>Boundaries of Use</w:t>
      </w:r>
    </w:p>
    <w:p w14:paraId="671359E7" w14:textId="77777777" w:rsidR="00DB183A" w:rsidRPr="00DB183A" w:rsidRDefault="00DB183A" w:rsidP="00DB183A">
      <w:pPr>
        <w:rPr>
          <w:rFonts w:ascii="Garamond" w:hAnsi="Garamond"/>
        </w:rPr>
      </w:pPr>
      <w:r w:rsidRPr="00DB183A">
        <w:rPr>
          <w:rFonts w:ascii="Garamond" w:hAnsi="Garamond"/>
        </w:rPr>
        <w:lastRenderedPageBreak/>
        <w:t>IRD does not determine whether a relationship should continue, whether reconciliation should occur, or whether forgiveness is required.</w:t>
      </w:r>
    </w:p>
    <w:p w14:paraId="6C6CF152" w14:textId="77777777" w:rsidR="00DB183A" w:rsidRPr="00DB183A" w:rsidRDefault="00DB183A" w:rsidP="00DB183A">
      <w:pPr>
        <w:rPr>
          <w:rFonts w:ascii="Garamond" w:hAnsi="Garamond"/>
        </w:rPr>
      </w:pPr>
      <w:r w:rsidRPr="00DB183A">
        <w:rPr>
          <w:rFonts w:ascii="Garamond" w:hAnsi="Garamond"/>
        </w:rPr>
        <w:t>It clarifies the conditions under which responsibility is voluntarily owned, carried at real cost, and kept answerable within the relational context of impact.</w:t>
      </w:r>
    </w:p>
    <w:p w14:paraId="2A72C10A" w14:textId="77777777" w:rsidR="00DB183A" w:rsidRPr="00DB183A" w:rsidRDefault="00DB183A" w:rsidP="00DB183A">
      <w:pPr>
        <w:rPr>
          <w:rFonts w:ascii="Garamond" w:hAnsi="Garamond"/>
        </w:rPr>
      </w:pPr>
      <w:r w:rsidRPr="00DB183A">
        <w:rPr>
          <w:rFonts w:ascii="Garamond" w:hAnsi="Garamond"/>
        </w:rPr>
        <w:t>Safety, consent, and professional judgment remain primary.</w:t>
      </w:r>
    </w:p>
    <w:p w14:paraId="3DAA02FB" w14:textId="77777777" w:rsidR="006918AB" w:rsidRPr="00DB183A" w:rsidRDefault="006918AB">
      <w:pPr>
        <w:rPr>
          <w:rFonts w:ascii="Garamond" w:hAnsi="Garamond"/>
        </w:rPr>
      </w:pPr>
    </w:p>
    <w:sectPr w:rsidR="006918AB" w:rsidRPr="00DB1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21AD"/>
    <w:rsid w:val="000B3F62"/>
    <w:rsid w:val="00145954"/>
    <w:rsid w:val="003E22CB"/>
    <w:rsid w:val="003F2AB9"/>
    <w:rsid w:val="00460AC4"/>
    <w:rsid w:val="005373F9"/>
    <w:rsid w:val="006918AB"/>
    <w:rsid w:val="006D508B"/>
    <w:rsid w:val="007608F4"/>
    <w:rsid w:val="00762AE3"/>
    <w:rsid w:val="00AD08DB"/>
    <w:rsid w:val="00DB183A"/>
    <w:rsid w:val="00E019FB"/>
    <w:rsid w:val="00E25F45"/>
    <w:rsid w:val="00FA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63067"/>
  <w15:chartTrackingRefBased/>
  <w15:docId w15:val="{85F50EB0-7867-4017-BC6A-5B5B3F418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9FB"/>
  </w:style>
  <w:style w:type="paragraph" w:styleId="Heading1">
    <w:name w:val="heading 1"/>
    <w:basedOn w:val="Normal"/>
    <w:next w:val="Normal"/>
    <w:link w:val="Heading1Char"/>
    <w:uiPriority w:val="9"/>
    <w:qFormat/>
    <w:rsid w:val="00FA2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1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1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1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1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1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1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1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1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1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1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1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kotia whitaker</dc:creator>
  <cp:keywords/>
  <dc:description/>
  <cp:lastModifiedBy>kotia whitaker</cp:lastModifiedBy>
  <cp:revision>8</cp:revision>
  <dcterms:created xsi:type="dcterms:W3CDTF">2026-03-18T18:02:00Z</dcterms:created>
  <dcterms:modified xsi:type="dcterms:W3CDTF">2026-03-18T21:02:00Z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bb7f288d-7bd9-40a2-a1bd-0e4362a9af4c</vt:lpwstr>
  </property>
</Properties>
</file>