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line="240" w:lineRule="auto"/>
      </w:pPr>
      <w:r>
        <w:rPr>
          <w:sz w:val="2"/>
          <w:szCs w:val="2"/>
        </w:rPr>
        <w:t xml:space="preserve"/>
      </w:r>
    </w:p>
    <w:p>
      <w:pPr>
        <w:spacing w:after="220" w:line="300" w:lineRule="auto"/>
      </w:pPr>
      <w:r>
        <w:rPr>
          <w:rFonts w:ascii="Calibri" w:cs="Calibri" w:eastAsia="Calibri" w:hAnsi="Calibri"/>
          <w:b/>
          <w:bCs/>
          <w:color w:val="FF7A2F"/>
          <w:spacing w:val="70"/>
          <w:sz w:val="19"/>
          <w:szCs w:val="19"/>
        </w:rPr>
        <w:t xml:space="preserve">ESTUDIO SOCIOLINGÜÍSTICO DE ACTITUDES</w:t>
      </w:r>
    </w:p>
    <w:p>
      <w:pPr>
        <w:spacing w:after="140" w:line="300" w:lineRule="auto"/>
      </w:pPr>
      <w:r>
        <w:rPr>
          <w:rFonts w:ascii="Calibri" w:cs="Calibri" w:eastAsia="Calibri" w:hAnsi="Calibri"/>
          <w:b/>
          <w:bCs/>
          <w:color w:val="1D3C8D"/>
          <w:sz w:val="52"/>
          <w:szCs w:val="52"/>
        </w:rPr>
        <w:t xml:space="preserve">Guía estadística</w:t>
      </w:r>
    </w:p>
    <w:p>
      <w:pPr>
        <w:pBdr>
          <w:bottom w:val="single" w:color="FF7A2F" w:sz="14" w:space="12"/>
        </w:pBdr>
        <w:spacing w:after="240" w:line="300" w:lineRule="auto"/>
      </w:pPr>
      <w:r>
        <w:rPr>
          <w:rFonts w:ascii="Calibri" w:cs="Calibri" w:eastAsia="Calibri" w:hAnsi="Calibri"/>
          <w:b/>
          <w:bCs/>
          <w:color w:val="1F66F0"/>
          <w:sz w:val="52"/>
          <w:szCs w:val="52"/>
        </w:rPr>
        <w:t xml:space="preserve">del estudio</w:t>
      </w:r>
    </w:p>
    <w:p>
      <w:pPr>
        <w:spacing w:after="560" w:line="320" w:lineRule="auto"/>
      </w:pPr>
      <w:r>
        <w:rPr>
          <w:rFonts w:ascii="Cambria" w:cs="Cambria" w:eastAsia="Cambria" w:hAnsi="Cambria"/>
          <w:i/>
          <w:iCs/>
          <w:color w:val="475569"/>
          <w:sz w:val="26"/>
          <w:szCs w:val="26"/>
        </w:rPr>
        <w:t xml:space="preserve">Qué medimos, cuáles son las variables dependientes e independientes y con qué herramientas se analizan</w:t>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b/>
          <w:bCs/>
          <w:color w:val="1E3A8A"/>
          <w:sz w:val="20"/>
          <w:szCs w:val="20"/>
        </w:rPr>
        <w:t xml:space="preserve">Para quién es este documento.</w:t>
      </w:r>
      <w:r>
        <w:rPr>
          <w:color w:val="1E3A8A"/>
          <w:sz w:val="20"/>
          <w:szCs w:val="20"/>
        </w:rPr>
        <w:t xml:space="preserve"> Está escrito para alguien que trabaja en filología o en enseñanza de idiomas y que no tiene formación estadística previa. No hay fórmulas complicadas: cada término se explica la primera vez que aparece y se relaciona siempre con una pregunta concreta del formulario. Si en algún momento algo suena a jerga, está recogido en el glosario del final.</w:t>
      </w:r>
    </w:p>
    <w:p>
      <w:pPr>
        <w:spacing w:after="0" w:before="2400" w:line="240" w:lineRule="auto"/>
      </w:pPr>
      <w:r>
        <w:rPr>
          <w:sz w:val="2"/>
          <w:szCs w:val="2"/>
        </w:rPr>
        <w:t xml:space="preserve"/>
      </w:r>
    </w:p>
    <w:p>
      <w:pPr>
        <w:pBdr>
          <w:top w:val="single" w:color="CBD5E1" w:sz="6" w:space="12"/>
        </w:pBdr>
        <w:spacing w:after="60" w:line="264" w:lineRule="auto"/>
      </w:pPr>
      <w:r>
        <w:rPr>
          <w:rFonts w:ascii="Calibri" w:cs="Calibri" w:eastAsia="Calibri" w:hAnsi="Calibri"/>
          <w:color w:val="8FA0B5"/>
          <w:sz w:val="17"/>
          <w:szCs w:val="17"/>
        </w:rPr>
        <w:t xml:space="preserve">Técnica: verbal guise  ·  12 variedades del español peninsular  ·  23 escalas de diferencial semántico</w:t>
      </w:r>
    </w:p>
    <w:p>
      <w:pPr>
        <w:spacing w:after="0" w:line="264" w:lineRule="auto"/>
      </w:pPr>
      <w:r>
        <w:rPr>
          <w:rFonts w:ascii="Calibri" w:cs="Calibri" w:eastAsia="Calibri" w:hAnsi="Calibri"/>
          <w:color w:val="8FA0B5"/>
          <w:sz w:val="17"/>
          <w:szCs w:val="17"/>
        </w:rPr>
        <w:t xml:space="preserve">Documento de apoyo metodológico  ·  18 de septiembre de 2026</w:t>
      </w:r>
    </w:p>
    <w:p>
      <w:pPr>
        <w:spacing w:after="0"/>
      </w:pPr>
      <w:r>
        <w:br w:type="page"/>
      </w:r>
    </w:p>
    <w:p>
      <w:pPr>
        <w:pBdr>
          <w:bottom w:val="single" w:color="1D3C8D" w:sz="8" w:space="8"/>
        </w:pBdr>
        <w:spacing w:after="70" w:before="0" w:line="300" w:lineRule="auto"/>
      </w:pPr>
      <w:r>
        <w:rPr>
          <w:rFonts w:ascii="Calibri" w:cs="Calibri" w:eastAsia="Calibri" w:hAnsi="Calibri"/>
          <w:b/>
          <w:bCs/>
          <w:color w:val="1D3C8D"/>
          <w:sz w:val="30"/>
          <w:szCs w:val="30"/>
        </w:rPr>
        <w:t xml:space="preserve">Índice</w:t>
      </w:r>
    </w:p>
    <w:p>
      <w:pPr>
        <w:spacing w:after="190" w:line="264" w:lineRule="auto"/>
      </w:pPr>
      <w:r>
        <w:rPr>
          <w:rFonts w:ascii="Cambria" w:cs="Cambria" w:eastAsia="Cambria" w:hAnsi="Cambria"/>
          <w:i/>
          <w:iCs/>
          <w:color w:val="8FA0B5"/>
          <w:sz w:val="18"/>
          <w:szCs w:val="18"/>
        </w:rPr>
        <w:t xml:space="preserve">Cada entrada es un enlace: pulsa sobre ella para saltar a la sección.</w:t>
      </w:r>
    </w:p>
    <w:p>
      <w:pPr>
        <w:tabs>
          <w:tab w:val="right" w:pos="9411" w:leader="dot"/>
        </w:tabs>
        <w:spacing w:after="20" w:before="70" w:line="258" w:lineRule="auto"/>
        <w:ind w:left="0" w:right="0"/>
      </w:pPr>
      <w:hyperlink w:history="1" w:anchor="h1">
        <w:r>
          <w:rPr>
            <w:rFonts w:ascii="Calibri" w:cs="Calibri" w:eastAsia="Calibri" w:hAnsi="Calibri"/>
            <w:b/>
            <w:bCs/>
            <w:color w:val="1D3C8D"/>
            <w:sz w:val="21"/>
            <w:szCs w:val="21"/>
          </w:rPr>
          <w:t xml:space="preserve">1. Qué tipo de estudio es y qué quiere demostrar</w:t>
        </w:r>
      </w:hyperlink>
      <w:r>
        <w:rPr>
          <w:sz w:val="21"/>
          <w:szCs w:val="21"/>
        </w:rPr>
        <w:t xml:space="preserve">	</w:t>
      </w:r>
      <w:hyperlink w:history="1" w:anchor="h1">
        <w:r>
          <w:rPr>
            <w:rFonts w:ascii="Calibri" w:cs="Calibri" w:eastAsia="Calibri" w:hAnsi="Calibri"/>
            <w:b/>
            <w:bCs/>
            <w:color w:val="1D3C8D"/>
            <w:sz w:val="21"/>
            <w:szCs w:val="21"/>
          </w:rPr>
          <w:t xml:space="preserve">3</w:t>
        </w:r>
      </w:hyperlink>
    </w:p>
    <w:p>
      <w:pPr>
        <w:tabs>
          <w:tab w:val="right" w:pos="9411" w:leader="dot"/>
        </w:tabs>
        <w:spacing w:after="20" w:before="70" w:line="258" w:lineRule="auto"/>
        <w:ind w:left="0" w:right="0"/>
      </w:pPr>
      <w:hyperlink w:history="1" w:anchor="h2">
        <w:r>
          <w:rPr>
            <w:rFonts w:ascii="Calibri" w:cs="Calibri" w:eastAsia="Calibri" w:hAnsi="Calibri"/>
            <w:b/>
            <w:bCs/>
            <w:color w:val="1D3C8D"/>
            <w:sz w:val="21"/>
            <w:szCs w:val="21"/>
          </w:rPr>
          <w:t xml:space="preserve">2. La idea central: variable independiente y variable dependiente</w:t>
        </w:r>
      </w:hyperlink>
      <w:r>
        <w:rPr>
          <w:sz w:val="21"/>
          <w:szCs w:val="21"/>
        </w:rPr>
        <w:t xml:space="preserve">	</w:t>
      </w:r>
      <w:hyperlink w:history="1" w:anchor="h2">
        <w:r>
          <w:rPr>
            <w:rFonts w:ascii="Calibri" w:cs="Calibri" w:eastAsia="Calibri" w:hAnsi="Calibri"/>
            <w:b/>
            <w:bCs/>
            <w:color w:val="1D3C8D"/>
            <w:sz w:val="21"/>
            <w:szCs w:val="21"/>
          </w:rPr>
          <w:t xml:space="preserve">4</w:t>
        </w:r>
      </w:hyperlink>
    </w:p>
    <w:p>
      <w:pPr>
        <w:tabs>
          <w:tab w:val="right" w:pos="9411" w:leader="dot"/>
        </w:tabs>
        <w:spacing w:after="24" w:before="0" w:line="258" w:lineRule="auto"/>
        <w:ind w:left="340" w:right="0"/>
      </w:pPr>
      <w:hyperlink w:history="1" w:anchor="h3">
        <w:r>
          <w:rPr>
            <w:rFonts w:ascii="Calibri" w:cs="Calibri" w:eastAsia="Calibri" w:hAnsi="Calibri"/>
            <w:color w:val="475569"/>
            <w:sz w:val="19"/>
            <w:szCs w:val="19"/>
          </w:rPr>
          <w:t xml:space="preserve">El matiz que hay que tener claro en este estudio</w:t>
        </w:r>
      </w:hyperlink>
      <w:r>
        <w:rPr>
          <w:sz w:val="19"/>
          <w:szCs w:val="19"/>
        </w:rPr>
        <w:t xml:space="preserve">	</w:t>
      </w:r>
      <w:hyperlink w:history="1" w:anchor="h3">
        <w:r>
          <w:rPr>
            <w:rFonts w:ascii="Calibri" w:cs="Calibri" w:eastAsia="Calibri" w:hAnsi="Calibri"/>
            <w:color w:val="475569"/>
            <w:sz w:val="19"/>
            <w:szCs w:val="19"/>
          </w:rPr>
          <w:t xml:space="preserve">4</w:t>
        </w:r>
      </w:hyperlink>
    </w:p>
    <w:p>
      <w:pPr>
        <w:tabs>
          <w:tab w:val="right" w:pos="9411" w:leader="dot"/>
        </w:tabs>
        <w:spacing w:after="20" w:before="70" w:line="258" w:lineRule="auto"/>
        <w:ind w:left="0" w:right="0"/>
      </w:pPr>
      <w:hyperlink w:history="1" w:anchor="h4">
        <w:r>
          <w:rPr>
            <w:rFonts w:ascii="Calibri" w:cs="Calibri" w:eastAsia="Calibri" w:hAnsi="Calibri"/>
            <w:b/>
            <w:bCs/>
            <w:color w:val="1D3C8D"/>
            <w:sz w:val="21"/>
            <w:szCs w:val="21"/>
          </w:rPr>
          <w:t xml:space="preserve">3. Los tipos de variable que aparecen en el estudio</w:t>
        </w:r>
      </w:hyperlink>
      <w:r>
        <w:rPr>
          <w:sz w:val="21"/>
          <w:szCs w:val="21"/>
        </w:rPr>
        <w:t xml:space="preserve">	</w:t>
      </w:r>
      <w:hyperlink w:history="1" w:anchor="h4">
        <w:r>
          <w:rPr>
            <w:rFonts w:ascii="Calibri" w:cs="Calibri" w:eastAsia="Calibri" w:hAnsi="Calibri"/>
            <w:b/>
            <w:bCs/>
            <w:color w:val="1D3C8D"/>
            <w:sz w:val="21"/>
            <w:szCs w:val="21"/>
          </w:rPr>
          <w:t xml:space="preserve">6</w:t>
        </w:r>
      </w:hyperlink>
    </w:p>
    <w:p>
      <w:pPr>
        <w:tabs>
          <w:tab w:val="right" w:pos="9411" w:leader="dot"/>
        </w:tabs>
        <w:spacing w:after="24" w:before="0" w:line="258" w:lineRule="auto"/>
        <w:ind w:left="340" w:right="0"/>
      </w:pPr>
      <w:hyperlink w:history="1" w:anchor="h5">
        <w:r>
          <w:rPr>
            <w:rFonts w:ascii="Calibri" w:cs="Calibri" w:eastAsia="Calibri" w:hAnsi="Calibri"/>
            <w:color w:val="475569"/>
            <w:sz w:val="19"/>
            <w:szCs w:val="19"/>
          </w:rPr>
          <w:t xml:space="preserve">3.1 Variables categóricas nominales</w:t>
        </w:r>
      </w:hyperlink>
      <w:r>
        <w:rPr>
          <w:sz w:val="19"/>
          <w:szCs w:val="19"/>
        </w:rPr>
        <w:t xml:space="preserve">	</w:t>
      </w:r>
      <w:hyperlink w:history="1" w:anchor="h5">
        <w:r>
          <w:rPr>
            <w:rFonts w:ascii="Calibri" w:cs="Calibri" w:eastAsia="Calibri" w:hAnsi="Calibri"/>
            <w:color w:val="475569"/>
            <w:sz w:val="19"/>
            <w:szCs w:val="19"/>
          </w:rPr>
          <w:t xml:space="preserve">6</w:t>
        </w:r>
      </w:hyperlink>
    </w:p>
    <w:p>
      <w:pPr>
        <w:tabs>
          <w:tab w:val="right" w:pos="9411" w:leader="dot"/>
        </w:tabs>
        <w:spacing w:after="24" w:before="0" w:line="258" w:lineRule="auto"/>
        <w:ind w:left="340" w:right="0"/>
      </w:pPr>
      <w:hyperlink w:history="1" w:anchor="h6">
        <w:r>
          <w:rPr>
            <w:rFonts w:ascii="Calibri" w:cs="Calibri" w:eastAsia="Calibri" w:hAnsi="Calibri"/>
            <w:color w:val="475569"/>
            <w:sz w:val="19"/>
            <w:szCs w:val="19"/>
          </w:rPr>
          <w:t xml:space="preserve">3.2 Variables categóricas dicotómicas (sí/no)</w:t>
        </w:r>
      </w:hyperlink>
      <w:r>
        <w:rPr>
          <w:sz w:val="19"/>
          <w:szCs w:val="19"/>
        </w:rPr>
        <w:t xml:space="preserve">	</w:t>
      </w:r>
      <w:hyperlink w:history="1" w:anchor="h6">
        <w:r>
          <w:rPr>
            <w:rFonts w:ascii="Calibri" w:cs="Calibri" w:eastAsia="Calibri" w:hAnsi="Calibri"/>
            <w:color w:val="475569"/>
            <w:sz w:val="19"/>
            <w:szCs w:val="19"/>
          </w:rPr>
          <w:t xml:space="preserve">6</w:t>
        </w:r>
      </w:hyperlink>
    </w:p>
    <w:p>
      <w:pPr>
        <w:tabs>
          <w:tab w:val="right" w:pos="9411" w:leader="dot"/>
        </w:tabs>
        <w:spacing w:after="24" w:before="0" w:line="258" w:lineRule="auto"/>
        <w:ind w:left="340" w:right="0"/>
      </w:pPr>
      <w:hyperlink w:history="1" w:anchor="h7">
        <w:r>
          <w:rPr>
            <w:rFonts w:ascii="Calibri" w:cs="Calibri" w:eastAsia="Calibri" w:hAnsi="Calibri"/>
            <w:color w:val="475569"/>
            <w:sz w:val="19"/>
            <w:szCs w:val="19"/>
          </w:rPr>
          <w:t xml:space="preserve">3.3 Variables ordinales</w:t>
        </w:r>
      </w:hyperlink>
      <w:r>
        <w:rPr>
          <w:sz w:val="19"/>
          <w:szCs w:val="19"/>
        </w:rPr>
        <w:t xml:space="preserve">	</w:t>
      </w:r>
      <w:hyperlink w:history="1" w:anchor="h7">
        <w:r>
          <w:rPr>
            <w:rFonts w:ascii="Calibri" w:cs="Calibri" w:eastAsia="Calibri" w:hAnsi="Calibri"/>
            <w:color w:val="475569"/>
            <w:sz w:val="19"/>
            <w:szCs w:val="19"/>
          </w:rPr>
          <w:t xml:space="preserve">6</w:t>
        </w:r>
      </w:hyperlink>
    </w:p>
    <w:p>
      <w:pPr>
        <w:tabs>
          <w:tab w:val="right" w:pos="9411" w:leader="dot"/>
        </w:tabs>
        <w:spacing w:after="24" w:before="0" w:line="258" w:lineRule="auto"/>
        <w:ind w:left="340" w:right="0"/>
      </w:pPr>
      <w:hyperlink w:history="1" w:anchor="h8">
        <w:r>
          <w:rPr>
            <w:rFonts w:ascii="Calibri" w:cs="Calibri" w:eastAsia="Calibri" w:hAnsi="Calibri"/>
            <w:color w:val="475569"/>
            <w:sz w:val="19"/>
            <w:szCs w:val="19"/>
          </w:rPr>
          <w:t xml:space="preserve">3.4 El caso especial: el diferencial semántico</w:t>
        </w:r>
      </w:hyperlink>
      <w:r>
        <w:rPr>
          <w:sz w:val="19"/>
          <w:szCs w:val="19"/>
        </w:rPr>
        <w:t xml:space="preserve">	</w:t>
      </w:r>
      <w:hyperlink w:history="1" w:anchor="h8">
        <w:r>
          <w:rPr>
            <w:rFonts w:ascii="Calibri" w:cs="Calibri" w:eastAsia="Calibri" w:hAnsi="Calibri"/>
            <w:color w:val="475569"/>
            <w:sz w:val="19"/>
            <w:szCs w:val="19"/>
          </w:rPr>
          <w:t xml:space="preserve">7</w:t>
        </w:r>
      </w:hyperlink>
    </w:p>
    <w:p>
      <w:pPr>
        <w:tabs>
          <w:tab w:val="right" w:pos="9411" w:leader="dot"/>
        </w:tabs>
        <w:spacing w:after="24" w:before="0" w:line="258" w:lineRule="auto"/>
        <w:ind w:left="340" w:right="0"/>
      </w:pPr>
      <w:hyperlink w:history="1" w:anchor="h9">
        <w:r>
          <w:rPr>
            <w:rFonts w:ascii="Calibri" w:cs="Calibri" w:eastAsia="Calibri" w:hAnsi="Calibri"/>
            <w:color w:val="475569"/>
            <w:sz w:val="19"/>
            <w:szCs w:val="19"/>
          </w:rPr>
          <w:t xml:space="preserve">3.5 Variables cuantitativas continuas</w:t>
        </w:r>
      </w:hyperlink>
      <w:r>
        <w:rPr>
          <w:sz w:val="19"/>
          <w:szCs w:val="19"/>
        </w:rPr>
        <w:t xml:space="preserve">	</w:t>
      </w:r>
      <w:hyperlink w:history="1" w:anchor="h9">
        <w:r>
          <w:rPr>
            <w:rFonts w:ascii="Calibri" w:cs="Calibri" w:eastAsia="Calibri" w:hAnsi="Calibri"/>
            <w:color w:val="475569"/>
            <w:sz w:val="19"/>
            <w:szCs w:val="19"/>
          </w:rPr>
          <w:t xml:space="preserve">8</w:t>
        </w:r>
      </w:hyperlink>
    </w:p>
    <w:p>
      <w:pPr>
        <w:tabs>
          <w:tab w:val="right" w:pos="9411" w:leader="dot"/>
        </w:tabs>
        <w:spacing w:after="24" w:before="0" w:line="258" w:lineRule="auto"/>
        <w:ind w:left="340" w:right="0"/>
      </w:pPr>
      <w:hyperlink w:history="1" w:anchor="h10">
        <w:r>
          <w:rPr>
            <w:rFonts w:ascii="Calibri" w:cs="Calibri" w:eastAsia="Calibri" w:hAnsi="Calibri"/>
            <w:color w:val="475569"/>
            <w:sz w:val="19"/>
            <w:szCs w:val="19"/>
          </w:rPr>
          <w:t xml:space="preserve">3.6 Variables cualitativas de texto libre</w:t>
        </w:r>
      </w:hyperlink>
      <w:r>
        <w:rPr>
          <w:sz w:val="19"/>
          <w:szCs w:val="19"/>
        </w:rPr>
        <w:t xml:space="preserve">	</w:t>
      </w:r>
      <w:hyperlink w:history="1" w:anchor="h10">
        <w:r>
          <w:rPr>
            <w:rFonts w:ascii="Calibri" w:cs="Calibri" w:eastAsia="Calibri" w:hAnsi="Calibri"/>
            <w:color w:val="475569"/>
            <w:sz w:val="19"/>
            <w:szCs w:val="19"/>
          </w:rPr>
          <w:t xml:space="preserve">8</w:t>
        </w:r>
      </w:hyperlink>
    </w:p>
    <w:p>
      <w:pPr>
        <w:tabs>
          <w:tab w:val="right" w:pos="9411" w:leader="dot"/>
        </w:tabs>
        <w:spacing w:after="20" w:before="70" w:line="258" w:lineRule="auto"/>
        <w:ind w:left="0" w:right="0"/>
      </w:pPr>
      <w:hyperlink w:history="1" w:anchor="h11">
        <w:r>
          <w:rPr>
            <w:rFonts w:ascii="Calibri" w:cs="Calibri" w:eastAsia="Calibri" w:hAnsi="Calibri"/>
            <w:b/>
            <w:bCs/>
            <w:color w:val="1D3C8D"/>
            <w:sz w:val="21"/>
            <w:szCs w:val="21"/>
          </w:rPr>
          <w:t xml:space="preserve">4. Cómo están organizados los datos: dos niveles</w:t>
        </w:r>
      </w:hyperlink>
      <w:r>
        <w:rPr>
          <w:sz w:val="21"/>
          <w:szCs w:val="21"/>
        </w:rPr>
        <w:t xml:space="preserve">	</w:t>
      </w:r>
      <w:hyperlink w:history="1" w:anchor="h11">
        <w:r>
          <w:rPr>
            <w:rFonts w:ascii="Calibri" w:cs="Calibri" w:eastAsia="Calibri" w:hAnsi="Calibri"/>
            <w:b/>
            <w:bCs/>
            <w:color w:val="1D3C8D"/>
            <w:sz w:val="21"/>
            <w:szCs w:val="21"/>
          </w:rPr>
          <w:t xml:space="preserve">9</w:t>
        </w:r>
      </w:hyperlink>
    </w:p>
    <w:p>
      <w:pPr>
        <w:tabs>
          <w:tab w:val="right" w:pos="9411" w:leader="dot"/>
        </w:tabs>
        <w:spacing w:after="20" w:before="70" w:line="258" w:lineRule="auto"/>
        <w:ind w:left="0" w:right="0"/>
      </w:pPr>
      <w:hyperlink w:history="1" w:anchor="h12">
        <w:r>
          <w:rPr>
            <w:rFonts w:ascii="Calibri" w:cs="Calibri" w:eastAsia="Calibri" w:hAnsi="Calibri"/>
            <w:b/>
            <w:bCs/>
            <w:color w:val="1D3C8D"/>
            <w:sz w:val="21"/>
            <w:szCs w:val="21"/>
          </w:rPr>
          <w:t xml:space="preserve">5. Inventario completo de variables independientes</w:t>
        </w:r>
      </w:hyperlink>
      <w:r>
        <w:rPr>
          <w:sz w:val="21"/>
          <w:szCs w:val="21"/>
        </w:rPr>
        <w:t xml:space="preserve">	</w:t>
      </w:r>
      <w:hyperlink w:history="1" w:anchor="h12">
        <w:r>
          <w:rPr>
            <w:rFonts w:ascii="Calibri" w:cs="Calibri" w:eastAsia="Calibri" w:hAnsi="Calibri"/>
            <w:b/>
            <w:bCs/>
            <w:color w:val="1D3C8D"/>
            <w:sz w:val="21"/>
            <w:szCs w:val="21"/>
          </w:rPr>
          <w:t xml:space="preserve">10</w:t>
        </w:r>
      </w:hyperlink>
    </w:p>
    <w:p>
      <w:pPr>
        <w:tabs>
          <w:tab w:val="right" w:pos="9411" w:leader="dot"/>
        </w:tabs>
        <w:spacing w:after="24" w:before="0" w:line="258" w:lineRule="auto"/>
        <w:ind w:left="340" w:right="0"/>
      </w:pPr>
      <w:hyperlink w:history="1" w:anchor="h13">
        <w:r>
          <w:rPr>
            <w:rFonts w:ascii="Calibri" w:cs="Calibri" w:eastAsia="Calibri" w:hAnsi="Calibri"/>
            <w:color w:val="475569"/>
            <w:sz w:val="19"/>
            <w:szCs w:val="19"/>
          </w:rPr>
          <w:t xml:space="preserve">5.1 VI experimentales (las que se manipulan) — nivel valoración</w:t>
        </w:r>
      </w:hyperlink>
      <w:r>
        <w:rPr>
          <w:sz w:val="19"/>
          <w:szCs w:val="19"/>
        </w:rPr>
        <w:t xml:space="preserve">	</w:t>
      </w:r>
      <w:hyperlink w:history="1" w:anchor="h13">
        <w:r>
          <w:rPr>
            <w:rFonts w:ascii="Calibri" w:cs="Calibri" w:eastAsia="Calibri" w:hAnsi="Calibri"/>
            <w:color w:val="475569"/>
            <w:sz w:val="19"/>
            <w:szCs w:val="19"/>
          </w:rPr>
          <w:t xml:space="preserve">10</w:t>
        </w:r>
      </w:hyperlink>
    </w:p>
    <w:p>
      <w:pPr>
        <w:tabs>
          <w:tab w:val="right" w:pos="9411" w:leader="dot"/>
        </w:tabs>
        <w:spacing w:after="24" w:before="0" w:line="258" w:lineRule="auto"/>
        <w:ind w:left="340" w:right="0"/>
      </w:pPr>
      <w:hyperlink w:history="1" w:anchor="h14">
        <w:r>
          <w:rPr>
            <w:rFonts w:ascii="Calibri" w:cs="Calibri" w:eastAsia="Calibri" w:hAnsi="Calibri"/>
            <w:color w:val="475569"/>
            <w:sz w:val="19"/>
            <w:szCs w:val="19"/>
          </w:rPr>
          <w:t xml:space="preserve">5.2 VI del participante (características, no manipuladas) — nivel participante</w:t>
        </w:r>
      </w:hyperlink>
      <w:r>
        <w:rPr>
          <w:sz w:val="19"/>
          <w:szCs w:val="19"/>
        </w:rPr>
        <w:t xml:space="preserve">	</w:t>
      </w:r>
      <w:hyperlink w:history="1" w:anchor="h14">
        <w:r>
          <w:rPr>
            <w:rFonts w:ascii="Calibri" w:cs="Calibri" w:eastAsia="Calibri" w:hAnsi="Calibri"/>
            <w:color w:val="475569"/>
            <w:sz w:val="19"/>
            <w:szCs w:val="19"/>
          </w:rPr>
          <w:t xml:space="preserve">10</w:t>
        </w:r>
      </w:hyperlink>
    </w:p>
    <w:p>
      <w:pPr>
        <w:tabs>
          <w:tab w:val="right" w:pos="9411" w:leader="dot"/>
        </w:tabs>
        <w:spacing w:after="20" w:before="70" w:line="258" w:lineRule="auto"/>
        <w:ind w:left="0" w:right="0"/>
      </w:pPr>
      <w:hyperlink w:history="1" w:anchor="h15">
        <w:r>
          <w:rPr>
            <w:rFonts w:ascii="Calibri" w:cs="Calibri" w:eastAsia="Calibri" w:hAnsi="Calibri"/>
            <w:b/>
            <w:bCs/>
            <w:color w:val="1D3C8D"/>
            <w:sz w:val="21"/>
            <w:szCs w:val="21"/>
          </w:rPr>
          <w:t xml:space="preserve">6. Inventario completo de variables dependientes</w:t>
        </w:r>
      </w:hyperlink>
      <w:r>
        <w:rPr>
          <w:sz w:val="21"/>
          <w:szCs w:val="21"/>
        </w:rPr>
        <w:t xml:space="preserve">	</w:t>
      </w:r>
      <w:hyperlink w:history="1" w:anchor="h15">
        <w:r>
          <w:rPr>
            <w:rFonts w:ascii="Calibri" w:cs="Calibri" w:eastAsia="Calibri" w:hAnsi="Calibri"/>
            <w:b/>
            <w:bCs/>
            <w:color w:val="1D3C8D"/>
            <w:sz w:val="21"/>
            <w:szCs w:val="21"/>
          </w:rPr>
          <w:t xml:space="preserve">12</w:t>
        </w:r>
      </w:hyperlink>
    </w:p>
    <w:p>
      <w:pPr>
        <w:tabs>
          <w:tab w:val="right" w:pos="9411" w:leader="dot"/>
        </w:tabs>
        <w:spacing w:after="24" w:before="0" w:line="258" w:lineRule="auto"/>
        <w:ind w:left="340" w:right="0"/>
      </w:pPr>
      <w:hyperlink w:history="1" w:anchor="h16">
        <w:r>
          <w:rPr>
            <w:rFonts w:ascii="Calibri" w:cs="Calibri" w:eastAsia="Calibri" w:hAnsi="Calibri"/>
            <w:color w:val="475569"/>
            <w:sz w:val="19"/>
            <w:szCs w:val="19"/>
          </w:rPr>
          <w:t xml:space="preserve">6.1 Las 23 escalas de diferencial semántico (1-5) — VD principales</w:t>
        </w:r>
      </w:hyperlink>
      <w:r>
        <w:rPr>
          <w:sz w:val="19"/>
          <w:szCs w:val="19"/>
        </w:rPr>
        <w:t xml:space="preserve">	</w:t>
      </w:r>
      <w:hyperlink w:history="1" w:anchor="h16">
        <w:r>
          <w:rPr>
            <w:rFonts w:ascii="Calibri" w:cs="Calibri" w:eastAsia="Calibri" w:hAnsi="Calibri"/>
            <w:color w:val="475569"/>
            <w:sz w:val="19"/>
            <w:szCs w:val="19"/>
          </w:rPr>
          <w:t xml:space="preserve">12</w:t>
        </w:r>
      </w:hyperlink>
    </w:p>
    <w:p>
      <w:pPr>
        <w:tabs>
          <w:tab w:val="right" w:pos="9411" w:leader="dot"/>
        </w:tabs>
        <w:spacing w:after="24" w:before="0" w:line="258" w:lineRule="auto"/>
        <w:ind w:left="340" w:right="0"/>
      </w:pPr>
      <w:hyperlink w:history="1" w:anchor="h17">
        <w:r>
          <w:rPr>
            <w:rFonts w:ascii="Calibri" w:cs="Calibri" w:eastAsia="Calibri" w:hAnsi="Calibri"/>
            <w:color w:val="475569"/>
            <w:sz w:val="19"/>
            <w:szCs w:val="19"/>
          </w:rPr>
          <w:t xml:space="preserve">6.2 El resto de variables dependientes</w:t>
        </w:r>
      </w:hyperlink>
      <w:r>
        <w:rPr>
          <w:sz w:val="19"/>
          <w:szCs w:val="19"/>
        </w:rPr>
        <w:t xml:space="preserve">	</w:t>
      </w:r>
      <w:hyperlink w:history="1" w:anchor="h17">
        <w:r>
          <w:rPr>
            <w:rFonts w:ascii="Calibri" w:cs="Calibri" w:eastAsia="Calibri" w:hAnsi="Calibri"/>
            <w:color w:val="475569"/>
            <w:sz w:val="19"/>
            <w:szCs w:val="19"/>
          </w:rPr>
          <w:t xml:space="preserve">12</w:t>
        </w:r>
      </w:hyperlink>
    </w:p>
    <w:p>
      <w:pPr>
        <w:tabs>
          <w:tab w:val="right" w:pos="9411" w:leader="dot"/>
        </w:tabs>
        <w:spacing w:after="24" w:before="0" w:line="258" w:lineRule="auto"/>
        <w:ind w:left="340" w:right="0"/>
      </w:pPr>
      <w:hyperlink w:history="1" w:anchor="h18">
        <w:r>
          <w:rPr>
            <w:rFonts w:ascii="Calibri" w:cs="Calibri" w:eastAsia="Calibri" w:hAnsi="Calibri"/>
            <w:color w:val="475569"/>
            <w:sz w:val="19"/>
            <w:szCs w:val="19"/>
          </w:rPr>
          <w:t xml:space="preserve">6.3 Un par de conceptos extra que conviene conocer</w:t>
        </w:r>
      </w:hyperlink>
      <w:r>
        <w:rPr>
          <w:sz w:val="19"/>
          <w:szCs w:val="19"/>
        </w:rPr>
        <w:t xml:space="preserve">	</w:t>
      </w:r>
      <w:hyperlink w:history="1" w:anchor="h18">
        <w:r>
          <w:rPr>
            <w:rFonts w:ascii="Calibri" w:cs="Calibri" w:eastAsia="Calibri" w:hAnsi="Calibri"/>
            <w:color w:val="475569"/>
            <w:sz w:val="19"/>
            <w:szCs w:val="19"/>
          </w:rPr>
          <w:t xml:space="preserve">13</w:t>
        </w:r>
      </w:hyperlink>
    </w:p>
    <w:p>
      <w:pPr>
        <w:tabs>
          <w:tab w:val="right" w:pos="9411" w:leader="dot"/>
        </w:tabs>
        <w:spacing w:after="20" w:before="70" w:line="258" w:lineRule="auto"/>
        <w:ind w:left="0" w:right="0"/>
      </w:pPr>
      <w:hyperlink w:history="1" w:anchor="h19">
        <w:r>
          <w:rPr>
            <w:rFonts w:ascii="Calibri" w:cs="Calibri" w:eastAsia="Calibri" w:hAnsi="Calibri"/>
            <w:b/>
            <w:bCs/>
            <w:color w:val="1D3C8D"/>
            <w:sz w:val="21"/>
            <w:szCs w:val="21"/>
          </w:rPr>
          <w:t xml:space="preserve">7. Variables de diseño y de control</w:t>
        </w:r>
      </w:hyperlink>
      <w:r>
        <w:rPr>
          <w:sz w:val="21"/>
          <w:szCs w:val="21"/>
        </w:rPr>
        <w:t xml:space="preserve">	</w:t>
      </w:r>
      <w:hyperlink w:history="1" w:anchor="h19">
        <w:r>
          <w:rPr>
            <w:rFonts w:ascii="Calibri" w:cs="Calibri" w:eastAsia="Calibri" w:hAnsi="Calibri"/>
            <w:b/>
            <w:bCs/>
            <w:color w:val="1D3C8D"/>
            <w:sz w:val="21"/>
            <w:szCs w:val="21"/>
          </w:rPr>
          <w:t xml:space="preserve">14</w:t>
        </w:r>
      </w:hyperlink>
    </w:p>
    <w:p>
      <w:pPr>
        <w:tabs>
          <w:tab w:val="right" w:pos="9411" w:leader="dot"/>
        </w:tabs>
        <w:spacing w:after="24" w:before="0" w:line="258" w:lineRule="auto"/>
        <w:ind w:left="340" w:right="0"/>
      </w:pPr>
      <w:hyperlink w:history="1" w:anchor="h20">
        <w:r>
          <w:rPr>
            <w:rFonts w:ascii="Calibri" w:cs="Calibri" w:eastAsia="Calibri" w:hAnsi="Calibri"/>
            <w:color w:val="475569"/>
            <w:sz w:val="19"/>
            <w:szCs w:val="19"/>
          </w:rPr>
          <w:t xml:space="preserve">El problema que resuelve</w:t>
        </w:r>
      </w:hyperlink>
      <w:r>
        <w:rPr>
          <w:sz w:val="19"/>
          <w:szCs w:val="19"/>
        </w:rPr>
        <w:t xml:space="preserve">	</w:t>
      </w:r>
      <w:hyperlink w:history="1" w:anchor="h20">
        <w:r>
          <w:rPr>
            <w:rFonts w:ascii="Calibri" w:cs="Calibri" w:eastAsia="Calibri" w:hAnsi="Calibri"/>
            <w:color w:val="475569"/>
            <w:sz w:val="19"/>
            <w:szCs w:val="19"/>
          </w:rPr>
          <w:t xml:space="preserve">14</w:t>
        </w:r>
      </w:hyperlink>
    </w:p>
    <w:p>
      <w:pPr>
        <w:tabs>
          <w:tab w:val="right" w:pos="9411" w:leader="dot"/>
        </w:tabs>
        <w:spacing w:after="24" w:before="0" w:line="258" w:lineRule="auto"/>
        <w:ind w:left="340" w:right="0"/>
      </w:pPr>
      <w:hyperlink w:history="1" w:anchor="h21">
        <w:r>
          <w:rPr>
            <w:rFonts w:ascii="Calibri" w:cs="Calibri" w:eastAsia="Calibri" w:hAnsi="Calibri"/>
            <w:color w:val="475569"/>
            <w:sz w:val="19"/>
            <w:szCs w:val="19"/>
          </w:rPr>
          <w:t xml:space="preserve">La solución: diseño de bloques incompletos balanceados (BIBD)</w:t>
        </w:r>
      </w:hyperlink>
      <w:r>
        <w:rPr>
          <w:sz w:val="19"/>
          <w:szCs w:val="19"/>
        </w:rPr>
        <w:t xml:space="preserve">	</w:t>
      </w:r>
      <w:hyperlink w:history="1" w:anchor="h21">
        <w:r>
          <w:rPr>
            <w:rFonts w:ascii="Calibri" w:cs="Calibri" w:eastAsia="Calibri" w:hAnsi="Calibri"/>
            <w:color w:val="475569"/>
            <w:sz w:val="19"/>
            <w:szCs w:val="19"/>
          </w:rPr>
          <w:t xml:space="preserve">14</w:t>
        </w:r>
      </w:hyperlink>
    </w:p>
    <w:p>
      <w:pPr>
        <w:tabs>
          <w:tab w:val="right" w:pos="9411" w:leader="dot"/>
        </w:tabs>
        <w:spacing w:after="24" w:before="0" w:line="258" w:lineRule="auto"/>
        <w:ind w:left="340" w:right="0"/>
      </w:pPr>
      <w:hyperlink w:history="1" w:anchor="h22">
        <w:r>
          <w:rPr>
            <w:rFonts w:ascii="Calibri" w:cs="Calibri" w:eastAsia="Calibri" w:hAnsi="Calibri"/>
            <w:color w:val="475569"/>
            <w:sz w:val="19"/>
            <w:szCs w:val="19"/>
          </w:rPr>
          <w:t xml:space="preserve">Cómo se redacta esto en la tesis</w:t>
        </w:r>
      </w:hyperlink>
      <w:r>
        <w:rPr>
          <w:sz w:val="19"/>
          <w:szCs w:val="19"/>
        </w:rPr>
        <w:t xml:space="preserve">	</w:t>
      </w:r>
      <w:hyperlink w:history="1" w:anchor="h22">
        <w:r>
          <w:rPr>
            <w:rFonts w:ascii="Calibri" w:cs="Calibri" w:eastAsia="Calibri" w:hAnsi="Calibri"/>
            <w:color w:val="475569"/>
            <w:sz w:val="19"/>
            <w:szCs w:val="19"/>
          </w:rPr>
          <w:t xml:space="preserve">15</w:t>
        </w:r>
      </w:hyperlink>
    </w:p>
    <w:p>
      <w:pPr>
        <w:tabs>
          <w:tab w:val="right" w:pos="9411" w:leader="dot"/>
        </w:tabs>
        <w:spacing w:after="20" w:before="70" w:line="258" w:lineRule="auto"/>
        <w:ind w:left="0" w:right="0"/>
      </w:pPr>
      <w:hyperlink w:history="1" w:anchor="h23">
        <w:r>
          <w:rPr>
            <w:rFonts w:ascii="Calibri" w:cs="Calibri" w:eastAsia="Calibri" w:hAnsi="Calibri"/>
            <w:b/>
            <w:bCs/>
            <w:color w:val="1D3C8D"/>
            <w:sz w:val="21"/>
            <w:szCs w:val="21"/>
          </w:rPr>
          <w:t xml:space="preserve">8. Qué estadísticas calcula la aplicación hoy</w:t>
        </w:r>
      </w:hyperlink>
      <w:r>
        <w:rPr>
          <w:sz w:val="21"/>
          <w:szCs w:val="21"/>
        </w:rPr>
        <w:t xml:space="preserve">	</w:t>
      </w:r>
      <w:hyperlink w:history="1" w:anchor="h23">
        <w:r>
          <w:rPr>
            <w:rFonts w:ascii="Calibri" w:cs="Calibri" w:eastAsia="Calibri" w:hAnsi="Calibri"/>
            <w:b/>
            <w:bCs/>
            <w:color w:val="1D3C8D"/>
            <w:sz w:val="21"/>
            <w:szCs w:val="21"/>
          </w:rPr>
          <w:t xml:space="preserve">16</w:t>
        </w:r>
      </w:hyperlink>
    </w:p>
    <w:p>
      <w:pPr>
        <w:tabs>
          <w:tab w:val="right" w:pos="9411" w:leader="dot"/>
        </w:tabs>
        <w:spacing w:after="24" w:before="0" w:line="258" w:lineRule="auto"/>
        <w:ind w:left="340" w:right="0"/>
      </w:pPr>
      <w:hyperlink w:history="1" w:anchor="h24">
        <w:r>
          <w:rPr>
            <w:rFonts w:ascii="Calibri" w:cs="Calibri" w:eastAsia="Calibri" w:hAnsi="Calibri"/>
            <w:color w:val="475569"/>
            <w:sz w:val="19"/>
            <w:szCs w:val="19"/>
          </w:rPr>
          <w:t xml:space="preserve">8.1 La distinción descriptiva / inferencial, en dos líneas</w:t>
        </w:r>
      </w:hyperlink>
      <w:r>
        <w:rPr>
          <w:sz w:val="19"/>
          <w:szCs w:val="19"/>
        </w:rPr>
        <w:t xml:space="preserve">	</w:t>
      </w:r>
      <w:hyperlink w:history="1" w:anchor="h24">
        <w:r>
          <w:rPr>
            <w:rFonts w:ascii="Calibri" w:cs="Calibri" w:eastAsia="Calibri" w:hAnsi="Calibri"/>
            <w:color w:val="475569"/>
            <w:sz w:val="19"/>
            <w:szCs w:val="19"/>
          </w:rPr>
          <w:t xml:space="preserve">16</w:t>
        </w:r>
      </w:hyperlink>
    </w:p>
    <w:p>
      <w:pPr>
        <w:tabs>
          <w:tab w:val="right" w:pos="9411" w:leader="dot"/>
        </w:tabs>
        <w:spacing w:after="24" w:before="0" w:line="258" w:lineRule="auto"/>
        <w:ind w:left="340" w:right="0"/>
      </w:pPr>
      <w:hyperlink w:history="1" w:anchor="h25">
        <w:r>
          <w:rPr>
            <w:rFonts w:ascii="Calibri" w:cs="Calibri" w:eastAsia="Calibri" w:hAnsi="Calibri"/>
            <w:color w:val="475569"/>
            <w:sz w:val="19"/>
            <w:szCs w:val="19"/>
          </w:rPr>
          <w:t xml:space="preserve">8.2 Medidas resumen (los KPI de la cabecera)</w:t>
        </w:r>
      </w:hyperlink>
      <w:r>
        <w:rPr>
          <w:sz w:val="19"/>
          <w:szCs w:val="19"/>
        </w:rPr>
        <w:t xml:space="preserve">	</w:t>
      </w:r>
      <w:hyperlink w:history="1" w:anchor="h25">
        <w:r>
          <w:rPr>
            <w:rFonts w:ascii="Calibri" w:cs="Calibri" w:eastAsia="Calibri" w:hAnsi="Calibri"/>
            <w:color w:val="475569"/>
            <w:sz w:val="19"/>
            <w:szCs w:val="19"/>
          </w:rPr>
          <w:t xml:space="preserve">16</w:t>
        </w:r>
      </w:hyperlink>
    </w:p>
    <w:p>
      <w:pPr>
        <w:tabs>
          <w:tab w:val="right" w:pos="9411" w:leader="dot"/>
        </w:tabs>
        <w:spacing w:after="24" w:before="0" w:line="258" w:lineRule="auto"/>
        <w:ind w:left="340" w:right="0"/>
      </w:pPr>
      <w:hyperlink w:history="1" w:anchor="h26">
        <w:r>
          <w:rPr>
            <w:rFonts w:ascii="Calibri" w:cs="Calibri" w:eastAsia="Calibri" w:hAnsi="Calibri"/>
            <w:color w:val="475569"/>
            <w:sz w:val="19"/>
            <w:szCs w:val="19"/>
          </w:rPr>
          <w:t xml:space="preserve">8.3 Medias aritméticas</w:t>
        </w:r>
      </w:hyperlink>
      <w:r>
        <w:rPr>
          <w:sz w:val="19"/>
          <w:szCs w:val="19"/>
        </w:rPr>
        <w:t xml:space="preserve">	</w:t>
      </w:r>
      <w:hyperlink w:history="1" w:anchor="h26">
        <w:r>
          <w:rPr>
            <w:rFonts w:ascii="Calibri" w:cs="Calibri" w:eastAsia="Calibri" w:hAnsi="Calibri"/>
            <w:color w:val="475569"/>
            <w:sz w:val="19"/>
            <w:szCs w:val="19"/>
          </w:rPr>
          <w:t xml:space="preserve">16</w:t>
        </w:r>
      </w:hyperlink>
    </w:p>
    <w:p>
      <w:pPr>
        <w:tabs>
          <w:tab w:val="right" w:pos="9411" w:leader="dot"/>
        </w:tabs>
        <w:spacing w:after="24" w:before="0" w:line="258" w:lineRule="auto"/>
        <w:ind w:left="340" w:right="0"/>
      </w:pPr>
      <w:hyperlink w:history="1" w:anchor="h27">
        <w:r>
          <w:rPr>
            <w:rFonts w:ascii="Calibri" w:cs="Calibri" w:eastAsia="Calibri" w:hAnsi="Calibri"/>
            <w:color w:val="475569"/>
            <w:sz w:val="19"/>
            <w:szCs w:val="19"/>
          </w:rPr>
          <w:t xml:space="preserve">8.4 Distribuciones de frecuencias y porcentajes</w:t>
        </w:r>
      </w:hyperlink>
      <w:r>
        <w:rPr>
          <w:sz w:val="19"/>
          <w:szCs w:val="19"/>
        </w:rPr>
        <w:t xml:space="preserve">	</w:t>
      </w:r>
      <w:hyperlink w:history="1" w:anchor="h27">
        <w:r>
          <w:rPr>
            <w:rFonts w:ascii="Calibri" w:cs="Calibri" w:eastAsia="Calibri" w:hAnsi="Calibri"/>
            <w:color w:val="475569"/>
            <w:sz w:val="19"/>
            <w:szCs w:val="19"/>
          </w:rPr>
          <w:t xml:space="preserve">17</w:t>
        </w:r>
      </w:hyperlink>
    </w:p>
    <w:p>
      <w:pPr>
        <w:tabs>
          <w:tab w:val="right" w:pos="9411" w:leader="dot"/>
        </w:tabs>
        <w:spacing w:after="24" w:before="0" w:line="258" w:lineRule="auto"/>
        <w:ind w:left="340" w:right="0"/>
      </w:pPr>
      <w:hyperlink w:history="1" w:anchor="h28">
        <w:r>
          <w:rPr>
            <w:rFonts w:ascii="Calibri" w:cs="Calibri" w:eastAsia="Calibri" w:hAnsi="Calibri"/>
            <w:color w:val="475569"/>
            <w:sz w:val="19"/>
            <w:szCs w:val="19"/>
          </w:rPr>
          <w:t xml:space="preserve">8.5 Porcentajes derivados</w:t>
        </w:r>
      </w:hyperlink>
      <w:r>
        <w:rPr>
          <w:sz w:val="19"/>
          <w:szCs w:val="19"/>
        </w:rPr>
        <w:t xml:space="preserve">	</w:t>
      </w:r>
      <w:hyperlink w:history="1" w:anchor="h28">
        <w:r>
          <w:rPr>
            <w:rFonts w:ascii="Calibri" w:cs="Calibri" w:eastAsia="Calibri" w:hAnsi="Calibri"/>
            <w:color w:val="475569"/>
            <w:sz w:val="19"/>
            <w:szCs w:val="19"/>
          </w:rPr>
          <w:t xml:space="preserve">17</w:t>
        </w:r>
      </w:hyperlink>
    </w:p>
    <w:p>
      <w:pPr>
        <w:tabs>
          <w:tab w:val="right" w:pos="9411" w:leader="dot"/>
        </w:tabs>
        <w:spacing w:after="24" w:before="0" w:line="258" w:lineRule="auto"/>
        <w:ind w:left="340" w:right="0"/>
      </w:pPr>
      <w:hyperlink w:history="1" w:anchor="h29">
        <w:r>
          <w:rPr>
            <w:rFonts w:ascii="Calibri" w:cs="Calibri" w:eastAsia="Calibri" w:hAnsi="Calibri"/>
            <w:color w:val="475569"/>
            <w:sz w:val="19"/>
            <w:szCs w:val="19"/>
          </w:rPr>
          <w:t xml:space="preserve">8.6 Ordenaciones (ranking)</w:t>
        </w:r>
      </w:hyperlink>
      <w:r>
        <w:rPr>
          <w:sz w:val="19"/>
          <w:szCs w:val="19"/>
        </w:rPr>
        <w:t xml:space="preserve">	</w:t>
      </w:r>
      <w:hyperlink w:history="1" w:anchor="h29">
        <w:r>
          <w:rPr>
            <w:rFonts w:ascii="Calibri" w:cs="Calibri" w:eastAsia="Calibri" w:hAnsi="Calibri"/>
            <w:color w:val="475569"/>
            <w:sz w:val="19"/>
            <w:szCs w:val="19"/>
          </w:rPr>
          <w:t xml:space="preserve">17</w:t>
        </w:r>
      </w:hyperlink>
    </w:p>
    <w:p>
      <w:pPr>
        <w:tabs>
          <w:tab w:val="right" w:pos="9411" w:leader="dot"/>
        </w:tabs>
        <w:spacing w:after="24" w:before="0" w:line="258" w:lineRule="auto"/>
        <w:ind w:left="340" w:right="0"/>
      </w:pPr>
      <w:hyperlink w:history="1" w:anchor="h30">
        <w:r>
          <w:rPr>
            <w:rFonts w:ascii="Calibri" w:cs="Calibri" w:eastAsia="Calibri" w:hAnsi="Calibri"/>
            <w:color w:val="475569"/>
            <w:sz w:val="19"/>
            <w:szCs w:val="19"/>
          </w:rPr>
          <w:t xml:space="preserve">8.7 Indicadores de calidad del diseño</w:t>
        </w:r>
      </w:hyperlink>
      <w:r>
        <w:rPr>
          <w:sz w:val="19"/>
          <w:szCs w:val="19"/>
        </w:rPr>
        <w:t xml:space="preserve">	</w:t>
      </w:r>
      <w:hyperlink w:history="1" w:anchor="h30">
        <w:r>
          <w:rPr>
            <w:rFonts w:ascii="Calibri" w:cs="Calibri" w:eastAsia="Calibri" w:hAnsi="Calibri"/>
            <w:color w:val="475569"/>
            <w:sz w:val="19"/>
            <w:szCs w:val="19"/>
          </w:rPr>
          <w:t xml:space="preserve">17</w:t>
        </w:r>
      </w:hyperlink>
    </w:p>
    <w:p>
      <w:pPr>
        <w:tabs>
          <w:tab w:val="right" w:pos="9411" w:leader="dot"/>
        </w:tabs>
        <w:spacing w:after="20" w:before="70" w:line="258" w:lineRule="auto"/>
        <w:ind w:left="0" w:right="0"/>
      </w:pPr>
      <w:hyperlink w:history="1" w:anchor="h31">
        <w:r>
          <w:rPr>
            <w:rFonts w:ascii="Calibri" w:cs="Calibri" w:eastAsia="Calibri" w:hAnsi="Calibri"/>
            <w:b/>
            <w:bCs/>
            <w:color w:val="1D3C8D"/>
            <w:sz w:val="21"/>
            <w:szCs w:val="21"/>
          </w:rPr>
          <w:t xml:space="preserve">9. Los cruces de variables: qué se cruza con qué</w:t>
        </w:r>
      </w:hyperlink>
      <w:r>
        <w:rPr>
          <w:sz w:val="21"/>
          <w:szCs w:val="21"/>
        </w:rPr>
        <w:t xml:space="preserve">	</w:t>
      </w:r>
      <w:hyperlink w:history="1" w:anchor="h31">
        <w:r>
          <w:rPr>
            <w:rFonts w:ascii="Calibri" w:cs="Calibri" w:eastAsia="Calibri" w:hAnsi="Calibri"/>
            <w:b/>
            <w:bCs/>
            <w:color w:val="1D3C8D"/>
            <w:sz w:val="21"/>
            <w:szCs w:val="21"/>
          </w:rPr>
          <w:t xml:space="preserve">19</w:t>
        </w:r>
      </w:hyperlink>
    </w:p>
    <w:p>
      <w:pPr>
        <w:tabs>
          <w:tab w:val="right" w:pos="9411" w:leader="dot"/>
        </w:tabs>
        <w:spacing w:after="24" w:before="0" w:line="258" w:lineRule="auto"/>
        <w:ind w:left="340" w:right="0"/>
      </w:pPr>
      <w:hyperlink w:history="1" w:anchor="h32">
        <w:r>
          <w:rPr>
            <w:rFonts w:ascii="Calibri" w:cs="Calibri" w:eastAsia="Calibri" w:hAnsi="Calibri"/>
            <w:color w:val="475569"/>
            <w:sz w:val="19"/>
            <w:szCs w:val="19"/>
          </w:rPr>
          <w:t xml:space="preserve">9.1 Cruces que la aplicación ya hace</w:t>
        </w:r>
      </w:hyperlink>
      <w:r>
        <w:rPr>
          <w:sz w:val="19"/>
          <w:szCs w:val="19"/>
        </w:rPr>
        <w:t xml:space="preserve">	</w:t>
      </w:r>
      <w:hyperlink w:history="1" w:anchor="h32">
        <w:r>
          <w:rPr>
            <w:rFonts w:ascii="Calibri" w:cs="Calibri" w:eastAsia="Calibri" w:hAnsi="Calibri"/>
            <w:color w:val="475569"/>
            <w:sz w:val="19"/>
            <w:szCs w:val="19"/>
          </w:rPr>
          <w:t xml:space="preserve">19</w:t>
        </w:r>
      </w:hyperlink>
    </w:p>
    <w:p>
      <w:pPr>
        <w:tabs>
          <w:tab w:val="right" w:pos="9411" w:leader="dot"/>
        </w:tabs>
        <w:spacing w:after="24" w:before="0" w:line="258" w:lineRule="auto"/>
        <w:ind w:left="340" w:right="0"/>
      </w:pPr>
      <w:hyperlink w:history="1" w:anchor="h33">
        <w:r>
          <w:rPr>
            <w:rFonts w:ascii="Calibri" w:cs="Calibri" w:eastAsia="Calibri" w:hAnsi="Calibri"/>
            <w:color w:val="475569"/>
            <w:sz w:val="19"/>
            <w:szCs w:val="19"/>
          </w:rPr>
          <w:t xml:space="preserve">9.2 Cruces que faltan y hay que hacer fuera, con el CSV</w:t>
        </w:r>
      </w:hyperlink>
      <w:r>
        <w:rPr>
          <w:sz w:val="19"/>
          <w:szCs w:val="19"/>
        </w:rPr>
        <w:t xml:space="preserve">	</w:t>
      </w:r>
      <w:hyperlink w:history="1" w:anchor="h33">
        <w:r>
          <w:rPr>
            <w:rFonts w:ascii="Calibri" w:cs="Calibri" w:eastAsia="Calibri" w:hAnsi="Calibri"/>
            <w:color w:val="475569"/>
            <w:sz w:val="19"/>
            <w:szCs w:val="19"/>
          </w:rPr>
          <w:t xml:space="preserve">20</w:t>
        </w:r>
      </w:hyperlink>
    </w:p>
    <w:p>
      <w:pPr>
        <w:tabs>
          <w:tab w:val="right" w:pos="9411" w:leader="dot"/>
        </w:tabs>
        <w:spacing w:after="20" w:before="70" w:line="258" w:lineRule="auto"/>
        <w:ind w:left="0" w:right="0"/>
      </w:pPr>
      <w:hyperlink w:history="1" w:anchor="h34">
        <w:r>
          <w:rPr>
            <w:rFonts w:ascii="Calibri" w:cs="Calibri" w:eastAsia="Calibri" w:hAnsi="Calibri"/>
            <w:b/>
            <w:bCs/>
            <w:color w:val="1D3C8D"/>
            <w:sz w:val="21"/>
            <w:szCs w:val="21"/>
          </w:rPr>
          <w:t xml:space="preserve">10. Las herramientas estadísticas que se están usando</w:t>
        </w:r>
      </w:hyperlink>
      <w:r>
        <w:rPr>
          <w:sz w:val="21"/>
          <w:szCs w:val="21"/>
        </w:rPr>
        <w:t xml:space="preserve">	</w:t>
      </w:r>
      <w:hyperlink w:history="1" w:anchor="h34">
        <w:r>
          <w:rPr>
            <w:rFonts w:ascii="Calibri" w:cs="Calibri" w:eastAsia="Calibri" w:hAnsi="Calibri"/>
            <w:b/>
            <w:bCs/>
            <w:color w:val="1D3C8D"/>
            <w:sz w:val="21"/>
            <w:szCs w:val="21"/>
          </w:rPr>
          <w:t xml:space="preserve">21</w:t>
        </w:r>
      </w:hyperlink>
    </w:p>
    <w:p>
      <w:pPr>
        <w:tabs>
          <w:tab w:val="right" w:pos="9411" w:leader="dot"/>
        </w:tabs>
        <w:spacing w:after="24" w:before="0" w:line="258" w:lineRule="auto"/>
        <w:ind w:left="340" w:right="0"/>
      </w:pPr>
      <w:hyperlink w:history="1" w:anchor="h35">
        <w:r>
          <w:rPr>
            <w:rFonts w:ascii="Calibri" w:cs="Calibri" w:eastAsia="Calibri" w:hAnsi="Calibri"/>
            <w:color w:val="475569"/>
            <w:sz w:val="19"/>
            <w:szCs w:val="19"/>
          </w:rPr>
          <w:t xml:space="preserve">10.1 Herramientas informáticas</w:t>
        </w:r>
      </w:hyperlink>
      <w:r>
        <w:rPr>
          <w:sz w:val="19"/>
          <w:szCs w:val="19"/>
        </w:rPr>
        <w:t xml:space="preserve">	</w:t>
      </w:r>
      <w:hyperlink w:history="1" w:anchor="h35">
        <w:r>
          <w:rPr>
            <w:rFonts w:ascii="Calibri" w:cs="Calibri" w:eastAsia="Calibri" w:hAnsi="Calibri"/>
            <w:color w:val="475569"/>
            <w:sz w:val="19"/>
            <w:szCs w:val="19"/>
          </w:rPr>
          <w:t xml:space="preserve">21</w:t>
        </w:r>
      </w:hyperlink>
    </w:p>
    <w:p>
      <w:pPr>
        <w:tabs>
          <w:tab w:val="right" w:pos="9411" w:leader="dot"/>
        </w:tabs>
        <w:spacing w:after="24" w:before="0" w:line="258" w:lineRule="auto"/>
        <w:ind w:left="340" w:right="0"/>
      </w:pPr>
      <w:hyperlink w:history="1" w:anchor="h36">
        <w:r>
          <w:rPr>
            <w:rFonts w:ascii="Calibri" w:cs="Calibri" w:eastAsia="Calibri" w:hAnsi="Calibri"/>
            <w:color w:val="475569"/>
            <w:sz w:val="19"/>
            <w:szCs w:val="19"/>
          </w:rPr>
          <w:t xml:space="preserve">10.2 Procedimientos estadísticos ya aplicados</w:t>
        </w:r>
      </w:hyperlink>
      <w:r>
        <w:rPr>
          <w:sz w:val="19"/>
          <w:szCs w:val="19"/>
        </w:rPr>
        <w:t xml:space="preserve">	</w:t>
      </w:r>
      <w:hyperlink w:history="1" w:anchor="h36">
        <w:r>
          <w:rPr>
            <w:rFonts w:ascii="Calibri" w:cs="Calibri" w:eastAsia="Calibri" w:hAnsi="Calibri"/>
            <w:color w:val="475569"/>
            <w:sz w:val="19"/>
            <w:szCs w:val="19"/>
          </w:rPr>
          <w:t xml:space="preserve">21</w:t>
        </w:r>
      </w:hyperlink>
    </w:p>
    <w:p>
      <w:pPr>
        <w:tabs>
          <w:tab w:val="right" w:pos="9411" w:leader="dot"/>
        </w:tabs>
        <w:spacing w:after="24" w:before="0" w:line="258" w:lineRule="auto"/>
        <w:ind w:left="340" w:right="0"/>
      </w:pPr>
      <w:hyperlink w:history="1" w:anchor="h37">
        <w:r>
          <w:rPr>
            <w:rFonts w:ascii="Calibri" w:cs="Calibri" w:eastAsia="Calibri" w:hAnsi="Calibri"/>
            <w:color w:val="475569"/>
            <w:sz w:val="19"/>
            <w:szCs w:val="19"/>
          </w:rPr>
          <w:t xml:space="preserve">10.3 Tipos de gráfica utilizados y qué dice cada uno</w:t>
        </w:r>
      </w:hyperlink>
      <w:r>
        <w:rPr>
          <w:sz w:val="19"/>
          <w:szCs w:val="19"/>
        </w:rPr>
        <w:t xml:space="preserve">	</w:t>
      </w:r>
      <w:hyperlink w:history="1" w:anchor="h37">
        <w:r>
          <w:rPr>
            <w:rFonts w:ascii="Calibri" w:cs="Calibri" w:eastAsia="Calibri" w:hAnsi="Calibri"/>
            <w:color w:val="475569"/>
            <w:sz w:val="19"/>
            <w:szCs w:val="19"/>
          </w:rPr>
          <w:t xml:space="preserve">22</w:t>
        </w:r>
      </w:hyperlink>
    </w:p>
    <w:p>
      <w:pPr>
        <w:tabs>
          <w:tab w:val="right" w:pos="9411" w:leader="dot"/>
        </w:tabs>
        <w:spacing w:after="20" w:before="70" w:line="258" w:lineRule="auto"/>
        <w:ind w:left="0" w:right="0"/>
      </w:pPr>
      <w:hyperlink w:history="1" w:anchor="h38">
        <w:r>
          <w:rPr>
            <w:rFonts w:ascii="Calibri" w:cs="Calibri" w:eastAsia="Calibri" w:hAnsi="Calibri"/>
            <w:b/>
            <w:bCs/>
            <w:color w:val="1D3C8D"/>
            <w:sz w:val="21"/>
            <w:szCs w:val="21"/>
          </w:rPr>
          <w:t xml:space="preserve">11. Qué falta y qué convendría añadir en el análisis de la tesis</w:t>
        </w:r>
      </w:hyperlink>
      <w:r>
        <w:rPr>
          <w:sz w:val="21"/>
          <w:szCs w:val="21"/>
        </w:rPr>
        <w:t xml:space="preserve">	</w:t>
      </w:r>
      <w:hyperlink w:history="1" w:anchor="h38">
        <w:r>
          <w:rPr>
            <w:rFonts w:ascii="Calibri" w:cs="Calibri" w:eastAsia="Calibri" w:hAnsi="Calibri"/>
            <w:b/>
            <w:bCs/>
            <w:color w:val="1D3C8D"/>
            <w:sz w:val="21"/>
            <w:szCs w:val="21"/>
          </w:rPr>
          <w:t xml:space="preserve">23</w:t>
        </w:r>
      </w:hyperlink>
    </w:p>
    <w:p>
      <w:pPr>
        <w:tabs>
          <w:tab w:val="right" w:pos="9411" w:leader="dot"/>
        </w:tabs>
        <w:spacing w:after="24" w:before="0" w:line="258" w:lineRule="auto"/>
        <w:ind w:left="340" w:right="0"/>
      </w:pPr>
      <w:hyperlink w:history="1" w:anchor="h39">
        <w:r>
          <w:rPr>
            <w:rFonts w:ascii="Calibri" w:cs="Calibri" w:eastAsia="Calibri" w:hAnsi="Calibri"/>
            <w:color w:val="475569"/>
            <w:sz w:val="19"/>
            <w:szCs w:val="19"/>
          </w:rPr>
          <w:t xml:space="preserve">11.1 Medidas de dispersión — esto es lo más urgente</w:t>
        </w:r>
      </w:hyperlink>
      <w:r>
        <w:rPr>
          <w:sz w:val="19"/>
          <w:szCs w:val="19"/>
        </w:rPr>
        <w:t xml:space="preserve">	</w:t>
      </w:r>
      <w:hyperlink w:history="1" w:anchor="h39">
        <w:r>
          <w:rPr>
            <w:rFonts w:ascii="Calibri" w:cs="Calibri" w:eastAsia="Calibri" w:hAnsi="Calibri"/>
            <w:color w:val="475569"/>
            <w:sz w:val="19"/>
            <w:szCs w:val="19"/>
          </w:rPr>
          <w:t xml:space="preserve">23</w:t>
        </w:r>
      </w:hyperlink>
    </w:p>
    <w:p>
      <w:pPr>
        <w:tabs>
          <w:tab w:val="right" w:pos="9411" w:leader="dot"/>
        </w:tabs>
        <w:spacing w:after="24" w:before="0" w:line="258" w:lineRule="auto"/>
        <w:ind w:left="340" w:right="0"/>
      </w:pPr>
      <w:hyperlink w:history="1" w:anchor="h40">
        <w:r>
          <w:rPr>
            <w:rFonts w:ascii="Calibri" w:cs="Calibri" w:eastAsia="Calibri" w:hAnsi="Calibri"/>
            <w:color w:val="475569"/>
            <w:sz w:val="19"/>
            <w:szCs w:val="19"/>
          </w:rPr>
          <w:t xml:space="preserve">11.2 Pruebas de contraste (estadística inferencial)</w:t>
        </w:r>
      </w:hyperlink>
      <w:r>
        <w:rPr>
          <w:sz w:val="19"/>
          <w:szCs w:val="19"/>
        </w:rPr>
        <w:t xml:space="preserve">	</w:t>
      </w:r>
      <w:hyperlink w:history="1" w:anchor="h40">
        <w:r>
          <w:rPr>
            <w:rFonts w:ascii="Calibri" w:cs="Calibri" w:eastAsia="Calibri" w:hAnsi="Calibri"/>
            <w:color w:val="475569"/>
            <w:sz w:val="19"/>
            <w:szCs w:val="19"/>
          </w:rPr>
          <w:t xml:space="preserve">23</w:t>
        </w:r>
      </w:hyperlink>
    </w:p>
    <w:p>
      <w:pPr>
        <w:tabs>
          <w:tab w:val="right" w:pos="9411" w:leader="dot"/>
        </w:tabs>
        <w:spacing w:after="24" w:before="0" w:line="258" w:lineRule="auto"/>
        <w:ind w:left="340" w:right="0"/>
      </w:pPr>
      <w:hyperlink w:history="1" w:anchor="h41">
        <w:r>
          <w:rPr>
            <w:rFonts w:ascii="Calibri" w:cs="Calibri" w:eastAsia="Calibri" w:hAnsi="Calibri"/>
            <w:color w:val="475569"/>
            <w:sz w:val="19"/>
            <w:szCs w:val="19"/>
          </w:rPr>
          <w:t xml:space="preserve">11.3 El tamaño del efecto — el complemento imprescindible del p-valor</w:t>
        </w:r>
      </w:hyperlink>
      <w:r>
        <w:rPr>
          <w:sz w:val="19"/>
          <w:szCs w:val="19"/>
        </w:rPr>
        <w:t xml:space="preserve">	</w:t>
      </w:r>
      <w:hyperlink w:history="1" w:anchor="h41">
        <w:r>
          <w:rPr>
            <w:rFonts w:ascii="Calibri" w:cs="Calibri" w:eastAsia="Calibri" w:hAnsi="Calibri"/>
            <w:color w:val="475569"/>
            <w:sz w:val="19"/>
            <w:szCs w:val="19"/>
          </w:rPr>
          <w:t xml:space="preserve">24</w:t>
        </w:r>
      </w:hyperlink>
    </w:p>
    <w:p>
      <w:pPr>
        <w:tabs>
          <w:tab w:val="right" w:pos="9411" w:leader="dot"/>
        </w:tabs>
        <w:spacing w:after="24" w:before="0" w:line="258" w:lineRule="auto"/>
        <w:ind w:left="340" w:right="0"/>
      </w:pPr>
      <w:hyperlink w:history="1" w:anchor="h42">
        <w:r>
          <w:rPr>
            <w:rFonts w:ascii="Calibri" w:cs="Calibri" w:eastAsia="Calibri" w:hAnsi="Calibri"/>
            <w:color w:val="475569"/>
            <w:sz w:val="19"/>
            <w:szCs w:val="19"/>
          </w:rPr>
          <w:t xml:space="preserve">11.4 Fiabilidad de las escalas: el alfa de Cronbach</w:t>
        </w:r>
      </w:hyperlink>
      <w:r>
        <w:rPr>
          <w:sz w:val="19"/>
          <w:szCs w:val="19"/>
        </w:rPr>
        <w:t xml:space="preserve">	</w:t>
      </w:r>
      <w:hyperlink w:history="1" w:anchor="h42">
        <w:r>
          <w:rPr>
            <w:rFonts w:ascii="Calibri" w:cs="Calibri" w:eastAsia="Calibri" w:hAnsi="Calibri"/>
            <w:color w:val="475569"/>
            <w:sz w:val="19"/>
            <w:szCs w:val="19"/>
          </w:rPr>
          <w:t xml:space="preserve">24</w:t>
        </w:r>
      </w:hyperlink>
    </w:p>
    <w:p>
      <w:pPr>
        <w:tabs>
          <w:tab w:val="right" w:pos="9411" w:leader="dot"/>
        </w:tabs>
        <w:spacing w:after="24" w:before="0" w:line="258" w:lineRule="auto"/>
        <w:ind w:left="340" w:right="0"/>
      </w:pPr>
      <w:hyperlink w:history="1" w:anchor="h43">
        <w:r>
          <w:rPr>
            <w:rFonts w:ascii="Calibri" w:cs="Calibri" w:eastAsia="Calibri" w:hAnsi="Calibri"/>
            <w:color w:val="475569"/>
            <w:sz w:val="19"/>
            <w:szCs w:val="19"/>
          </w:rPr>
          <w:t xml:space="preserve">11.5 Análisis factorial (opcional, pero muy vistoso)</w:t>
        </w:r>
      </w:hyperlink>
      <w:r>
        <w:rPr>
          <w:sz w:val="19"/>
          <w:szCs w:val="19"/>
        </w:rPr>
        <w:t xml:space="preserve">	</w:t>
      </w:r>
      <w:hyperlink w:history="1" w:anchor="h43">
        <w:r>
          <w:rPr>
            <w:rFonts w:ascii="Calibri" w:cs="Calibri" w:eastAsia="Calibri" w:hAnsi="Calibri"/>
            <w:color w:val="475569"/>
            <w:sz w:val="19"/>
            <w:szCs w:val="19"/>
          </w:rPr>
          <w:t xml:space="preserve">25</w:t>
        </w:r>
      </w:hyperlink>
    </w:p>
    <w:p>
      <w:pPr>
        <w:tabs>
          <w:tab w:val="right" w:pos="9411" w:leader="dot"/>
        </w:tabs>
        <w:spacing w:after="24" w:before="0" w:line="258" w:lineRule="auto"/>
        <w:ind w:left="340" w:right="0"/>
      </w:pPr>
      <w:hyperlink w:history="1" w:anchor="h44">
        <w:r>
          <w:rPr>
            <w:rFonts w:ascii="Calibri" w:cs="Calibri" w:eastAsia="Calibri" w:hAnsi="Calibri"/>
            <w:color w:val="475569"/>
            <w:sz w:val="19"/>
            <w:szCs w:val="19"/>
          </w:rPr>
          <w:t xml:space="preserve">11.6 El problema de las medidas repetidas</w:t>
        </w:r>
      </w:hyperlink>
      <w:r>
        <w:rPr>
          <w:sz w:val="19"/>
          <w:szCs w:val="19"/>
        </w:rPr>
        <w:t xml:space="preserve">	</w:t>
      </w:r>
      <w:hyperlink w:history="1" w:anchor="h44">
        <w:r>
          <w:rPr>
            <w:rFonts w:ascii="Calibri" w:cs="Calibri" w:eastAsia="Calibri" w:hAnsi="Calibri"/>
            <w:color w:val="475569"/>
            <w:sz w:val="19"/>
            <w:szCs w:val="19"/>
          </w:rPr>
          <w:t xml:space="preserve">25</w:t>
        </w:r>
      </w:hyperlink>
    </w:p>
    <w:p>
      <w:pPr>
        <w:tabs>
          <w:tab w:val="right" w:pos="9411" w:leader="dot"/>
        </w:tabs>
        <w:spacing w:after="20" w:before="70" w:line="258" w:lineRule="auto"/>
        <w:ind w:left="0" w:right="0"/>
      </w:pPr>
      <w:hyperlink w:history="1" w:anchor="h45">
        <w:r>
          <w:rPr>
            <w:rFonts w:ascii="Calibri" w:cs="Calibri" w:eastAsia="Calibri" w:hAnsi="Calibri"/>
            <w:b/>
            <w:bCs/>
            <w:color w:val="1D3C8D"/>
            <w:sz w:val="21"/>
            <w:szCs w:val="21"/>
          </w:rPr>
          <w:t xml:space="preserve">12. Glosario en una línea</w:t>
        </w:r>
      </w:hyperlink>
      <w:r>
        <w:rPr>
          <w:sz w:val="21"/>
          <w:szCs w:val="21"/>
        </w:rPr>
        <w:t xml:space="preserve">	</w:t>
      </w:r>
      <w:hyperlink w:history="1" w:anchor="h45">
        <w:r>
          <w:rPr>
            <w:rFonts w:ascii="Calibri" w:cs="Calibri" w:eastAsia="Calibri" w:hAnsi="Calibri"/>
            <w:b/>
            <w:bCs/>
            <w:color w:val="1D3C8D"/>
            <w:sz w:val="21"/>
            <w:szCs w:val="21"/>
          </w:rPr>
          <w:t xml:space="preserve">27</w:t>
        </w:r>
      </w:hyperlink>
    </w:p>
    <w:p>
      <w:pPr>
        <w:tabs>
          <w:tab w:val="right" w:pos="9411" w:leader="dot"/>
        </w:tabs>
        <w:spacing w:after="20" w:before="70" w:line="258" w:lineRule="auto"/>
        <w:ind w:left="0" w:right="0"/>
      </w:pPr>
      <w:hyperlink w:history="1" w:anchor="h46">
        <w:r>
          <w:rPr>
            <w:rFonts w:ascii="Calibri" w:cs="Calibri" w:eastAsia="Calibri" w:hAnsi="Calibri"/>
            <w:b/>
            <w:bCs/>
            <w:color w:val="1D3C8D"/>
            <w:sz w:val="21"/>
            <w:szCs w:val="21"/>
          </w:rPr>
          <w:t xml:space="preserve">13. Avisos importantes de interpretación</w:t>
        </w:r>
      </w:hyperlink>
      <w:r>
        <w:rPr>
          <w:sz w:val="21"/>
          <w:szCs w:val="21"/>
        </w:rPr>
        <w:t xml:space="preserve">	</w:t>
      </w:r>
      <w:hyperlink w:history="1" w:anchor="h46">
        <w:r>
          <w:rPr>
            <w:rFonts w:ascii="Calibri" w:cs="Calibri" w:eastAsia="Calibri" w:hAnsi="Calibri"/>
            <w:b/>
            <w:bCs/>
            <w:color w:val="1D3C8D"/>
            <w:sz w:val="21"/>
            <w:szCs w:val="21"/>
          </w:rPr>
          <w:t xml:space="preserve">29</w:t>
        </w:r>
      </w:hyperlink>
    </w:p>
    <w:p>
      <w:pPr>
        <w:tabs>
          <w:tab w:val="right" w:pos="9411" w:leader="dot"/>
        </w:tabs>
        <w:spacing w:after="24" w:before="0" w:line="258" w:lineRule="auto"/>
        <w:ind w:left="340" w:right="0"/>
      </w:pPr>
      <w:hyperlink w:history="1" w:anchor="h47">
        <w:r>
          <w:rPr>
            <w:rFonts w:ascii="Calibri" w:cs="Calibri" w:eastAsia="Calibri" w:hAnsi="Calibri"/>
            <w:color w:val="475569"/>
            <w:sz w:val="19"/>
            <w:szCs w:val="19"/>
          </w:rPr>
          <w:t xml:space="preserve">Resumen en cinco líneas</w:t>
        </w:r>
      </w:hyperlink>
      <w:r>
        <w:rPr>
          <w:sz w:val="19"/>
          <w:szCs w:val="19"/>
        </w:rPr>
        <w:t xml:space="preserve">	</w:t>
      </w:r>
      <w:hyperlink w:history="1" w:anchor="h47">
        <w:r>
          <w:rPr>
            <w:rFonts w:ascii="Calibri" w:cs="Calibri" w:eastAsia="Calibri" w:hAnsi="Calibri"/>
            <w:color w:val="475569"/>
            <w:sz w:val="19"/>
            <w:szCs w:val="19"/>
          </w:rPr>
          <w:t xml:space="preserve">29</w:t>
        </w:r>
      </w:hyperlink>
    </w:p>
    <w:p>
      <w:pPr>
        <w:pStyle w:val="Heading1"/>
        <w:keepNext/>
        <w:pageBreakBefore/>
        <w:pBdr>
          <w:bottom w:val="single" w:color="1D3C8D" w:sz="8" w:space="8"/>
        </w:pBdr>
        <w:spacing w:after="80" w:before="0" w:line="300" w:lineRule="auto"/>
      </w:pPr>
      <w:bookmarkStart w:name="h1" w:id="1"/>
      <w:r>
        <w:rPr>
          <w:rFonts w:ascii="Calibri" w:cs="Calibri" w:eastAsia="Calibri" w:hAnsi="Calibri"/>
          <w:b/>
          <w:bCs/>
          <w:color w:val="1D3C8D"/>
          <w:sz w:val="30"/>
          <w:szCs w:val="30"/>
        </w:rPr>
        <w:t xml:space="preserve">1. Qué tipo de estudio es y qué quiere demostrar</w:t>
      </w:r>
      <w:bookmarkEnd w:id="1"/>
    </w:p>
    <w:p>
      <w:pPr>
        <w:spacing w:after="150" w:line="288" w:lineRule="auto"/>
        <w:jc w:val="both"/>
      </w:pPr>
      <w:r>
        <w:rPr>
          <w:sz w:val="21"/>
          <w:szCs w:val="21"/>
        </w:rPr>
        <w:t xml:space="preserve">El estudio es un </w:t>
      </w:r>
      <w:r>
        <w:rPr>
          <w:b/>
          <w:bCs/>
          <w:sz w:val="21"/>
          <w:szCs w:val="21"/>
        </w:rPr>
        <w:t xml:space="preserve">experimento de actitudes lingüísticas</w:t>
      </w:r>
      <w:r>
        <w:rPr>
          <w:sz w:val="21"/>
          <w:szCs w:val="21"/>
        </w:rPr>
        <w:t xml:space="preserve"> con la técnica llamada </w:t>
      </w:r>
      <w:r>
        <w:rPr>
          <w:b/>
          <w:bCs/>
          <w:i/>
          <w:iCs/>
          <w:sz w:val="21"/>
          <w:szCs w:val="21"/>
        </w:rPr>
        <w:t xml:space="preserve">verbal guise</w:t>
      </w:r>
      <w:r>
        <w:rPr>
          <w:sz w:val="21"/>
          <w:szCs w:val="21"/>
        </w:rPr>
        <w:t xml:space="preserve"> («máscara verbal»).</w:t>
      </w:r>
    </w:p>
    <w:p>
      <w:pPr>
        <w:spacing w:after="150" w:line="288" w:lineRule="auto"/>
        <w:jc w:val="both"/>
      </w:pPr>
      <w:r>
        <w:rPr>
          <w:sz w:val="21"/>
          <w:szCs w:val="21"/>
        </w:rPr>
        <w:t xml:space="preserve">La lógica es esta: si le preguntamos a alguien «¿qué opinas del acento andaluz?», la respuesta estará contaminada por lo que esa persona </w:t>
      </w:r>
      <w:r>
        <w:rPr>
          <w:i/>
          <w:iCs/>
          <w:sz w:val="21"/>
          <w:szCs w:val="21"/>
        </w:rPr>
        <w:t xml:space="preserve">cree que debe</w:t>
      </w:r>
      <w:r>
        <w:rPr>
          <w:sz w:val="21"/>
          <w:szCs w:val="21"/>
        </w:rPr>
        <w:t xml:space="preserve"> responder. Así que no se le pregunta. En su lugar:</w:t>
      </w:r>
    </w:p>
    <w:p>
      <w:pPr>
        <w:pStyle w:val="ListParagraph"/>
        <w:numPr>
          <w:ilvl w:val="0"/>
          <w:numId w:val="2"/>
        </w:numPr>
        <w:spacing w:after="100" w:line="282" w:lineRule="auto"/>
        <w:jc w:val="left"/>
      </w:pPr>
      <w:r>
        <w:rPr>
          <w:sz w:val="21"/>
          <w:szCs w:val="21"/>
        </w:rPr>
        <w:t xml:space="preserve">El participante escucha una grabación real, </w:t>
      </w:r>
      <w:r>
        <w:rPr>
          <w:b/>
          <w:bCs/>
          <w:sz w:val="21"/>
          <w:szCs w:val="21"/>
        </w:rPr>
        <w:t xml:space="preserve">sin saber de dónde es</w:t>
      </w:r>
      <w:r>
        <w:rPr>
          <w:sz w:val="21"/>
          <w:szCs w:val="21"/>
        </w:rPr>
        <w:t xml:space="preserve">. En el formulario cada audio se llama simplemente «Grabación 1», «Grabación 2»… La ciudad solo existe en la base de datos, para el investigador.</w:t>
      </w:r>
    </w:p>
    <w:p>
      <w:pPr>
        <w:pStyle w:val="ListParagraph"/>
        <w:numPr>
          <w:ilvl w:val="0"/>
          <w:numId w:val="2"/>
        </w:numPr>
        <w:spacing w:after="100" w:line="282" w:lineRule="auto"/>
        <w:jc w:val="left"/>
      </w:pPr>
      <w:r>
        <w:rPr>
          <w:sz w:val="21"/>
          <w:szCs w:val="21"/>
        </w:rPr>
        <w:t xml:space="preserve">Se le pide que valore </w:t>
      </w:r>
      <w:r>
        <w:rPr>
          <w:b/>
          <w:bCs/>
          <w:sz w:val="21"/>
          <w:szCs w:val="21"/>
        </w:rPr>
        <w:t xml:space="preserve">la voz, la persona y la cultura</w:t>
      </w:r>
      <w:r>
        <w:rPr>
          <w:sz w:val="21"/>
          <w:szCs w:val="21"/>
        </w:rPr>
        <w:t xml:space="preserve"> que asocia a esa grabación.</w:t>
      </w:r>
    </w:p>
    <w:p>
      <w:pPr>
        <w:pStyle w:val="ListParagraph"/>
        <w:numPr>
          <w:ilvl w:val="0"/>
          <w:numId w:val="2"/>
        </w:numPr>
        <w:spacing w:after="100" w:line="282" w:lineRule="auto"/>
        <w:jc w:val="left"/>
      </w:pPr>
      <w:r>
        <w:rPr>
          <w:sz w:val="21"/>
          <w:szCs w:val="21"/>
        </w:rPr>
        <w:t xml:space="preserve">Como el texto que se dice es el mismo en todas las grabaciones (un jefe de hotel dirigiéndose a dos empleados, Mariam y Omar), </w:t>
      </w:r>
      <w:r>
        <w:rPr>
          <w:b/>
          <w:bCs/>
          <w:sz w:val="21"/>
          <w:szCs w:val="21"/>
        </w:rPr>
        <w:t xml:space="preserve">lo único que cambia entre audios es el acento</w:t>
      </w:r>
      <w:r>
        <w:rPr>
          <w:sz w:val="21"/>
          <w:szCs w:val="21"/>
        </w:rPr>
        <w:t xml:space="preserve">.</w:t>
      </w:r>
    </w:p>
    <w:p>
      <w:pPr>
        <w:spacing w:after="80" w:line="240" w:lineRule="auto"/>
      </w:pPr>
      <w:r>
        <w:rPr>
          <w:sz w:val="6"/>
          <w:szCs w:val="6"/>
        </w:rPr>
        <w:t xml:space="preserve"/>
      </w:r>
    </w:p>
    <w:p>
      <w:pPr>
        <w:spacing w:after="150" w:line="288" w:lineRule="auto"/>
        <w:jc w:val="both"/>
      </w:pPr>
      <w:r>
        <w:rPr>
          <w:sz w:val="21"/>
          <w:szCs w:val="21"/>
        </w:rPr>
        <w:t xml:space="preserve">De ahí sale la inferencia clave del estudio:</w:t>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color w:val="1E3A8A"/>
          <w:sz w:val="20"/>
          <w:szCs w:val="20"/>
        </w:rPr>
        <w:t xml:space="preserve">Si la grabación de Cádiz recibe sistemáticamente puntuaciones más bajas en «culta» que la de Madrid, y el contenido es idéntico, entonces esa diferencia </w:t>
      </w:r>
      <w:r>
        <w:rPr>
          <w:b/>
          <w:bCs/>
          <w:color w:val="1E3A8A"/>
          <w:sz w:val="20"/>
          <w:szCs w:val="20"/>
        </w:rPr>
        <w:t xml:space="preserve">no está en lo que se dice, sino en el prejuicio que despierta el acento</w:t>
      </w:r>
      <w:r>
        <w:rPr>
          <w:color w:val="1E3A8A"/>
          <w:sz w:val="20"/>
          <w:szCs w:val="20"/>
        </w:rPr>
        <w:t xml:space="preserve">.</w:t>
      </w:r>
    </w:p>
    <w:p>
      <w:pPr>
        <w:spacing w:after="150" w:line="288" w:lineRule="auto"/>
        <w:jc w:val="both"/>
      </w:pPr>
      <w:r>
        <w:rPr>
          <w:sz w:val="21"/>
          <w:szCs w:val="21"/>
        </w:rPr>
        <w:t xml:space="preserve">Ese es el mecanismo científico de todo el trabajo. Todo lo estadístico que viene a continuación no es más que una manera ordenada de comprobar si esas diferencias existen realmente o son casualidad.</w:t>
      </w:r>
    </w:p>
    <w:p>
      <w:pPr>
        <w:pStyle w:val="Heading1"/>
        <w:keepNext/>
        <w:pageBreakBefore/>
        <w:pBdr>
          <w:bottom w:val="single" w:color="1D3C8D" w:sz="8" w:space="8"/>
        </w:pBdr>
        <w:spacing w:after="80" w:before="0" w:line="300" w:lineRule="auto"/>
      </w:pPr>
      <w:bookmarkStart w:name="h2" w:id="2"/>
      <w:r>
        <w:rPr>
          <w:rFonts w:ascii="Calibri" w:cs="Calibri" w:eastAsia="Calibri" w:hAnsi="Calibri"/>
          <w:b/>
          <w:bCs/>
          <w:color w:val="1D3C8D"/>
          <w:sz w:val="30"/>
          <w:szCs w:val="30"/>
        </w:rPr>
        <w:t xml:space="preserve">2. La idea central: variable independiente y variable dependiente</w:t>
      </w:r>
      <w:bookmarkEnd w:id="2"/>
    </w:p>
    <w:p>
      <w:pPr>
        <w:spacing w:after="150" w:line="288" w:lineRule="auto"/>
        <w:jc w:val="both"/>
      </w:pPr>
      <w:r>
        <w:rPr>
          <w:sz w:val="21"/>
          <w:szCs w:val="21"/>
        </w:rPr>
        <w:t xml:space="preserve">Esta es la distinción más importante del documento, así que la explicamos con calma y sin tecnicismos.</w:t>
      </w:r>
    </w:p>
    <w:p>
      <w:pPr>
        <w:spacing w:after="150" w:line="288" w:lineRule="auto"/>
        <w:jc w:val="both"/>
      </w:pPr>
      <w:r>
        <w:rPr>
          <w:sz w:val="21"/>
          <w:szCs w:val="21"/>
        </w:rPr>
        <w:t xml:space="preserve">Una </w:t>
      </w:r>
      <w:r>
        <w:rPr>
          <w:b/>
          <w:bCs/>
          <w:sz w:val="21"/>
          <w:szCs w:val="21"/>
        </w:rPr>
        <w:t xml:space="preserve">variable</w:t>
      </w:r>
      <w:r>
        <w:rPr>
          <w:sz w:val="21"/>
          <w:szCs w:val="21"/>
        </w:rPr>
        <w:t xml:space="preserve"> es, simplemente, </w:t>
      </w:r>
      <w:r>
        <w:rPr>
          <w:i/>
          <w:iCs/>
          <w:sz w:val="21"/>
          <w:szCs w:val="21"/>
        </w:rPr>
        <w:t xml:space="preserve">cualquier cosa que puede tomar valores distintos en distintos casos</w:t>
      </w:r>
      <w:r>
        <w:rPr>
          <w:sz w:val="21"/>
          <w:szCs w:val="21"/>
        </w:rPr>
        <w:t xml:space="preserve">: la edad (23, 41, 19…), el género (femenino, masculino, otro), una puntuación de 1 a 5, una ciudad…</w:t>
      </w:r>
    </w:p>
    <w:p>
      <w:pPr>
        <w:spacing w:after="150" w:line="288" w:lineRule="auto"/>
        <w:jc w:val="both"/>
      </w:pPr>
      <w:r>
        <w:rPr>
          <w:sz w:val="21"/>
          <w:szCs w:val="21"/>
        </w:rPr>
        <w:t xml:space="preserve">Cuando se investiga, las variables se dividen en dos papeles: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580"/>
        <w:gridCol w:w="3938"/>
        <w:gridCol w:w="3893"/>
      </w:tblGrid>
      <w:tr>
        <w:trPr>
          <w:cantSplit/>
          <w:tblHeader/>
        </w:trPr>
        <w:tc>
          <w:tcPr>
            <w:tcW w:type="dxa" w:w="158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
            </w:r>
          </w:p>
        </w:tc>
        <w:tc>
          <w:tcPr>
            <w:tcW w:type="dxa" w:w="3938"/>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Variable independiente (VI)</w:t>
            </w:r>
          </w:p>
        </w:tc>
        <w:tc>
          <w:tcPr>
            <w:tcW w:type="dxa" w:w="3893"/>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Variable dependiente (VD)</w:t>
            </w:r>
          </w:p>
        </w:tc>
      </w:tr>
      <w:tr>
        <w:trPr>
          <w:cantSplit/>
          <w:tblHeader w:val="false"/>
        </w:trPr>
        <w:tc>
          <w:tcPr>
            <w:tcW w:type="dxa" w:w="158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Qué es</w:t>
            </w:r>
          </w:p>
        </w:tc>
        <w:tc>
          <w:tcPr>
            <w:tcW w:type="dxa" w:w="3938"/>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La supuesta </w:t>
            </w:r>
            <w:r>
              <w:rPr>
                <w:rFonts w:ascii="Calibri" w:cs="Calibri" w:eastAsia="Calibri" w:hAnsi="Calibri"/>
                <w:b/>
                <w:bCs/>
                <w:color w:val="1F2937"/>
                <w:sz w:val="18"/>
                <w:szCs w:val="18"/>
              </w:rPr>
              <w:t xml:space="preserve">causa</w:t>
            </w:r>
            <w:r>
              <w:rPr>
                <w:rFonts w:ascii="Calibri" w:cs="Calibri" w:eastAsia="Calibri" w:hAnsi="Calibri"/>
                <w:color w:val="1F2937"/>
                <w:sz w:val="18"/>
                <w:szCs w:val="18"/>
              </w:rPr>
              <w:t xml:space="preserve">. Lo que el investigador manipula o toma como dado.</w:t>
            </w:r>
          </w:p>
        </w:tc>
        <w:tc>
          <w:tcPr>
            <w:tcW w:type="dxa" w:w="389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El supuesto </w:t>
            </w:r>
            <w:r>
              <w:rPr>
                <w:rFonts w:ascii="Calibri" w:cs="Calibri" w:eastAsia="Calibri" w:hAnsi="Calibri"/>
                <w:b/>
                <w:bCs/>
                <w:color w:val="1F2937"/>
                <w:sz w:val="18"/>
                <w:szCs w:val="18"/>
              </w:rPr>
              <w:t xml:space="preserve">efecto</w:t>
            </w:r>
            <w:r>
              <w:rPr>
                <w:rFonts w:ascii="Calibri" w:cs="Calibri" w:eastAsia="Calibri" w:hAnsi="Calibri"/>
                <w:color w:val="1F2937"/>
                <w:sz w:val="18"/>
                <w:szCs w:val="18"/>
              </w:rPr>
              <w:t xml:space="preserve">. Lo que se mide para ver si cambia.</w:t>
            </w:r>
          </w:p>
        </w:tc>
      </w:tr>
      <w:tr>
        <w:trPr>
          <w:cantSplit/>
          <w:tblHeader w:val="false"/>
        </w:trPr>
        <w:tc>
          <w:tcPr>
            <w:tcW w:type="dxa" w:w="158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Cómo recordarla</w:t>
            </w:r>
          </w:p>
        </w:tc>
        <w:tc>
          <w:tcPr>
            <w:tcW w:type="dxa" w:w="3938"/>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i/>
                <w:iCs/>
                <w:color w:val="1F2937"/>
                <w:sz w:val="18"/>
                <w:szCs w:val="18"/>
              </w:rPr>
              <w:t xml:space="preserve">De qué depende</w:t>
            </w:r>
          </w:p>
        </w:tc>
        <w:tc>
          <w:tcPr>
            <w:tcW w:type="dxa" w:w="3893"/>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i/>
                <w:iCs/>
                <w:color w:val="1F2937"/>
                <w:sz w:val="18"/>
                <w:szCs w:val="18"/>
              </w:rPr>
              <w:t xml:space="preserve">Lo que depende</w:t>
            </w:r>
          </w:p>
        </w:tc>
      </w:tr>
      <w:tr>
        <w:trPr>
          <w:cantSplit/>
          <w:tblHeader w:val="false"/>
        </w:trPr>
        <w:tc>
          <w:tcPr>
            <w:tcW w:type="dxa" w:w="158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Pregunta típica</w:t>
            </w:r>
          </w:p>
        </w:tc>
        <w:tc>
          <w:tcPr>
            <w:tcW w:type="dxa" w:w="3938"/>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«¿Influye X…?» → X es la VI</w:t>
            </w:r>
          </w:p>
        </w:tc>
        <w:tc>
          <w:tcPr>
            <w:tcW w:type="dxa" w:w="389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«…en Y?» → Y es la VD</w:t>
            </w:r>
          </w:p>
        </w:tc>
      </w:tr>
      <w:tr>
        <w:trPr>
          <w:cantSplit/>
          <w:tblHeader w:val="false"/>
        </w:trPr>
        <w:tc>
          <w:tcPr>
            <w:tcW w:type="dxa" w:w="158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En este estudio</w:t>
            </w:r>
          </w:p>
        </w:tc>
        <w:tc>
          <w:tcPr>
            <w:tcW w:type="dxa" w:w="3938"/>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El </w:t>
            </w:r>
            <w:r>
              <w:rPr>
                <w:rFonts w:ascii="Calibri" w:cs="Calibri" w:eastAsia="Calibri" w:hAnsi="Calibri"/>
                <w:b/>
                <w:bCs/>
                <w:color w:val="1F2937"/>
                <w:sz w:val="18"/>
                <w:szCs w:val="18"/>
              </w:rPr>
              <w:t xml:space="preserve">acento</w:t>
            </w:r>
            <w:r>
              <w:rPr>
                <w:rFonts w:ascii="Calibri" w:cs="Calibri" w:eastAsia="Calibri" w:hAnsi="Calibri"/>
                <w:color w:val="1F2937"/>
                <w:sz w:val="18"/>
                <w:szCs w:val="18"/>
              </w:rPr>
              <w:t xml:space="preserve"> de la grabación (Granada, Cádiz, Madrid…) y la </w:t>
            </w:r>
            <w:r>
              <w:rPr>
                <w:rFonts w:ascii="Calibri" w:cs="Calibri" w:eastAsia="Calibri" w:hAnsi="Calibri"/>
                <w:b/>
                <w:bCs/>
                <w:color w:val="1F2937"/>
                <w:sz w:val="18"/>
                <w:szCs w:val="18"/>
              </w:rPr>
              <w:t xml:space="preserve">zona dialectal</w:t>
            </w:r>
            <w:r>
              <w:rPr>
                <w:rFonts w:ascii="Calibri" w:cs="Calibri" w:eastAsia="Calibri" w:hAnsi="Calibri"/>
                <w:color w:val="1F2937"/>
                <w:sz w:val="18"/>
                <w:szCs w:val="18"/>
              </w:rPr>
              <w:t xml:space="preserve"> (meridional / septentrional).</w:t>
            </w:r>
          </w:p>
        </w:tc>
        <w:tc>
          <w:tcPr>
            <w:tcW w:type="dxa" w:w="3893"/>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Las </w:t>
            </w:r>
            <w:r>
              <w:rPr>
                <w:rFonts w:ascii="Calibri" w:cs="Calibri" w:eastAsia="Calibri" w:hAnsi="Calibri"/>
                <w:b/>
                <w:bCs/>
                <w:color w:val="1F2937"/>
                <w:sz w:val="18"/>
                <w:szCs w:val="18"/>
              </w:rPr>
              <w:t xml:space="preserve">puntuaciones</w:t>
            </w:r>
            <w:r>
              <w:rPr>
                <w:rFonts w:ascii="Calibri" w:cs="Calibri" w:eastAsia="Calibri" w:hAnsi="Calibri"/>
                <w:color w:val="1F2937"/>
                <w:sz w:val="18"/>
                <w:szCs w:val="18"/>
              </w:rPr>
              <w:t xml:space="preserve"> que el participante da: agradable, culta, inteligente, proximidad, nivel de ingresos percibido…</w:t>
            </w:r>
          </w:p>
        </w:tc>
      </w:tr>
    </w:tbl>
    <w:p>
      <w:pPr>
        <w:spacing w:after="160" w:line="240" w:lineRule="auto"/>
      </w:pPr>
      <w:r>
        <w:rPr>
          <w:sz w:val="6"/>
          <w:szCs w:val="6"/>
        </w:rPr>
        <w:t xml:space="preserve"/>
      </w:r>
    </w:p>
    <w:p>
      <w:pPr>
        <w:spacing w:after="150" w:line="288" w:lineRule="auto"/>
        <w:jc w:val="both"/>
      </w:pPr>
      <w:r>
        <w:rPr>
          <w:sz w:val="21"/>
          <w:szCs w:val="21"/>
        </w:rPr>
        <w:t xml:space="preserve">Ejemplo aplicado al estudio, leído como una frase:</w:t>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color w:val="1E3A8A"/>
          <w:sz w:val="20"/>
          <w:szCs w:val="20"/>
        </w:rPr>
        <w:t xml:space="preserve">«¿Influye </w:t>
      </w:r>
      <w:r>
        <w:rPr>
          <w:b/>
          <w:bCs/>
          <w:color w:val="1E3A8A"/>
          <w:sz w:val="20"/>
          <w:szCs w:val="20"/>
        </w:rPr>
        <w:t xml:space="preserve">la zona dialectal del acento</w:t>
      </w:r>
      <w:r>
        <w:rPr>
          <w:color w:val="1E3A8A"/>
          <w:sz w:val="20"/>
          <w:szCs w:val="20"/>
        </w:rPr>
        <w:t xml:space="preserve"> (VI) en </w:t>
      </w:r>
      <w:r>
        <w:rPr>
          <w:b/>
          <w:bCs/>
          <w:color w:val="1E3A8A"/>
          <w:sz w:val="20"/>
          <w:szCs w:val="20"/>
        </w:rPr>
        <w:t xml:space="preserve">la puntuación de "culta"</w:t>
      </w:r>
      <w:r>
        <w:rPr>
          <w:color w:val="1E3A8A"/>
          <w:sz w:val="20"/>
          <w:szCs w:val="20"/>
        </w:rPr>
        <w:t xml:space="preserve"> (VD) que recibe la persona que habla?»</w:t>
      </w:r>
    </w:p>
    <w:p>
      <w:pPr>
        <w:spacing w:after="150" w:line="288" w:lineRule="auto"/>
        <w:jc w:val="both"/>
      </w:pPr>
      <w:r>
        <w:rPr>
          <w:sz w:val="21"/>
          <w:szCs w:val="21"/>
        </w:rPr>
        <w:t xml:space="preserve">Un truco útil para no confundirse nunca: </w:t>
      </w:r>
      <w:r>
        <w:rPr>
          <w:b/>
          <w:bCs/>
          <w:sz w:val="21"/>
          <w:szCs w:val="21"/>
        </w:rPr>
        <w:t xml:space="preserve">la variable dependiente es la que aparece en el eje vertical de la gráfica</w:t>
      </w:r>
      <w:r>
        <w:rPr>
          <w:sz w:val="21"/>
          <w:szCs w:val="21"/>
        </w:rPr>
        <w:t xml:space="preserve"> (la altura de la barra: la puntuación media), y </w:t>
      </w:r>
      <w:r>
        <w:rPr>
          <w:b/>
          <w:bCs/>
          <w:sz w:val="21"/>
          <w:szCs w:val="21"/>
        </w:rPr>
        <w:t xml:space="preserve">la independiente en el eje horizontal</w:t>
      </w:r>
      <w:r>
        <w:rPr>
          <w:sz w:val="21"/>
          <w:szCs w:val="21"/>
        </w:rPr>
        <w:t xml:space="preserve"> (las ciudades, los grupos). Si miras el panel de resultados de la aplicación, prácticamente todas las gráficas están construidas así.</w:t>
      </w:r>
    </w:p>
    <w:p>
      <w:pPr>
        <w:pStyle w:val="Heading2"/>
        <w:keepNext/>
        <w:spacing w:after="120" w:before="340" w:line="288" w:lineRule="auto"/>
      </w:pPr>
      <w:bookmarkStart w:name="h3" w:id="3"/>
      <w:r>
        <w:rPr>
          <w:rFonts w:ascii="Calibri" w:cs="Calibri" w:eastAsia="Calibri" w:hAnsi="Calibri"/>
          <w:b/>
          <w:bCs/>
          <w:color w:val="1F66F0"/>
          <w:sz w:val="24"/>
          <w:szCs w:val="24"/>
        </w:rPr>
        <w:t xml:space="preserve">El matiz que hay que tener claro en este estudio</w:t>
      </w:r>
      <w:bookmarkEnd w:id="3"/>
    </w:p>
    <w:p>
      <w:pPr>
        <w:spacing w:after="150" w:line="288" w:lineRule="auto"/>
        <w:jc w:val="both"/>
      </w:pPr>
      <w:r>
        <w:rPr>
          <w:sz w:val="21"/>
          <w:szCs w:val="21"/>
        </w:rPr>
        <w:t xml:space="preserve">Hay </w:t>
      </w:r>
      <w:r>
        <w:rPr>
          <w:b/>
          <w:bCs/>
          <w:sz w:val="21"/>
          <w:szCs w:val="21"/>
        </w:rPr>
        <w:t xml:space="preserve">dos familias de variables independientes</w:t>
      </w:r>
      <w:r>
        <w:rPr>
          <w:sz w:val="21"/>
          <w:szCs w:val="21"/>
        </w:rPr>
        <w:t xml:space="preserve">, y conviene no mezclarlas:</w:t>
      </w:r>
    </w:p>
    <w:p>
      <w:pPr>
        <w:spacing w:after="150" w:line="288" w:lineRule="auto"/>
        <w:jc w:val="both"/>
      </w:pPr>
      <w:r>
        <w:rPr>
          <w:b/>
          <w:bCs/>
          <w:sz w:val="21"/>
          <w:szCs w:val="21"/>
        </w:rPr>
        <w:t xml:space="preserve">a) La VI experimental: el acento.</w:t>
      </w:r>
      <w:r>
        <w:rPr>
          <w:sz w:val="21"/>
          <w:szCs w:val="21"/>
        </w:rPr>
        <w:t xml:space="preserve"> Esta es la que el estudio </w:t>
      </w:r>
      <w:r>
        <w:rPr>
          <w:i/>
          <w:iCs/>
          <w:sz w:val="21"/>
          <w:szCs w:val="21"/>
        </w:rPr>
        <w:t xml:space="preserve">manipula de verdad</w:t>
      </w:r>
      <w:r>
        <w:rPr>
          <w:sz w:val="21"/>
          <w:szCs w:val="21"/>
        </w:rPr>
        <w:t xml:space="preserve">. El investigador decide qué grabación escucha cada persona. Como está bajo control y el texto es idéntico, es la única que permite hablar con propiedad de </w:t>
      </w:r>
      <w:r>
        <w:rPr>
          <w:b/>
          <w:bCs/>
          <w:sz w:val="21"/>
          <w:szCs w:val="21"/>
        </w:rPr>
        <w:t xml:space="preserve">causa</w:t>
      </w:r>
      <w:r>
        <w:rPr>
          <w:sz w:val="21"/>
          <w:szCs w:val="21"/>
        </w:rPr>
        <w:t xml:space="preserve">.</w:t>
      </w:r>
    </w:p>
    <w:p>
      <w:pPr>
        <w:spacing w:after="150" w:line="288" w:lineRule="auto"/>
        <w:jc w:val="both"/>
      </w:pPr>
      <w:r>
        <w:rPr>
          <w:b/>
          <w:bCs/>
          <w:sz w:val="21"/>
          <w:szCs w:val="21"/>
        </w:rPr>
        <w:t xml:space="preserve">b) Las VI del participante: quién responde.</w:t>
      </w:r>
      <w:r>
        <w:rPr>
          <w:sz w:val="21"/>
          <w:szCs w:val="21"/>
        </w:rPr>
        <w:t xml:space="preserve"> Edad, género, nivel de español, si ha visitado España, lengua materna… Estas </w:t>
      </w:r>
      <w:r>
        <w:rPr>
          <w:b/>
          <w:bCs/>
          <w:sz w:val="21"/>
          <w:szCs w:val="21"/>
        </w:rPr>
        <w:t xml:space="preserve">no se manipulan</w:t>
      </w:r>
      <w:r>
        <w:rPr>
          <w:sz w:val="21"/>
          <w:szCs w:val="21"/>
        </w:rPr>
        <w:t xml:space="preserve">: vienen dadas. Sirven para preguntar «¿los participantes con nivel C2 puntúan distinto que los de nivel A2?». Son independientes en el sentido estadístico (se usan como predictoras), pero técnicamente se llaman </w:t>
      </w:r>
      <w:r>
        <w:rPr>
          <w:b/>
          <w:bCs/>
          <w:sz w:val="21"/>
          <w:szCs w:val="21"/>
        </w:rPr>
        <w:t xml:space="preserve">variables de agrupación</w:t>
      </w:r>
      <w:r>
        <w:rPr>
          <w:sz w:val="21"/>
          <w:szCs w:val="21"/>
        </w:rPr>
        <w:t xml:space="preserve"> o </w:t>
      </w:r>
      <w:r>
        <w:rPr>
          <w:b/>
          <w:bCs/>
          <w:sz w:val="21"/>
          <w:szCs w:val="21"/>
        </w:rPr>
        <w:t xml:space="preserve">covariables</w:t>
      </w:r>
      <w:r>
        <w:rPr>
          <w:sz w:val="21"/>
          <w:szCs w:val="21"/>
        </w:rPr>
        <w:t xml:space="preserve">, y con ellas se puede hablar de </w:t>
      </w:r>
      <w:r>
        <w:rPr>
          <w:b/>
          <w:bCs/>
          <w:sz w:val="21"/>
          <w:szCs w:val="21"/>
        </w:rPr>
        <w:t xml:space="preserve">asociación</w:t>
      </w:r>
      <w:r>
        <w:rPr>
          <w:sz w:val="21"/>
          <w:szCs w:val="21"/>
        </w:rPr>
        <w:t xml:space="preserve">, no de causa.</w:t>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b/>
          <w:bCs/>
          <w:color w:val="1E3A8A"/>
          <w:sz w:val="20"/>
          <w:szCs w:val="20"/>
        </w:rPr>
        <w:t xml:space="preserve">Consecuencia práctica para la redacción de la tesis:</w:t>
      </w:r>
      <w:r>
        <w:rPr>
          <w:color w:val="1E3A8A"/>
          <w:sz w:val="20"/>
          <w:szCs w:val="20"/>
        </w:rPr>
        <w:t xml:space="preserve"> con (a) se puede escribir «el acento meridional </w:t>
      </w:r>
      <w:r>
        <w:rPr>
          <w:i/>
          <w:iCs/>
          <w:color w:val="1E3A8A"/>
          <w:sz w:val="20"/>
          <w:szCs w:val="20"/>
        </w:rPr>
        <w:t xml:space="preserve">provoca</w:t>
      </w:r>
      <w:r>
        <w:rPr>
          <w:color w:val="1E3A8A"/>
          <w:sz w:val="20"/>
          <w:szCs w:val="20"/>
        </w:rPr>
        <w:t xml:space="preserve"> valoraciones más bajas en estatus». Con (b) hay que escribir «las mujeres del estudio </w:t>
      </w:r>
      <w:r>
        <w:rPr>
          <w:i/>
          <w:iCs/>
          <w:color w:val="1E3A8A"/>
          <w:sz w:val="20"/>
          <w:szCs w:val="20"/>
        </w:rPr>
        <w:t xml:space="preserve">puntuaron</w:t>
      </w:r>
      <w:r>
        <w:rPr>
          <w:color w:val="1E3A8A"/>
          <w:sz w:val="20"/>
          <w:szCs w:val="20"/>
        </w:rPr>
        <w:t xml:space="preserve"> más alto que los hombres», o «se observó una </w:t>
      </w:r>
      <w:r>
        <w:rPr>
          <w:i/>
          <w:iCs/>
          <w:color w:val="1E3A8A"/>
          <w:sz w:val="20"/>
          <w:szCs w:val="20"/>
        </w:rPr>
        <w:t xml:space="preserve">asociación</w:t>
      </w:r>
      <w:r>
        <w:rPr>
          <w:color w:val="1E3A8A"/>
          <w:sz w:val="20"/>
          <w:szCs w:val="20"/>
        </w:rPr>
        <w:t xml:space="preserve"> entre X e Y», nunca «el género </w:t>
      </w:r>
      <w:r>
        <w:rPr>
          <w:i/>
          <w:iCs/>
          <w:color w:val="1E3A8A"/>
          <w:sz w:val="20"/>
          <w:szCs w:val="20"/>
        </w:rPr>
        <w:t xml:space="preserve">causa</w:t>
      </w:r>
      <w:r>
        <w:rPr>
          <w:color w:val="1E3A8A"/>
          <w:sz w:val="20"/>
          <w:szCs w:val="20"/>
        </w:rPr>
        <w:t xml:space="preserve">…». Es un matiz que un tribunal aprecia.</w:t>
      </w:r>
    </w:p>
    <w:p>
      <w:pPr>
        <w:pStyle w:val="Heading1"/>
        <w:keepNext/>
        <w:pageBreakBefore/>
        <w:pBdr>
          <w:bottom w:val="single" w:color="1D3C8D" w:sz="8" w:space="8"/>
        </w:pBdr>
        <w:spacing w:after="80" w:before="0" w:line="300" w:lineRule="auto"/>
      </w:pPr>
      <w:bookmarkStart w:name="h4" w:id="4"/>
      <w:r>
        <w:rPr>
          <w:rFonts w:ascii="Calibri" w:cs="Calibri" w:eastAsia="Calibri" w:hAnsi="Calibri"/>
          <w:b/>
          <w:bCs/>
          <w:color w:val="1D3C8D"/>
          <w:sz w:val="30"/>
          <w:szCs w:val="30"/>
        </w:rPr>
        <w:t xml:space="preserve">3. Los tipos de variable que aparecen en el estudio</w:t>
      </w:r>
      <w:bookmarkEnd w:id="4"/>
    </w:p>
    <w:p>
      <w:pPr>
        <w:spacing w:after="150" w:line="288" w:lineRule="auto"/>
        <w:jc w:val="both"/>
      </w:pPr>
      <w:r>
        <w:rPr>
          <w:sz w:val="21"/>
          <w:szCs w:val="21"/>
        </w:rPr>
        <w:t xml:space="preserve">Cada tipo de variable admite unas operaciones estadísticas y prohíbe otras. En este estudio hay cuatro tipos, y conviene distinguirlos porque </w:t>
      </w:r>
      <w:r>
        <w:rPr>
          <w:b/>
          <w:bCs/>
          <w:sz w:val="21"/>
          <w:szCs w:val="21"/>
        </w:rPr>
        <w:t xml:space="preserve">determinan qué gráfica y qué prueba son legítimas</w:t>
      </w:r>
      <w:r>
        <w:rPr>
          <w:sz w:val="21"/>
          <w:szCs w:val="21"/>
        </w:rPr>
        <w:t xml:space="preserve">.</w:t>
      </w:r>
    </w:p>
    <w:p>
      <w:pPr>
        <w:pStyle w:val="Heading2"/>
        <w:keepNext/>
        <w:spacing w:after="120" w:before="340" w:line="288" w:lineRule="auto"/>
      </w:pPr>
      <w:bookmarkStart w:name="h5" w:id="5"/>
      <w:r>
        <w:rPr>
          <w:rFonts w:ascii="Calibri" w:cs="Calibri" w:eastAsia="Calibri" w:hAnsi="Calibri"/>
          <w:b/>
          <w:bCs/>
          <w:color w:val="1F66F0"/>
          <w:sz w:val="24"/>
          <w:szCs w:val="24"/>
        </w:rPr>
        <w:t xml:space="preserve">3.1 Variables categóricas nominales</w:t>
      </w:r>
      <w:bookmarkEnd w:id="5"/>
    </w:p>
    <w:p>
      <w:pPr>
        <w:spacing w:after="150" w:line="288" w:lineRule="auto"/>
        <w:jc w:val="both"/>
      </w:pPr>
      <w:r>
        <w:rPr>
          <w:sz w:val="21"/>
          <w:szCs w:val="21"/>
        </w:rPr>
        <w:t xml:space="preserve">Son </w:t>
      </w:r>
      <w:r>
        <w:rPr>
          <w:b/>
          <w:bCs/>
          <w:sz w:val="21"/>
          <w:szCs w:val="21"/>
        </w:rPr>
        <w:t xml:space="preserve">etiquetas sin orden</w:t>
      </w:r>
      <w:r>
        <w:rPr>
          <w:sz w:val="21"/>
          <w:szCs w:val="21"/>
        </w:rPr>
        <w:t xml:space="preserve">: ninguna es «más» que otra.</w:t>
      </w:r>
    </w:p>
    <w:p>
      <w:pPr>
        <w:pStyle w:val="ListParagraph"/>
        <w:numPr>
          <w:ilvl w:val="0"/>
          <w:numId w:val="3"/>
        </w:numPr>
        <w:spacing w:after="100" w:line="282" w:lineRule="auto"/>
        <w:jc w:val="left"/>
      </w:pPr>
      <w:r>
        <w:rPr>
          <w:sz w:val="21"/>
          <w:szCs w:val="21"/>
        </w:rPr>
        <w:t xml:space="preserve">Género del participante (Femenino / Masculino / Otro)</w:t>
      </w:r>
    </w:p>
    <w:p>
      <w:pPr>
        <w:pStyle w:val="ListParagraph"/>
        <w:numPr>
          <w:ilvl w:val="0"/>
          <w:numId w:val="3"/>
        </w:numPr>
        <w:spacing w:after="100" w:line="282" w:lineRule="auto"/>
        <w:jc w:val="left"/>
      </w:pPr>
      <w:r>
        <w:rPr>
          <w:sz w:val="21"/>
          <w:szCs w:val="21"/>
        </w:rPr>
        <w:t xml:space="preserve">Lengua materna, ciudad de nacimiento, ciudad de residencia</w:t>
      </w:r>
    </w:p>
    <w:p>
      <w:pPr>
        <w:pStyle w:val="ListParagraph"/>
        <w:numPr>
          <w:ilvl w:val="0"/>
          <w:numId w:val="3"/>
        </w:numPr>
        <w:spacing w:after="100" w:line="282" w:lineRule="auto"/>
        <w:jc w:val="left"/>
      </w:pPr>
      <w:r>
        <w:rPr>
          <w:sz w:val="21"/>
          <w:szCs w:val="21"/>
        </w:rPr>
        <w:t xml:space="preserve">Comunidad autónoma percibida (las 19 opciones)</w:t>
      </w:r>
    </w:p>
    <w:p>
      <w:pPr>
        <w:pStyle w:val="ListParagraph"/>
        <w:numPr>
          <w:ilvl w:val="0"/>
          <w:numId w:val="3"/>
        </w:numPr>
        <w:spacing w:after="100" w:line="282" w:lineRule="auto"/>
        <w:jc w:val="left"/>
      </w:pPr>
      <w:r>
        <w:rPr>
          <w:sz w:val="21"/>
          <w:szCs w:val="21"/>
        </w:rPr>
        <w:t xml:space="preserve">Ciudad de la grabación (Granada, Cádiz…)</w:t>
      </w:r>
    </w:p>
    <w:p>
      <w:pPr>
        <w:pStyle w:val="ListParagraph"/>
        <w:numPr>
          <w:ilvl w:val="0"/>
          <w:numId w:val="3"/>
        </w:numPr>
        <w:spacing w:after="100" w:line="282" w:lineRule="auto"/>
        <w:jc w:val="left"/>
      </w:pPr>
      <w:r>
        <w:rPr>
          <w:sz w:val="21"/>
          <w:szCs w:val="21"/>
        </w:rPr>
        <w:t xml:space="preserve">Zona dialectal (meridional / septentrional)</w:t>
      </w:r>
    </w:p>
    <w:p>
      <w:pPr>
        <w:pStyle w:val="ListParagraph"/>
        <w:numPr>
          <w:ilvl w:val="0"/>
          <w:numId w:val="3"/>
        </w:numPr>
        <w:spacing w:after="100" w:line="282" w:lineRule="auto"/>
        <w:jc w:val="left"/>
      </w:pPr>
      <w:r>
        <w:rPr>
          <w:sz w:val="21"/>
          <w:szCs w:val="21"/>
        </w:rPr>
        <w:t xml:space="preserve">Métodos de estudio del español (Academia, Internet, Música…)</w:t>
      </w:r>
    </w:p>
    <w:p>
      <w:pPr>
        <w:spacing w:after="80" w:line="240" w:lineRule="auto"/>
      </w:pPr>
      <w:r>
        <w:rPr>
          <w:sz w:val="6"/>
          <w:szCs w:val="6"/>
        </w:rPr>
        <w:t xml:space="preserve"/>
      </w:r>
    </w:p>
    <w:p>
      <w:pPr>
        <w:spacing w:after="150" w:line="288" w:lineRule="auto"/>
        <w:jc w:val="both"/>
      </w:pPr>
      <w:r>
        <w:rPr>
          <w:b/>
          <w:bCs/>
          <w:sz w:val="21"/>
          <w:szCs w:val="21"/>
        </w:rPr>
        <w:t xml:space="preserve">Qué se puede hacer con ellas:</w:t>
      </w:r>
      <w:r>
        <w:rPr>
          <w:sz w:val="21"/>
          <w:szCs w:val="21"/>
        </w:rPr>
        <w:t xml:space="preserve"> contar cuántos hay de cada tipo (</w:t>
      </w:r>
      <w:r>
        <w:rPr>
          <w:b/>
          <w:bCs/>
          <w:sz w:val="21"/>
          <w:szCs w:val="21"/>
        </w:rPr>
        <w:t xml:space="preserve">frecuencias</w:t>
      </w:r>
      <w:r>
        <w:rPr>
          <w:sz w:val="21"/>
          <w:szCs w:val="21"/>
        </w:rPr>
        <w:t xml:space="preserve">), calcular </w:t>
      </w:r>
      <w:r>
        <w:rPr>
          <w:b/>
          <w:bCs/>
          <w:sz w:val="21"/>
          <w:szCs w:val="21"/>
        </w:rPr>
        <w:t xml:space="preserve">porcentajes</w:t>
      </w:r>
      <w:r>
        <w:rPr>
          <w:sz w:val="21"/>
          <w:szCs w:val="21"/>
        </w:rPr>
        <w:t xml:space="preserve">, y representarlas con barras o con un gráfico de sectores. </w:t>
      </w:r>
      <w:r>
        <w:rPr>
          <w:b/>
          <w:bCs/>
          <w:sz w:val="21"/>
          <w:szCs w:val="21"/>
        </w:rPr>
        <w:t xml:space="preserve">Qué no se puede hacer:</w:t>
      </w:r>
      <w:r>
        <w:rPr>
          <w:sz w:val="21"/>
          <w:szCs w:val="21"/>
        </w:rPr>
        <w:t xml:space="preserve"> una media. «La media de comunidad autónoma es 7,4» no significa nada.</w:t>
      </w:r>
    </w:p>
    <w:p>
      <w:pPr>
        <w:pStyle w:val="Heading2"/>
        <w:keepNext/>
        <w:spacing w:after="120" w:before="340" w:line="288" w:lineRule="auto"/>
      </w:pPr>
      <w:bookmarkStart w:name="h6" w:id="6"/>
      <w:r>
        <w:rPr>
          <w:rFonts w:ascii="Calibri" w:cs="Calibri" w:eastAsia="Calibri" w:hAnsi="Calibri"/>
          <w:b/>
          <w:bCs/>
          <w:color w:val="1F66F0"/>
          <w:sz w:val="24"/>
          <w:szCs w:val="24"/>
        </w:rPr>
        <w:t xml:space="preserve">3.2 Variables categóricas dicotómicas (sí/no)</w:t>
      </w:r>
      <w:bookmarkEnd w:id="6"/>
    </w:p>
    <w:p>
      <w:pPr>
        <w:spacing w:after="150" w:line="288" w:lineRule="auto"/>
        <w:jc w:val="both"/>
      </w:pPr>
      <w:r>
        <w:rPr>
          <w:sz w:val="21"/>
          <w:szCs w:val="21"/>
        </w:rPr>
        <w:t xml:space="preserve">Son nominales de solo dos valores. En la base de datos se guardan como verdadero/falso:</w:t>
      </w:r>
    </w:p>
    <w:p>
      <w:pPr>
        <w:pStyle w:val="ListParagraph"/>
        <w:numPr>
          <w:ilvl w:val="0"/>
          <w:numId w:val="3"/>
        </w:numPr>
        <w:spacing w:after="100" w:line="282" w:lineRule="auto"/>
        <w:jc w:val="left"/>
      </w:pPr>
      <w:r>
        <w:rPr>
          <w:sz w:val="21"/>
          <w:szCs w:val="21"/>
        </w:rPr>
        <w:t xml:space="preserve">¿Estudias? ¿Trabajas?</w:t>
      </w:r>
    </w:p>
    <w:p>
      <w:pPr>
        <w:pStyle w:val="ListParagraph"/>
        <w:numPr>
          <w:ilvl w:val="0"/>
          <w:numId w:val="3"/>
        </w:numPr>
        <w:spacing w:after="100" w:line="282" w:lineRule="auto"/>
        <w:jc w:val="left"/>
      </w:pPr>
      <w:r>
        <w:rPr>
          <w:sz w:val="21"/>
          <w:szCs w:val="21"/>
        </w:rPr>
        <w:t xml:space="preserve">¿Tienes familia en España? ¿Has visitado España? ¿Has visitado otros países hispanohablantes?</w:t>
      </w:r>
    </w:p>
    <w:p>
      <w:pPr>
        <w:pStyle w:val="ListParagraph"/>
        <w:numPr>
          <w:ilvl w:val="0"/>
          <w:numId w:val="3"/>
        </w:numPr>
        <w:spacing w:after="100" w:line="282" w:lineRule="auto"/>
        <w:jc w:val="left"/>
      </w:pPr>
      <w:r>
        <w:rPr>
          <w:sz w:val="21"/>
          <w:szCs w:val="21"/>
        </w:rPr>
        <w:t xml:space="preserve">¿Conoces personas de esta región?</w:t>
      </w:r>
    </w:p>
    <w:p>
      <w:pPr>
        <w:pStyle w:val="ListParagraph"/>
        <w:numPr>
          <w:ilvl w:val="0"/>
          <w:numId w:val="3"/>
        </w:numPr>
        <w:spacing w:after="100" w:line="282" w:lineRule="auto"/>
        <w:jc w:val="left"/>
      </w:pPr>
      <w:r>
        <w:rPr>
          <w:sz w:val="21"/>
          <w:szCs w:val="21"/>
        </w:rPr>
        <w:t xml:space="preserve">¿Crees que la persona trata distinto a Mariam y a Omar?</w:t>
      </w:r>
    </w:p>
    <w:p>
      <w:pPr>
        <w:pStyle w:val="ListParagraph"/>
        <w:numPr>
          <w:ilvl w:val="0"/>
          <w:numId w:val="3"/>
        </w:numPr>
        <w:spacing w:after="100" w:line="282" w:lineRule="auto"/>
        <w:jc w:val="left"/>
      </w:pPr>
      <w:r>
        <w:rPr>
          <w:sz w:val="21"/>
          <w:szCs w:val="21"/>
        </w:rPr>
        <w:t xml:space="preserve">¿Habría sido diferente con una jefa mujer?</w:t>
      </w:r>
    </w:p>
    <w:p>
      <w:pPr>
        <w:spacing w:after="80" w:line="240" w:lineRule="auto"/>
      </w:pPr>
      <w:r>
        <w:rPr>
          <w:sz w:val="6"/>
          <w:szCs w:val="6"/>
        </w:rPr>
        <w:t xml:space="preserve"/>
      </w:r>
    </w:p>
    <w:p>
      <w:pPr>
        <w:spacing w:after="150" w:line="288" w:lineRule="auto"/>
        <w:jc w:val="both"/>
      </w:pPr>
      <w:r>
        <w:rPr>
          <w:b/>
          <w:bCs/>
          <w:sz w:val="21"/>
          <w:szCs w:val="21"/>
        </w:rPr>
        <w:t xml:space="preserve">Qué se puede hacer:</w:t>
      </w:r>
      <w:r>
        <w:rPr>
          <w:sz w:val="21"/>
          <w:szCs w:val="21"/>
        </w:rPr>
        <w:t xml:space="preserve"> contar sí/no y, sobre todo, calcular el </w:t>
      </w:r>
      <w:r>
        <w:rPr>
          <w:b/>
          <w:bCs/>
          <w:sz w:val="21"/>
          <w:szCs w:val="21"/>
        </w:rPr>
        <w:t xml:space="preserve">porcentaje de síes</w:t>
      </w:r>
      <w:r>
        <w:rPr>
          <w:sz w:val="21"/>
          <w:szCs w:val="21"/>
        </w:rPr>
        <w:t xml:space="preserve">, que sí es un número con sentido y se puede comparar entre grupos («el 62 % dice que sí en Cádiz frente al 31 % en Madrid»).</w:t>
      </w:r>
    </w:p>
    <w:p>
      <w:pPr>
        <w:pStyle w:val="Heading2"/>
        <w:keepNext/>
        <w:spacing w:after="120" w:before="340" w:line="288" w:lineRule="auto"/>
      </w:pPr>
      <w:bookmarkStart w:name="h7" w:id="7"/>
      <w:r>
        <w:rPr>
          <w:rFonts w:ascii="Calibri" w:cs="Calibri" w:eastAsia="Calibri" w:hAnsi="Calibri"/>
          <w:b/>
          <w:bCs/>
          <w:color w:val="1F66F0"/>
          <w:sz w:val="24"/>
          <w:szCs w:val="24"/>
        </w:rPr>
        <w:t xml:space="preserve">3.3 Variables ordinales</w:t>
      </w:r>
      <w:bookmarkEnd w:id="7"/>
    </w:p>
    <w:p>
      <w:pPr>
        <w:spacing w:after="150" w:line="288" w:lineRule="auto"/>
        <w:jc w:val="both"/>
      </w:pPr>
      <w:r>
        <w:rPr>
          <w:sz w:val="21"/>
          <w:szCs w:val="21"/>
        </w:rPr>
        <w:t xml:space="preserve">Tienen </w:t>
      </w:r>
      <w:r>
        <w:rPr>
          <w:b/>
          <w:bCs/>
          <w:sz w:val="21"/>
          <w:szCs w:val="21"/>
        </w:rPr>
        <w:t xml:space="preserve">orden</w:t>
      </w:r>
      <w:r>
        <w:rPr>
          <w:sz w:val="21"/>
          <w:szCs w:val="21"/>
        </w:rPr>
        <w:t xml:space="preserve">, pero </w:t>
      </w:r>
      <w:r>
        <w:rPr>
          <w:b/>
          <w:bCs/>
          <w:sz w:val="21"/>
          <w:szCs w:val="21"/>
        </w:rPr>
        <w:t xml:space="preserve">las distancias entre escalones no son necesariamente iguales</w:t>
      </w:r>
      <w:r>
        <w:rPr>
          <w:sz w:val="21"/>
          <w:szCs w:val="21"/>
        </w:rPr>
        <w:t xml:space="preserve">.</w:t>
      </w:r>
    </w:p>
    <w:p>
      <w:pPr>
        <w:pStyle w:val="ListParagraph"/>
        <w:numPr>
          <w:ilvl w:val="0"/>
          <w:numId w:val="3"/>
        </w:numPr>
        <w:spacing w:after="100" w:line="282" w:lineRule="auto"/>
        <w:jc w:val="left"/>
      </w:pPr>
      <w:r>
        <w:rPr>
          <w:sz w:val="21"/>
          <w:szCs w:val="21"/>
        </w:rPr>
        <w:t xml:space="preserve">Nivel de español: A1 &lt; A2 &lt; B1 &lt; B2 &lt; C1 &lt; C2 &lt; Nativo</w:t>
      </w:r>
    </w:p>
    <w:p>
      <w:pPr>
        <w:pStyle w:val="ListParagraph"/>
        <w:numPr>
          <w:ilvl w:val="0"/>
          <w:numId w:val="3"/>
        </w:numPr>
        <w:spacing w:after="100" w:line="282" w:lineRule="auto"/>
        <w:jc w:val="left"/>
      </w:pPr>
      <w:r>
        <w:rPr>
          <w:sz w:val="21"/>
          <w:szCs w:val="21"/>
        </w:rPr>
        <w:t xml:space="preserve">Nivel educativo: primaria &lt; secundaria &lt; … &lt; doctorado</w:t>
      </w:r>
    </w:p>
    <w:p>
      <w:pPr>
        <w:pStyle w:val="ListParagraph"/>
        <w:numPr>
          <w:ilvl w:val="0"/>
          <w:numId w:val="3"/>
        </w:numPr>
        <w:spacing w:after="100" w:line="282" w:lineRule="auto"/>
        <w:jc w:val="left"/>
      </w:pPr>
      <w:r>
        <w:rPr>
          <w:sz w:val="21"/>
          <w:szCs w:val="21"/>
        </w:rPr>
        <w:t xml:space="preserve">Nivel de estudios percibido y nivel de ingresos percibidos: Bajo &lt; Medio &lt; Alto</w:t>
      </w:r>
    </w:p>
    <w:p>
      <w:pPr>
        <w:pStyle w:val="ListParagraph"/>
        <w:numPr>
          <w:ilvl w:val="0"/>
          <w:numId w:val="3"/>
        </w:numPr>
        <w:spacing w:after="100" w:line="282" w:lineRule="auto"/>
        <w:jc w:val="left"/>
      </w:pPr>
      <w:r>
        <w:rPr>
          <w:sz w:val="21"/>
          <w:szCs w:val="21"/>
        </w:rPr>
        <w:t xml:space="preserve">Tiempo de estancia: «menos de 1 mes» &lt; «1-3 meses» &lt; …</w:t>
      </w:r>
    </w:p>
    <w:p>
      <w:pPr>
        <w:pStyle w:val="ListParagraph"/>
        <w:numPr>
          <w:ilvl w:val="0"/>
          <w:numId w:val="3"/>
        </w:numPr>
        <w:spacing w:after="100" w:line="282" w:lineRule="auto"/>
        <w:jc w:val="left"/>
      </w:pPr>
      <w:r>
        <w:rPr>
          <w:b/>
          <w:bCs/>
          <w:sz w:val="21"/>
          <w:szCs w:val="21"/>
        </w:rPr>
        <w:t xml:space="preserve">Las escalas de diferencial semántico de 1 a 5</w:t>
      </w:r>
      <w:r>
        <w:rPr>
          <w:sz w:val="21"/>
          <w:szCs w:val="21"/>
        </w:rPr>
        <w:t xml:space="preserve"> ← las más importantes</w:t>
      </w:r>
    </w:p>
    <w:p>
      <w:pPr>
        <w:pStyle w:val="ListParagraph"/>
        <w:numPr>
          <w:ilvl w:val="0"/>
          <w:numId w:val="3"/>
        </w:numPr>
        <w:spacing w:after="100" w:line="282" w:lineRule="auto"/>
        <w:jc w:val="left"/>
      </w:pPr>
      <w:r>
        <w:rPr>
          <w:b/>
          <w:bCs/>
          <w:sz w:val="21"/>
          <w:szCs w:val="21"/>
        </w:rPr>
        <w:t xml:space="preserve">La proximidad de pronunciación de 1 a 5</w:t>
      </w:r>
    </w:p>
    <w:p>
      <w:pPr>
        <w:spacing w:after="80" w:line="240" w:lineRule="auto"/>
      </w:pPr>
      <w:r>
        <w:rPr>
          <w:sz w:val="6"/>
          <w:szCs w:val="6"/>
        </w:rPr>
        <w:t xml:space="preserve"/>
      </w:r>
    </w:p>
    <w:p>
      <w:pPr>
        <w:spacing w:after="150" w:line="288" w:lineRule="auto"/>
        <w:jc w:val="both"/>
      </w:pPr>
      <w:r>
        <w:rPr>
          <w:sz w:val="21"/>
          <w:szCs w:val="21"/>
        </w:rPr>
        <w:t xml:space="preserve">El caso de las escalas 1-5 merece una explicación aparte, porque es el corazón del estudio y también su punto estadísticamente más delicado.</w:t>
      </w:r>
    </w:p>
    <w:p>
      <w:pPr>
        <w:pStyle w:val="Heading2"/>
        <w:keepNext/>
        <w:spacing w:after="120" w:before="340" w:line="288" w:lineRule="auto"/>
      </w:pPr>
      <w:bookmarkStart w:name="h8" w:id="8"/>
      <w:r>
        <w:rPr>
          <w:rFonts w:ascii="Calibri" w:cs="Calibri" w:eastAsia="Calibri" w:hAnsi="Calibri"/>
          <w:b/>
          <w:bCs/>
          <w:color w:val="1F66F0"/>
          <w:sz w:val="24"/>
          <w:szCs w:val="24"/>
        </w:rPr>
        <w:t xml:space="preserve">3.4 El caso especial: el diferencial semántico</w:t>
      </w:r>
      <w:bookmarkEnd w:id="8"/>
    </w:p>
    <w:p>
      <w:pPr>
        <w:spacing w:after="150" w:line="288" w:lineRule="auto"/>
        <w:jc w:val="both"/>
      </w:pPr>
      <w:r>
        <w:rPr>
          <w:sz w:val="21"/>
          <w:szCs w:val="21"/>
        </w:rPr>
        <w:t xml:space="preserve">El </w:t>
      </w:r>
      <w:r>
        <w:rPr>
          <w:b/>
          <w:bCs/>
          <w:sz w:val="21"/>
          <w:szCs w:val="21"/>
        </w:rPr>
        <w:t xml:space="preserve">diferencial semántico</w:t>
      </w:r>
      <w:r>
        <w:rPr>
          <w:sz w:val="21"/>
          <w:szCs w:val="21"/>
        </w:rPr>
        <w:t xml:space="preserve"> es una técnica clásica (Osgood, 1957) que se usa exactamente así en el formulario:</w:t>
      </w:r>
    </w:p>
    <w:p>
      <w:pPr>
        <w:pBdr>
          <w:top w:val="single" w:color="F8FAFC" w:sz="2" w:space="8"/>
          <w:left w:val="single" w:color="CBD5E1" w:sz="12" w:space="8"/>
        </w:pBdr>
        <w:shd w:fill="F8FAFC" w:val="clear"/>
        <w:spacing w:after="0" w:before="150" w:line="252" w:lineRule="auto"/>
        <w:ind w:left="220"/>
        <w:jc w:val="left"/>
      </w:pPr>
      <w:r>
        <w:rPr>
          <w:rFonts w:ascii="Consolas" w:cs="Consolas" w:eastAsia="Consolas" w:hAnsi="Consolas"/>
          <w:color w:val="475569"/>
          <w:sz w:val="16"/>
          <w:szCs w:val="16"/>
        </w:rPr>
        <w:t xml:space="preserve">Desagradable  ◯ — ◯ — ◯ — ◯ — ◯  Agradable</w:t>
      </w:r>
    </w:p>
    <w:p>
      <w:pPr>
        <w:pBdr>
          <w:left w:val="single" w:color="CBD5E1" w:sz="12" w:space="8"/>
          <w:bottom w:val="single" w:color="F8FAFC" w:sz="2" w:space="8"/>
        </w:pBdr>
        <w:shd w:fill="F8FAFC" w:val="clear"/>
        <w:spacing w:after="200" w:before="0" w:line="252" w:lineRule="auto"/>
        <w:ind w:left="220"/>
        <w:jc w:val="left"/>
      </w:pPr>
      <w:r>
        <w:rPr>
          <w:rFonts w:ascii="Consolas" w:cs="Consolas" w:eastAsia="Consolas" w:hAnsi="Consolas"/>
          <w:color w:val="475569"/>
          <w:sz w:val="16"/>
          <w:szCs w:val="16"/>
        </w:rPr>
        <w:t xml:space="preserve">              1   2   3   4   5</w:t>
      </w:r>
    </w:p>
    <w:p>
      <w:pPr>
        <w:spacing w:after="150" w:line="288" w:lineRule="auto"/>
        <w:jc w:val="both"/>
      </w:pPr>
      <w:r>
        <w:rPr>
          <w:sz w:val="21"/>
          <w:szCs w:val="21"/>
        </w:rPr>
        <w:t xml:space="preserve">El participante marca el punto que mejor refleja su impresión. En este estudio hay </w:t>
      </w:r>
      <w:r>
        <w:rPr>
          <w:b/>
          <w:bCs/>
          <w:sz w:val="21"/>
          <w:szCs w:val="21"/>
        </w:rPr>
        <w:t xml:space="preserve">23 pares de adjetivos</w:t>
      </w:r>
      <w:r>
        <w:rPr>
          <w:sz w:val="21"/>
          <w:szCs w:val="21"/>
        </w:rPr>
        <w:t xml:space="preserve">, repartidos en tres bloques: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104"/>
        <w:gridCol w:w="1107"/>
        <w:gridCol w:w="6200"/>
      </w:tblGrid>
      <w:tr>
        <w:trPr>
          <w:cantSplit/>
          <w:tblHeader/>
        </w:trPr>
        <w:tc>
          <w:tcPr>
            <w:tcW w:type="dxa" w:w="2104"/>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Bloque</w:t>
            </w:r>
          </w:p>
        </w:tc>
        <w:tc>
          <w:tcPr>
            <w:tcW w:type="dxa" w:w="1107"/>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Ítems</w:t>
            </w:r>
          </w:p>
        </w:tc>
        <w:tc>
          <w:tcPr>
            <w:tcW w:type="dxa" w:w="620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Adjetivos (negativo 1 → positivo 5)</w:t>
            </w:r>
          </w:p>
        </w:tc>
      </w:tr>
      <w:tr>
        <w:trPr>
          <w:cantSplit/>
          <w:tblHeader w:val="false"/>
        </w:trPr>
        <w:tc>
          <w:tcPr>
            <w:tcW w:type="dxa" w:w="210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Voz / pronunciación</w:t>
            </w:r>
          </w:p>
        </w:tc>
        <w:tc>
          <w:tcPr>
            <w:tcW w:type="dxa" w:w="110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11</w:t>
            </w:r>
          </w:p>
        </w:tc>
        <w:tc>
          <w:tcPr>
            <w:tcW w:type="dxa" w:w="620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Desagradable–Agradable · Monótona–Variada · Complicada–Sencilla · Distante–Cercana · Rural–Urbana · Lenta–Rápida · Aburrida–Divertida · Confusa–Clara · Fea–Bonita · Poco profesional–Profesional · Poco musical–Musical</w:t>
            </w:r>
          </w:p>
        </w:tc>
      </w:tr>
      <w:tr>
        <w:trPr>
          <w:cantSplit/>
          <w:tblHeader w:val="false"/>
        </w:trPr>
        <w:tc>
          <w:tcPr>
            <w:tcW w:type="dxa" w:w="2104"/>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Persona que habla</w:t>
            </w:r>
          </w:p>
        </w:tc>
        <w:tc>
          <w:tcPr>
            <w:tcW w:type="dxa" w:w="110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6</w:t>
            </w:r>
          </w:p>
        </w:tc>
        <w:tc>
          <w:tcPr>
            <w:tcW w:type="dxa" w:w="620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Poco inteligente–Inteligente · Antipática–Simpática · Distante–Cercana · Inculta–Culta · Maleducada–Educada · Poco confiable–Confiable</w:t>
            </w:r>
          </w:p>
        </w:tc>
      </w:tr>
      <w:tr>
        <w:trPr>
          <w:cantSplit/>
          <w:tblHeader w:val="false"/>
        </w:trPr>
        <w:tc>
          <w:tcPr>
            <w:tcW w:type="dxa" w:w="210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Cultura asociada</w:t>
            </w:r>
          </w:p>
        </w:tc>
        <w:tc>
          <w:tcPr>
            <w:tcW w:type="dxa" w:w="110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6</w:t>
            </w:r>
          </w:p>
        </w:tc>
        <w:tc>
          <w:tcPr>
            <w:tcW w:type="dxa" w:w="620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Tradicional–Innovadora · Aburrida–Divertida · Desconocida–Conocida · Distante–Cercana · Pobre–Rica · Poco interesante–Interesante</w:t>
            </w:r>
          </w:p>
        </w:tc>
      </w:tr>
    </w:tbl>
    <w:p>
      <w:pPr>
        <w:spacing w:after="160" w:line="240" w:lineRule="auto"/>
      </w:pPr>
      <w:r>
        <w:rPr>
          <w:sz w:val="6"/>
          <w:szCs w:val="6"/>
        </w:rPr>
        <w:t xml:space="preserve"/>
      </w:r>
    </w:p>
    <w:p>
      <w:pPr>
        <w:spacing w:after="150" w:line="288" w:lineRule="auto"/>
        <w:jc w:val="both"/>
      </w:pPr>
      <w:r>
        <w:rPr>
          <w:b/>
          <w:bCs/>
          <w:sz w:val="21"/>
          <w:szCs w:val="21"/>
        </w:rPr>
        <w:t xml:space="preserve">El debate técnico, resumido.</w:t>
      </w:r>
      <w:r>
        <w:rPr>
          <w:sz w:val="21"/>
          <w:szCs w:val="21"/>
        </w:rPr>
        <w:t xml:space="preserve"> Estrictamente, una escala de 1 a 5 es </w:t>
      </w:r>
      <w:r>
        <w:rPr>
          <w:b/>
          <w:bCs/>
          <w:sz w:val="21"/>
          <w:szCs w:val="21"/>
        </w:rPr>
        <w:t xml:space="preserve">ordinal</w:t>
      </w:r>
      <w:r>
        <w:rPr>
          <w:sz w:val="21"/>
          <w:szCs w:val="21"/>
        </w:rPr>
        <w:t xml:space="preserve">: sabemos que 4 es más que 3, pero no podemos jurar que la distancia entre 3 y 4 sea idéntica a la que hay entre 4 y 5. Por eso, en sentido estricto, no deberíamos calcular medias.</w:t>
      </w:r>
    </w:p>
    <w:p>
      <w:pPr>
        <w:spacing w:after="150" w:line="288" w:lineRule="auto"/>
        <w:jc w:val="both"/>
      </w:pPr>
      <w:r>
        <w:rPr>
          <w:b/>
          <w:bCs/>
          <w:sz w:val="21"/>
          <w:szCs w:val="21"/>
        </w:rPr>
        <w:t xml:space="preserve">Lo que se hace en la práctica, y por qué es aceptable.</w:t>
      </w:r>
      <w:r>
        <w:rPr>
          <w:sz w:val="21"/>
          <w:szCs w:val="21"/>
        </w:rPr>
        <w:t xml:space="preserve"> En la bibliografía de actitudes lingüísticas y en psicología social </w:t>
      </w:r>
      <w:r>
        <w:rPr>
          <w:b/>
          <w:bCs/>
          <w:sz w:val="21"/>
          <w:szCs w:val="21"/>
        </w:rPr>
        <w:t xml:space="preserve">es la norma tratar el diferencial semántico como si fuera una variable de intervalo</w:t>
      </w:r>
      <w:r>
        <w:rPr>
          <w:sz w:val="21"/>
          <w:szCs w:val="21"/>
        </w:rPr>
        <w:t xml:space="preserve"> y calcular medias, siempre que:</w:t>
      </w:r>
    </w:p>
    <w:p>
      <w:pPr>
        <w:pStyle w:val="ListParagraph"/>
        <w:numPr>
          <w:ilvl w:val="0"/>
          <w:numId w:val="3"/>
        </w:numPr>
        <w:spacing w:after="100" w:line="282" w:lineRule="auto"/>
        <w:jc w:val="left"/>
      </w:pPr>
      <w:r>
        <w:rPr>
          <w:sz w:val="21"/>
          <w:szCs w:val="21"/>
        </w:rPr>
        <w:t xml:space="preserve">la escala tenga 5 puntos o más (aquí son 5 ✔),</w:t>
      </w:r>
    </w:p>
    <w:p>
      <w:pPr>
        <w:pStyle w:val="ListParagraph"/>
        <w:numPr>
          <w:ilvl w:val="0"/>
          <w:numId w:val="3"/>
        </w:numPr>
        <w:spacing w:after="100" w:line="282" w:lineRule="auto"/>
        <w:jc w:val="left"/>
      </w:pPr>
      <w:r>
        <w:rPr>
          <w:sz w:val="21"/>
          <w:szCs w:val="21"/>
        </w:rPr>
        <w:t xml:space="preserve">los puntos estén equiespaciados visualmente, sin etiquetas intermedias que rompan la simetría (aquí son cinco círculos idénticos ✔),</w:t>
      </w:r>
    </w:p>
    <w:p>
      <w:pPr>
        <w:pStyle w:val="ListParagraph"/>
        <w:numPr>
          <w:ilvl w:val="0"/>
          <w:numId w:val="3"/>
        </w:numPr>
        <w:spacing w:after="100" w:line="282" w:lineRule="auto"/>
        <w:jc w:val="left"/>
      </w:pPr>
      <w:r>
        <w:rPr>
          <w:sz w:val="21"/>
          <w:szCs w:val="21"/>
        </w:rPr>
        <w:t xml:space="preserve">y sobre todo, que </w:t>
      </w:r>
      <w:r>
        <w:rPr>
          <w:b/>
          <w:bCs/>
          <w:sz w:val="21"/>
          <w:szCs w:val="21"/>
        </w:rPr>
        <w:t xml:space="preserve">se promedien varios ítems</w:t>
      </w:r>
      <w:r>
        <w:rPr>
          <w:sz w:val="21"/>
          <w:szCs w:val="21"/>
        </w:rPr>
        <w:t xml:space="preserve">, no uno solo (aquí se promedian 11 + 6 + 6 ✔).</w:t>
      </w:r>
    </w:p>
    <w:p>
      <w:pPr>
        <w:spacing w:after="80" w:line="240" w:lineRule="auto"/>
      </w:pPr>
      <w:r>
        <w:rPr>
          <w:sz w:val="6"/>
          <w:szCs w:val="6"/>
        </w:rPr>
        <w:t xml:space="preserve"/>
      </w:r>
    </w:p>
    <w:p>
      <w:pPr>
        <w:spacing w:after="150" w:line="288" w:lineRule="auto"/>
        <w:jc w:val="both"/>
      </w:pPr>
      <w:r>
        <w:rPr>
          <w:sz w:val="21"/>
          <w:szCs w:val="21"/>
        </w:rPr>
        <w:t xml:space="preserve">Esa última condición es la clave: la media de once ítems se comporta estadísticamente mucho mejor que un ítem suelto.</w:t>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b/>
          <w:bCs/>
          <w:color w:val="1E3A8A"/>
          <w:sz w:val="20"/>
          <w:szCs w:val="20"/>
        </w:rPr>
        <w:t xml:space="preserve">Cómo defenderlo si alguien lo pregunta en la defensa de la tesis:</w:t>
      </w:r>
      <w:r>
        <w:rPr>
          <w:color w:val="1E3A8A"/>
          <w:sz w:val="20"/>
          <w:szCs w:val="20"/>
        </w:rPr>
        <w:t xml:space="preserve"> «Las escalas se han tratado como variables de intervalo, práctica habitual en los estudios de actitudes lingüísticas con diferencial semántico, dado que se trata de escalas simétricas de cinco puntos y que el análisis se realiza sobre índices promediados. Para las comparaciones se han contrastado además los resultados con pruebas no paramétricas» (ver §11).</w:t>
      </w:r>
    </w:p>
    <w:p>
      <w:pPr>
        <w:pStyle w:val="Heading2"/>
        <w:keepNext/>
        <w:spacing w:after="120" w:before="340" w:line="288" w:lineRule="auto"/>
      </w:pPr>
      <w:bookmarkStart w:name="h9" w:id="9"/>
      <w:r>
        <w:rPr>
          <w:rFonts w:ascii="Calibri" w:cs="Calibri" w:eastAsia="Calibri" w:hAnsi="Calibri"/>
          <w:b/>
          <w:bCs/>
          <w:color w:val="1F66F0"/>
          <w:sz w:val="24"/>
          <w:szCs w:val="24"/>
        </w:rPr>
        <w:t xml:space="preserve">3.5 Variables cuantitativas continuas</w:t>
      </w:r>
      <w:bookmarkEnd w:id="9"/>
    </w:p>
    <w:p>
      <w:pPr>
        <w:spacing w:after="150" w:line="288" w:lineRule="auto"/>
        <w:jc w:val="both"/>
      </w:pPr>
      <w:r>
        <w:rPr>
          <w:sz w:val="21"/>
          <w:szCs w:val="21"/>
        </w:rPr>
        <w:t xml:space="preserve">Números de verdad, donde las distancias sí son iguales:</w:t>
      </w:r>
    </w:p>
    <w:p>
      <w:pPr>
        <w:pStyle w:val="ListParagraph"/>
        <w:numPr>
          <w:ilvl w:val="0"/>
          <w:numId w:val="3"/>
        </w:numPr>
        <w:spacing w:after="100" w:line="282" w:lineRule="auto"/>
        <w:jc w:val="left"/>
      </w:pPr>
      <w:r>
        <w:rPr>
          <w:b/>
          <w:bCs/>
          <w:sz w:val="21"/>
          <w:szCs w:val="21"/>
        </w:rPr>
        <w:t xml:space="preserve">Edad</w:t>
      </w:r>
      <w:r>
        <w:rPr>
          <w:sz w:val="21"/>
          <w:szCs w:val="21"/>
        </w:rPr>
        <w:t xml:space="preserve"> del participante</w:t>
      </w:r>
    </w:p>
    <w:p>
      <w:pPr>
        <w:pStyle w:val="ListParagraph"/>
        <w:numPr>
          <w:ilvl w:val="0"/>
          <w:numId w:val="3"/>
        </w:numPr>
        <w:spacing w:after="100" w:line="282" w:lineRule="auto"/>
        <w:jc w:val="left"/>
      </w:pPr>
      <w:r>
        <w:rPr>
          <w:b/>
          <w:bCs/>
          <w:sz w:val="21"/>
          <w:szCs w:val="21"/>
        </w:rPr>
        <w:t xml:space="preserve">Años de estudio del español</w:t>
      </w:r>
    </w:p>
    <w:p>
      <w:pPr>
        <w:spacing w:after="80" w:line="240" w:lineRule="auto"/>
      </w:pPr>
      <w:r>
        <w:rPr>
          <w:sz w:val="6"/>
          <w:szCs w:val="6"/>
        </w:rPr>
        <w:t xml:space="preserve"/>
      </w:r>
    </w:p>
    <w:p>
      <w:pPr>
        <w:spacing w:after="150" w:line="288" w:lineRule="auto"/>
        <w:jc w:val="both"/>
      </w:pPr>
      <w:r>
        <w:rPr>
          <w:sz w:val="21"/>
          <w:szCs w:val="21"/>
        </w:rPr>
        <w:t xml:space="preserve">Aquí sí tiene pleno sentido la media, la mediana y la desviación típica.</w:t>
      </w:r>
    </w:p>
    <w:p>
      <w:pPr>
        <w:pStyle w:val="Heading2"/>
        <w:keepNext/>
        <w:spacing w:after="120" w:before="340" w:line="288" w:lineRule="auto"/>
      </w:pPr>
      <w:bookmarkStart w:name="h10" w:id="10"/>
      <w:r>
        <w:rPr>
          <w:rFonts w:ascii="Calibri" w:cs="Calibri" w:eastAsia="Calibri" w:hAnsi="Calibri"/>
          <w:b/>
          <w:bCs/>
          <w:color w:val="1F66F0"/>
          <w:sz w:val="24"/>
          <w:szCs w:val="24"/>
        </w:rPr>
        <w:t xml:space="preserve">3.6 Variables cualitativas de texto libre</w:t>
      </w:r>
      <w:bookmarkEnd w:id="10"/>
    </w:p>
    <w:p>
      <w:pPr>
        <w:spacing w:after="150" w:line="288" w:lineRule="auto"/>
        <w:jc w:val="both"/>
      </w:pPr>
      <w:r>
        <w:rPr>
          <w:sz w:val="21"/>
          <w:szCs w:val="21"/>
        </w:rPr>
        <w:t xml:space="preserve">No son estadísticas, pero son </w:t>
      </w:r>
      <w:r>
        <w:rPr>
          <w:b/>
          <w:bCs/>
          <w:sz w:val="21"/>
          <w:szCs w:val="21"/>
        </w:rPr>
        <w:t xml:space="preserve">datos valiosísimos para una tesis de filología</w:t>
      </w:r>
      <w:r>
        <w:rPr>
          <w:sz w:val="21"/>
          <w:szCs w:val="21"/>
        </w:rPr>
        <w:t xml:space="preserve">, porque explican el </w:t>
      </w:r>
      <w:r>
        <w:rPr>
          <w:i/>
          <w:iCs/>
          <w:sz w:val="21"/>
          <w:szCs w:val="21"/>
        </w:rPr>
        <w:t xml:space="preserve">porqué</w:t>
      </w:r>
      <w:r>
        <w:rPr>
          <w:sz w:val="21"/>
          <w:szCs w:val="21"/>
        </w:rPr>
        <w:t xml:space="preserve"> de los números:</w:t>
      </w:r>
    </w:p>
    <w:p>
      <w:pPr>
        <w:pStyle w:val="ListParagraph"/>
        <w:numPr>
          <w:ilvl w:val="0"/>
          <w:numId w:val="3"/>
        </w:numPr>
        <w:spacing w:after="100" w:line="282" w:lineRule="auto"/>
        <w:jc w:val="left"/>
      </w:pPr>
      <w:r>
        <w:rPr>
          <w:sz w:val="21"/>
          <w:szCs w:val="21"/>
        </w:rPr>
        <w:t xml:space="preserve">Un aspecto de la pronunciación que te haya </w:t>
      </w:r>
      <w:r>
        <w:rPr>
          <w:b/>
          <w:bCs/>
          <w:sz w:val="21"/>
          <w:szCs w:val="21"/>
        </w:rPr>
        <w:t xml:space="preserve">gustado</w:t>
      </w:r>
    </w:p>
    <w:p>
      <w:pPr>
        <w:pStyle w:val="ListParagraph"/>
        <w:numPr>
          <w:ilvl w:val="0"/>
          <w:numId w:val="3"/>
        </w:numPr>
        <w:spacing w:after="100" w:line="282" w:lineRule="auto"/>
        <w:jc w:val="left"/>
      </w:pPr>
      <w:r>
        <w:rPr>
          <w:sz w:val="21"/>
          <w:szCs w:val="21"/>
        </w:rPr>
        <w:t xml:space="preserve">Un aspecto que te haya </w:t>
      </w:r>
      <w:r>
        <w:rPr>
          <w:b/>
          <w:bCs/>
          <w:sz w:val="21"/>
          <w:szCs w:val="21"/>
        </w:rPr>
        <w:t xml:space="preserve">disgustado</w:t>
      </w:r>
    </w:p>
    <w:p>
      <w:pPr>
        <w:pStyle w:val="ListParagraph"/>
        <w:numPr>
          <w:ilvl w:val="0"/>
          <w:numId w:val="3"/>
        </w:numPr>
        <w:spacing w:after="100" w:line="282" w:lineRule="auto"/>
        <w:jc w:val="left"/>
      </w:pPr>
      <w:r>
        <w:rPr>
          <w:sz w:val="21"/>
          <w:szCs w:val="21"/>
        </w:rPr>
        <w:t xml:space="preserve">Qué opinión tienes sobre esta región</w:t>
      </w:r>
    </w:p>
    <w:p>
      <w:pPr>
        <w:pStyle w:val="ListParagraph"/>
        <w:numPr>
          <w:ilvl w:val="0"/>
          <w:numId w:val="3"/>
        </w:numPr>
        <w:spacing w:after="100" w:line="282" w:lineRule="auto"/>
        <w:jc w:val="left"/>
      </w:pPr>
      <w:r>
        <w:rPr>
          <w:sz w:val="21"/>
          <w:szCs w:val="21"/>
        </w:rPr>
        <w:t xml:space="preserve">¿Tu actitud puede verse influida por el género de quien habla?</w:t>
      </w:r>
    </w:p>
    <w:p>
      <w:pPr>
        <w:pStyle w:val="ListParagraph"/>
        <w:numPr>
          <w:ilvl w:val="0"/>
          <w:numId w:val="3"/>
        </w:numPr>
        <w:spacing w:after="100" w:line="282" w:lineRule="auto"/>
        <w:jc w:val="left"/>
      </w:pPr>
      <w:r>
        <w:rPr>
          <w:sz w:val="21"/>
          <w:szCs w:val="21"/>
        </w:rPr>
        <w:t xml:space="preserve">Qué región crees que habla mejor español y por qué</w:t>
      </w:r>
    </w:p>
    <w:p>
      <w:pPr>
        <w:spacing w:after="80" w:line="240" w:lineRule="auto"/>
      </w:pPr>
      <w:r>
        <w:rPr>
          <w:sz w:val="6"/>
          <w:szCs w:val="6"/>
        </w:rPr>
        <w:t xml:space="preserve"/>
      </w:r>
    </w:p>
    <w:p>
      <w:pPr>
        <w:spacing w:after="150" w:line="288" w:lineRule="auto"/>
        <w:jc w:val="both"/>
      </w:pPr>
      <w:r>
        <w:rPr>
          <w:sz w:val="21"/>
          <w:szCs w:val="21"/>
        </w:rPr>
        <w:t xml:space="preserve">Estos campos </w:t>
      </w:r>
      <w:r>
        <w:rPr>
          <w:b/>
          <w:bCs/>
          <w:sz w:val="21"/>
          <w:szCs w:val="21"/>
        </w:rPr>
        <w:t xml:space="preserve">no se pueden meter en una gráfica directamente</w:t>
      </w:r>
      <w:r>
        <w:rPr>
          <w:sz w:val="21"/>
          <w:szCs w:val="21"/>
        </w:rPr>
        <w:t xml:space="preserve">, pero se analizan por </w:t>
      </w:r>
      <w:r>
        <w:rPr>
          <w:b/>
          <w:bCs/>
          <w:sz w:val="21"/>
          <w:szCs w:val="21"/>
        </w:rPr>
        <w:t xml:space="preserve">codificación temática</w:t>
      </w:r>
      <w:r>
        <w:rPr>
          <w:sz w:val="21"/>
          <w:szCs w:val="21"/>
        </w:rPr>
        <w:t xml:space="preserve">: se leen todas las respuestas, se agrupan en categorías recurrentes («seseo», «velocidad», «me recuerda a…», «cierre de vocales»), se cuenta cuántas veces aparece cada categoría y </w:t>
      </w:r>
      <w:r>
        <w:rPr>
          <w:b/>
          <w:bCs/>
          <w:sz w:val="21"/>
          <w:szCs w:val="21"/>
        </w:rPr>
        <w:t xml:space="preserve">entonces sí</w:t>
      </w:r>
      <w:r>
        <w:rPr>
          <w:sz w:val="21"/>
          <w:szCs w:val="21"/>
        </w:rPr>
        <w:t xml:space="preserve"> se convierten en una variable nominal con frecuencias. Es lo que en metodología se llama </w:t>
      </w:r>
      <w:r>
        <w:rPr>
          <w:b/>
          <w:bCs/>
          <w:sz w:val="21"/>
          <w:szCs w:val="21"/>
        </w:rPr>
        <w:t xml:space="preserve">método mixto</w:t>
      </w:r>
      <w:r>
        <w:rPr>
          <w:sz w:val="21"/>
          <w:szCs w:val="21"/>
        </w:rPr>
        <w:t xml:space="preserve">: los números dicen </w:t>
      </w:r>
      <w:r>
        <w:rPr>
          <w:i/>
          <w:iCs/>
          <w:sz w:val="21"/>
          <w:szCs w:val="21"/>
        </w:rPr>
        <w:t xml:space="preserve">qué</w:t>
      </w:r>
      <w:r>
        <w:rPr>
          <w:sz w:val="21"/>
          <w:szCs w:val="21"/>
        </w:rPr>
        <w:t xml:space="preserve"> pasa, los textos dicen </w:t>
      </w:r>
      <w:r>
        <w:rPr>
          <w:i/>
          <w:iCs/>
          <w:sz w:val="21"/>
          <w:szCs w:val="21"/>
        </w:rPr>
        <w:t xml:space="preserve">por qué</w:t>
      </w:r>
      <w:r>
        <w:rPr>
          <w:sz w:val="21"/>
          <w:szCs w:val="21"/>
        </w:rPr>
        <w:t xml:space="preserve">.</w:t>
      </w:r>
    </w:p>
    <w:p>
      <w:pPr>
        <w:pStyle w:val="Heading1"/>
        <w:keepNext/>
        <w:pageBreakBefore/>
        <w:pBdr>
          <w:bottom w:val="single" w:color="1D3C8D" w:sz="8" w:space="8"/>
        </w:pBdr>
        <w:spacing w:after="80" w:before="0" w:line="300" w:lineRule="auto"/>
      </w:pPr>
      <w:bookmarkStart w:name="h11" w:id="11"/>
      <w:r>
        <w:rPr>
          <w:rFonts w:ascii="Calibri" w:cs="Calibri" w:eastAsia="Calibri" w:hAnsi="Calibri"/>
          <w:b/>
          <w:bCs/>
          <w:color w:val="1D3C8D"/>
          <w:sz w:val="30"/>
          <w:szCs w:val="30"/>
        </w:rPr>
        <w:t xml:space="preserve">4. Cómo están organizados los datos: dos niveles</w:t>
      </w:r>
      <w:bookmarkEnd w:id="11"/>
    </w:p>
    <w:p>
      <w:pPr>
        <w:spacing w:after="150" w:line="288" w:lineRule="auto"/>
        <w:jc w:val="both"/>
      </w:pPr>
      <w:r>
        <w:rPr>
          <w:sz w:val="21"/>
          <w:szCs w:val="21"/>
        </w:rPr>
        <w:t xml:space="preserve">Este apartado es corto pero importante, porque explica por qué hay dos tablas en la base de datos y por qué eso tiene consecuencias estadísticas.</w:t>
      </w:r>
    </w:p>
    <w:p>
      <w:pPr>
        <w:spacing w:after="150" w:line="288" w:lineRule="auto"/>
        <w:jc w:val="both"/>
      </w:pPr>
      <w:r>
        <w:rPr>
          <w:sz w:val="21"/>
          <w:szCs w:val="21"/>
        </w:rPr>
        <w:t xml:space="preserve">Los datos tienen </w:t>
      </w:r>
      <w:r>
        <w:rPr>
          <w:b/>
          <w:bCs/>
          <w:sz w:val="21"/>
          <w:szCs w:val="21"/>
        </w:rPr>
        <w:t xml:space="preserve">estructura anidada</w:t>
      </w:r>
      <w:r>
        <w:rPr>
          <w:sz w:val="21"/>
          <w:szCs w:val="21"/>
        </w:rPr>
        <w:t xml:space="preserve"> (o «jerárquica», o «de dos niveles»):</w:t>
      </w:r>
    </w:p>
    <w:p>
      <w:pPr>
        <w:pBdr>
          <w:top w:val="single" w:color="F8FAFC" w:sz="2" w:space="8"/>
          <w:left w:val="single" w:color="CBD5E1" w:sz="12" w:space="8"/>
        </w:pBdr>
        <w:shd w:fill="F8FAFC" w:val="clear"/>
        <w:spacing w:after="0" w:before="150" w:line="252" w:lineRule="auto"/>
        <w:ind w:left="220"/>
        <w:jc w:val="left"/>
      </w:pPr>
      <w:r>
        <w:rPr>
          <w:rFonts w:ascii="Consolas" w:cs="Consolas" w:eastAsia="Consolas" w:hAnsi="Consolas"/>
          <w:color w:val="475569"/>
          <w:sz w:val="16"/>
          <w:szCs w:val="16"/>
        </w:rPr>
        <w:t xml:space="preserve">NIVEL 2 — PARTICIPANTE  (tabla "participantes", 1 fila por persona)</w:t>
      </w:r>
    </w:p>
    <w:p>
      <w:pPr>
        <w:pBdr>
          <w:left w:val="single" w:color="CBD5E1" w:sz="12" w:space="8"/>
        </w:pBdr>
        <w:shd w:fill="F8FAFC" w:val="clear"/>
        <w:spacing w:after="0" w:before="0" w:line="252" w:lineRule="auto"/>
        <w:ind w:left="220"/>
        <w:jc w:val="left"/>
      </w:pPr>
      <w:r>
        <w:rPr>
          <w:rFonts w:ascii="Consolas" w:cs="Consolas" w:eastAsia="Consolas" w:hAnsi="Consolas"/>
          <w:color w:val="475569"/>
          <w:sz w:val="16"/>
          <w:szCs w:val="16"/>
        </w:rPr>
        <w:t xml:space="preserve">│   email, edad, género, nivel de español, ¿ha visitado España?…</w:t>
      </w:r>
    </w:p>
    <w:p>
      <w:pPr>
        <w:pBdr>
          <w:left w:val="single" w:color="CBD5E1" w:sz="12" w:space="8"/>
        </w:pBdr>
        <w:shd w:fill="F8FAFC" w:val="clear"/>
        <w:spacing w:after="0" w:before="0" w:line="252" w:lineRule="auto"/>
        <w:ind w:left="220"/>
        <w:jc w:val="left"/>
      </w:pPr>
      <w:r>
        <w:rPr>
          <w:rFonts w:ascii="Consolas" w:cs="Consolas" w:eastAsia="Consolas" w:hAnsi="Consolas"/>
          <w:color w:val="475569"/>
          <w:sz w:val="16"/>
          <w:szCs w:val="16"/>
        </w:rPr>
        <w:t xml:space="preserve">│</w:t>
      </w:r>
    </w:p>
    <w:p>
      <w:pPr>
        <w:pBdr>
          <w:left w:val="single" w:color="CBD5E1" w:sz="12" w:space="8"/>
        </w:pBdr>
        <w:shd w:fill="F8FAFC" w:val="clear"/>
        <w:spacing w:after="0" w:before="0" w:line="252" w:lineRule="auto"/>
        <w:ind w:left="220"/>
        <w:jc w:val="left"/>
      </w:pPr>
      <w:r>
        <w:rPr>
          <w:rFonts w:ascii="Consolas" w:cs="Consolas" w:eastAsia="Consolas" w:hAnsi="Consolas"/>
          <w:color w:val="475569"/>
          <w:sz w:val="16"/>
          <w:szCs w:val="16"/>
        </w:rPr>
        <w:t xml:space="preserve">├── NIVEL 1 — VALORACIÓN de la grabación A  (tabla "valoraciones")</w:t>
      </w:r>
    </w:p>
    <w:p>
      <w:pPr>
        <w:pBdr>
          <w:left w:val="single" w:color="CBD5E1" w:sz="12" w:space="8"/>
        </w:pBdr>
        <w:shd w:fill="F8FAFC" w:val="clear"/>
        <w:spacing w:after="0" w:before="0" w:line="252" w:lineRule="auto"/>
        <w:ind w:left="220"/>
        <w:jc w:val="left"/>
      </w:pPr>
      <w:r>
        <w:rPr>
          <w:rFonts w:ascii="Consolas" w:cs="Consolas" w:eastAsia="Consolas" w:hAnsi="Consolas"/>
          <w:color w:val="475569"/>
          <w:sz w:val="16"/>
          <w:szCs w:val="16"/>
        </w:rPr>
        <w:t xml:space="preserve">├── NIVEL 1 — VALORACIÓN de la grabación B</w:t>
      </w:r>
    </w:p>
    <w:p>
      <w:pPr>
        <w:pBdr>
          <w:left w:val="single" w:color="CBD5E1" w:sz="12" w:space="8"/>
        </w:pBdr>
        <w:shd w:fill="F8FAFC" w:val="clear"/>
        <w:spacing w:after="0" w:before="0" w:line="252" w:lineRule="auto"/>
        <w:ind w:left="220"/>
        <w:jc w:val="left"/>
      </w:pPr>
      <w:r>
        <w:rPr>
          <w:rFonts w:ascii="Consolas" w:cs="Consolas" w:eastAsia="Consolas" w:hAnsi="Consolas"/>
          <w:color w:val="475569"/>
          <w:sz w:val="16"/>
          <w:szCs w:val="16"/>
        </w:rPr>
        <w:t xml:space="preserve">├── NIVEL 1 — VALORACIÓN de la grabación C</w:t>
      </w:r>
    </w:p>
    <w:p>
      <w:pPr>
        <w:pBdr>
          <w:left w:val="single" w:color="CBD5E1" w:sz="12" w:space="8"/>
        </w:pBdr>
        <w:shd w:fill="F8FAFC" w:val="clear"/>
        <w:spacing w:after="0" w:before="0" w:line="252" w:lineRule="auto"/>
        <w:ind w:left="220"/>
        <w:jc w:val="left"/>
      </w:pPr>
      <w:r>
        <w:rPr>
          <w:rFonts w:ascii="Consolas" w:cs="Consolas" w:eastAsia="Consolas" w:hAnsi="Consolas"/>
          <w:color w:val="475569"/>
          <w:sz w:val="16"/>
          <w:szCs w:val="16"/>
        </w:rPr>
        <w:t xml:space="preserve">├── NIVEL 1 — VALORACIÓN de la grabación D</w:t>
      </w:r>
    </w:p>
    <w:p>
      <w:pPr>
        <w:pBdr>
          <w:left w:val="single" w:color="CBD5E1" w:sz="12" w:space="8"/>
        </w:pBdr>
        <w:shd w:fill="F8FAFC" w:val="clear"/>
        <w:spacing w:after="0" w:before="0" w:line="252" w:lineRule="auto"/>
        <w:ind w:left="220"/>
        <w:jc w:val="left"/>
      </w:pPr>
      <w:r>
        <w:rPr>
          <w:rFonts w:ascii="Consolas" w:cs="Consolas" w:eastAsia="Consolas" w:hAnsi="Consolas"/>
          <w:color w:val="475569"/>
          <w:sz w:val="16"/>
          <w:szCs w:val="16"/>
        </w:rPr>
        <w:t xml:space="preserve">├── NIVEL 1 — VALORACIÓN de la grabación E</w:t>
      </w:r>
    </w:p>
    <w:p>
      <w:pPr>
        <w:pBdr>
          <w:left w:val="single" w:color="CBD5E1" w:sz="12" w:space="8"/>
        </w:pBdr>
        <w:shd w:fill="F8FAFC" w:val="clear"/>
        <w:spacing w:after="0" w:before="0" w:line="252" w:lineRule="auto"/>
        <w:ind w:left="220"/>
        <w:jc w:val="left"/>
      </w:pPr>
      <w:r>
        <w:rPr>
          <w:rFonts w:ascii="Consolas" w:cs="Consolas" w:eastAsia="Consolas" w:hAnsi="Consolas"/>
          <w:color w:val="475569"/>
          <w:sz w:val="16"/>
          <w:szCs w:val="16"/>
        </w:rPr>
        <w:t xml:space="preserve">└── NIVEL 1 — VALORACIÓN de la grabación F</w:t>
      </w:r>
    </w:p>
    <w:p>
      <w:pPr>
        <w:pBdr>
          <w:left w:val="single" w:color="CBD5E1" w:sz="12" w:space="8"/>
          <w:bottom w:val="single" w:color="F8FAFC" w:sz="2" w:space="8"/>
        </w:pBdr>
        <w:shd w:fill="F8FAFC" w:val="clear"/>
        <w:spacing w:after="200" w:before="0" w:line="252" w:lineRule="auto"/>
        <w:ind w:left="220"/>
        <w:jc w:val="left"/>
      </w:pPr>
      <w:r>
        <w:rPr>
          <w:rFonts w:ascii="Consolas" w:cs="Consolas" w:eastAsia="Consolas" w:hAnsi="Consolas"/>
          <w:color w:val="475569"/>
          <w:sz w:val="16"/>
          <w:szCs w:val="16"/>
        </w:rPr>
        <w:t xml:space="preserve">        23 puntuaciones + proximidad + ingresos + estudios + región + …</w:t>
      </w:r>
    </w:p>
    <w:p>
      <w:pPr>
        <w:spacing w:after="150" w:line="288" w:lineRule="auto"/>
        <w:jc w:val="both"/>
      </w:pPr>
      <w:r>
        <w:rPr>
          <w:sz w:val="21"/>
          <w:szCs w:val="21"/>
        </w:rPr>
        <w:t xml:space="preserve">Cada participante produce </w:t>
      </w:r>
      <w:r>
        <w:rPr>
          <w:b/>
          <w:bCs/>
          <w:sz w:val="21"/>
          <w:szCs w:val="21"/>
        </w:rPr>
        <w:t xml:space="preserve">6 valoraciones</w:t>
      </w:r>
      <w:r>
        <w:rPr>
          <w:sz w:val="21"/>
          <w:szCs w:val="21"/>
        </w:rPr>
        <w:t xml:space="preserve"> (una por grabación escuchada). Por tanto:</w:t>
      </w:r>
    </w:p>
    <w:p>
      <w:pPr>
        <w:pStyle w:val="ListParagraph"/>
        <w:numPr>
          <w:ilvl w:val="0"/>
          <w:numId w:val="3"/>
        </w:numPr>
        <w:spacing w:after="100" w:line="282" w:lineRule="auto"/>
        <w:jc w:val="left"/>
      </w:pPr>
      <w:r>
        <w:rPr>
          <w:sz w:val="21"/>
          <w:szCs w:val="21"/>
        </w:rPr>
        <w:t xml:space="preserve">Con </w:t>
      </w:r>
      <w:r>
        <w:rPr>
          <w:b/>
          <w:bCs/>
          <w:sz w:val="21"/>
          <w:szCs w:val="21"/>
        </w:rPr>
        <w:t xml:space="preserve">30 participantes</w:t>
      </w:r>
      <w:r>
        <w:rPr>
          <w:sz w:val="21"/>
          <w:szCs w:val="21"/>
        </w:rPr>
        <w:t xml:space="preserve"> hay 30 filas de nivel 2 pero </w:t>
      </w:r>
      <w:r>
        <w:rPr>
          <w:b/>
          <w:bCs/>
          <w:sz w:val="21"/>
          <w:szCs w:val="21"/>
        </w:rPr>
        <w:t xml:space="preserve">180 filas de nivel 1</w:t>
      </w:r>
      <w:r>
        <w:rPr>
          <w:sz w:val="21"/>
          <w:szCs w:val="21"/>
        </w:rPr>
        <w:t xml:space="preserve">.</w:t>
      </w:r>
    </w:p>
    <w:p>
      <w:pPr>
        <w:pStyle w:val="ListParagraph"/>
        <w:numPr>
          <w:ilvl w:val="0"/>
          <w:numId w:val="3"/>
        </w:numPr>
        <w:spacing w:after="100" w:line="282" w:lineRule="auto"/>
        <w:jc w:val="left"/>
      </w:pPr>
      <w:r>
        <w:rPr>
          <w:sz w:val="21"/>
          <w:szCs w:val="21"/>
        </w:rPr>
        <w:t xml:space="preserve">El </w:t>
      </w:r>
      <w:r>
        <w:rPr>
          <w:b/>
          <w:bCs/>
          <w:sz w:val="21"/>
          <w:szCs w:val="21"/>
        </w:rPr>
        <w:t xml:space="preserve">N no es el mismo según qué se analice</w:t>
      </w:r>
      <w:r>
        <w:rPr>
          <w:sz w:val="21"/>
          <w:szCs w:val="21"/>
        </w:rPr>
        <w:t xml:space="preserve">: para «edad media de la muestra» el N es 30; para «puntuación media de agradabilidad» el N es 180. En la tesis hay que decir siempre </w:t>
      </w:r>
      <w:r>
        <w:rPr>
          <w:b/>
          <w:bCs/>
          <w:sz w:val="21"/>
          <w:szCs w:val="21"/>
        </w:rPr>
        <w:t xml:space="preserve">cuál de los dos N</w:t>
      </w:r>
      <w:r>
        <w:rPr>
          <w:sz w:val="21"/>
          <w:szCs w:val="21"/>
        </w:rPr>
        <w:t xml:space="preserve"> se está usando en cada tabla.</w:t>
      </w:r>
    </w:p>
    <w:p>
      <w:pPr>
        <w:spacing w:after="80" w:line="240" w:lineRule="auto"/>
      </w:pPr>
      <w:r>
        <w:rPr>
          <w:sz w:val="6"/>
          <w:szCs w:val="6"/>
        </w:rPr>
        <w:t xml:space="preserve"/>
      </w:r>
    </w:p>
    <w:p>
      <w:pPr>
        <w:spacing w:after="150" w:line="288" w:lineRule="auto"/>
        <w:jc w:val="both"/>
      </w:pPr>
      <w:r>
        <w:rPr>
          <w:b/>
          <w:bCs/>
          <w:sz w:val="21"/>
          <w:szCs w:val="21"/>
        </w:rPr>
        <w:t xml:space="preserve">La consecuencia estadística (importante y fácil de pasar por alto):</w:t>
      </w:r>
      <w:r>
        <w:rPr>
          <w:sz w:val="21"/>
          <w:szCs w:val="21"/>
        </w:rPr>
        <w:t xml:space="preserve"> las 6 valoraciones de una misma persona </w:t>
      </w:r>
      <w:r>
        <w:rPr>
          <w:b/>
          <w:bCs/>
          <w:sz w:val="21"/>
          <w:szCs w:val="21"/>
        </w:rPr>
        <w:t xml:space="preserve">no son independientes entre sí</w:t>
      </w:r>
      <w:r>
        <w:rPr>
          <w:sz w:val="21"/>
          <w:szCs w:val="21"/>
        </w:rPr>
        <w:t xml:space="preserve">. Quien es generoso puntuando lo será en las seis. Esto se llama </w:t>
      </w:r>
      <w:r>
        <w:rPr>
          <w:b/>
          <w:bCs/>
          <w:sz w:val="21"/>
          <w:szCs w:val="21"/>
        </w:rPr>
        <w:t xml:space="preserve">medidas repetidas</w:t>
      </w:r>
      <w:r>
        <w:rPr>
          <w:sz w:val="21"/>
          <w:szCs w:val="21"/>
        </w:rPr>
        <w:t xml:space="preserve"> o </w:t>
      </w:r>
      <w:r>
        <w:rPr>
          <w:b/>
          <w:bCs/>
          <w:sz w:val="21"/>
          <w:szCs w:val="21"/>
        </w:rPr>
        <w:t xml:space="preserve">datos dependientes</w:t>
      </w:r>
      <w:r>
        <w:rPr>
          <w:sz w:val="21"/>
          <w:szCs w:val="21"/>
        </w:rPr>
        <w:t xml:space="preserve">, y significa que las pruebas estadísticas clásicas «para grupos independientes» no son del todo apropiadas. En §11 se indica qué usar en su lugar.</w:t>
      </w:r>
    </w:p>
    <w:p>
      <w:pPr>
        <w:spacing w:after="150" w:line="288" w:lineRule="auto"/>
        <w:jc w:val="both"/>
      </w:pPr>
      <w:r>
        <w:rPr>
          <w:sz w:val="21"/>
          <w:szCs w:val="21"/>
        </w:rPr>
        <w:t xml:space="preserve">En el archivo CSV que exporta la aplicación los dos niveles vienen </w:t>
      </w:r>
      <w:r>
        <w:rPr>
          <w:b/>
          <w:bCs/>
          <w:sz w:val="21"/>
          <w:szCs w:val="21"/>
        </w:rPr>
        <w:t xml:space="preserve">aplanados</w:t>
      </w:r>
      <w:r>
        <w:rPr>
          <w:sz w:val="21"/>
          <w:szCs w:val="21"/>
        </w:rPr>
        <w:t xml:space="preserve">: una fila por valoración, con los datos del participante </w:t>
      </w:r>
      <w:r>
        <w:rPr>
          <w:b/>
          <w:bCs/>
          <w:sz w:val="21"/>
          <w:szCs w:val="21"/>
        </w:rPr>
        <w:t xml:space="preserve">repetidos</w:t>
      </w:r>
      <w:r>
        <w:rPr>
          <w:sz w:val="21"/>
          <w:szCs w:val="21"/>
        </w:rPr>
        <w:t xml:space="preserve"> en cada una de sus seis filas. Es el formato que esperan Excel, SPSS, R y jamovi, así que está bien así; solo hay que recordar que el email repetido seis veces es la misma persona, no seis personas.</w:t>
      </w:r>
    </w:p>
    <w:p>
      <w:pPr>
        <w:pStyle w:val="Heading1"/>
        <w:keepNext/>
        <w:pageBreakBefore/>
        <w:pBdr>
          <w:bottom w:val="single" w:color="1D3C8D" w:sz="8" w:space="8"/>
        </w:pBdr>
        <w:spacing w:after="80" w:before="0" w:line="300" w:lineRule="auto"/>
      </w:pPr>
      <w:bookmarkStart w:name="h12" w:id="12"/>
      <w:r>
        <w:rPr>
          <w:rFonts w:ascii="Calibri" w:cs="Calibri" w:eastAsia="Calibri" w:hAnsi="Calibri"/>
          <w:b/>
          <w:bCs/>
          <w:color w:val="1D3C8D"/>
          <w:sz w:val="30"/>
          <w:szCs w:val="30"/>
        </w:rPr>
        <w:t xml:space="preserve">5. Inventario completo de variables independientes</w:t>
      </w:r>
      <w:bookmarkEnd w:id="12"/>
    </w:p>
    <w:p>
      <w:pPr>
        <w:pStyle w:val="Heading2"/>
        <w:keepNext/>
        <w:spacing w:after="120" w:before="340" w:line="288" w:lineRule="auto"/>
      </w:pPr>
      <w:bookmarkStart w:name="h13" w:id="13"/>
      <w:r>
        <w:rPr>
          <w:rFonts w:ascii="Calibri" w:cs="Calibri" w:eastAsia="Calibri" w:hAnsi="Calibri"/>
          <w:b/>
          <w:bCs/>
          <w:color w:val="1F66F0"/>
          <w:sz w:val="24"/>
          <w:szCs w:val="24"/>
        </w:rPr>
        <w:t xml:space="preserve">5.1 VI experimentales (las que se manipulan) — </w:t>
      </w:r>
      <w:r>
        <w:rPr>
          <w:rFonts w:ascii="Calibri" w:cs="Calibri" w:eastAsia="Calibri" w:hAnsi="Calibri"/>
          <w:b/>
          <w:bCs/>
          <w:color w:val="1F66F0"/>
          <w:sz w:val="24"/>
          <w:szCs w:val="24"/>
        </w:rPr>
        <w:t xml:space="preserve">nivel valoración</w:t>
      </w:r>
      <w:bookmarkEnd w:id="13"/>
    </w:p>
    <w:p>
      <w:pPr>
        <w:spacing w:after="150" w:line="288" w:lineRule="auto"/>
        <w:jc w:val="both"/>
      </w:pPr>
      <w:r>
        <w:rPr>
          <w:sz w:val="21"/>
          <w:szCs w:val="21"/>
        </w:rPr>
        <w:t xml:space="preserve">Estas son las que dan sentido al experimento.</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450"/>
        <w:gridCol w:w="1580"/>
        <w:gridCol w:w="3191"/>
        <w:gridCol w:w="3190"/>
      </w:tblGrid>
      <w:tr>
        <w:trPr>
          <w:cantSplit/>
          <w:tblHeader/>
        </w:trPr>
        <w:tc>
          <w:tcPr>
            <w:tcW w:type="dxa" w:w="145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Variable</w:t>
            </w:r>
          </w:p>
        </w:tc>
        <w:tc>
          <w:tcPr>
            <w:tcW w:type="dxa" w:w="158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Tipo</w:t>
            </w:r>
          </w:p>
        </w:tc>
        <w:tc>
          <w:tcPr>
            <w:tcW w:type="dxa" w:w="3191"/>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Valores</w:t>
            </w:r>
          </w:p>
        </w:tc>
        <w:tc>
          <w:tcPr>
            <w:tcW w:type="dxa" w:w="319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Papel</w:t>
            </w:r>
          </w:p>
        </w:tc>
      </w:tr>
      <w:tr>
        <w:trPr>
          <w:cantSplit/>
          <w:tblHeader w:val="false"/>
        </w:trPr>
        <w:tc>
          <w:tcPr>
            <w:tcW w:type="dxa" w:w="14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Ciudad de la grabación</w:t>
            </w:r>
          </w:p>
        </w:tc>
        <w:tc>
          <w:tcPr>
            <w:tcW w:type="dxa" w:w="158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Nominal</w:t>
            </w:r>
          </w:p>
        </w:tc>
        <w:tc>
          <w:tcPr>
            <w:tcW w:type="dxa" w:w="319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Granada, Cádiz, Badajoz, Murcia, Tenerife, Madrid, Barcelona, Mallorca, Huesca, Guipúzcoa, A Coruña, Asturias (12)</w:t>
            </w:r>
          </w:p>
        </w:tc>
        <w:tc>
          <w:tcPr>
            <w:tcW w:type="dxa" w:w="319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La VI principal: 12 acentos comparados entre sí.</w:t>
            </w:r>
          </w:p>
        </w:tc>
      </w:tr>
      <w:tr>
        <w:trPr>
          <w:cantSplit/>
          <w:tblHeader w:val="false"/>
        </w:trPr>
        <w:tc>
          <w:tcPr>
            <w:tcW w:type="dxa" w:w="14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Zona dialectal</w:t>
            </w:r>
          </w:p>
        </w:tc>
        <w:tc>
          <w:tcPr>
            <w:tcW w:type="dxa" w:w="158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Nominal dicotómica</w:t>
            </w:r>
          </w:p>
        </w:tc>
        <w:tc>
          <w:tcPr>
            <w:tcW w:type="dxa" w:w="319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meridional (5) / septentrional (7)</w:t>
            </w:r>
          </w:p>
        </w:tc>
        <w:tc>
          <w:tcPr>
            <w:tcW w:type="dxa" w:w="319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La VI más potente del estudio: agrupa los 12 acentos en los 2 bloques que interesa contrastar.</w:t>
            </w:r>
          </w:p>
        </w:tc>
      </w:tr>
      <w:tr>
        <w:trPr>
          <w:cantSplit/>
          <w:tblHeader w:val="false"/>
        </w:trPr>
        <w:tc>
          <w:tcPr>
            <w:tcW w:type="dxa" w:w="14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Comunidad autónoma real</w:t>
            </w:r>
          </w:p>
        </w:tc>
        <w:tc>
          <w:tcPr>
            <w:tcW w:type="dxa" w:w="158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Nominal</w:t>
            </w:r>
          </w:p>
        </w:tc>
        <w:tc>
          <w:tcPr>
            <w:tcW w:type="dxa" w:w="319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Andalucía, Extremadura, Canarias…</w:t>
            </w:r>
          </w:p>
        </w:tc>
        <w:tc>
          <w:tcPr>
            <w:tcW w:type="dxa" w:w="319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No se compara directamente: se usa como </w:t>
            </w:r>
            <w:r>
              <w:rPr>
                <w:rFonts w:ascii="Calibri" w:cs="Calibri" w:eastAsia="Calibri" w:hAnsi="Calibri"/>
                <w:b/>
                <w:bCs/>
                <w:color w:val="1F2937"/>
                <w:sz w:val="18"/>
                <w:szCs w:val="18"/>
              </w:rPr>
              <w:t xml:space="preserve">respuesta correcta</w:t>
            </w:r>
            <w:r>
              <w:rPr>
                <w:rFonts w:ascii="Calibri" w:cs="Calibri" w:eastAsia="Calibri" w:hAnsi="Calibri"/>
                <w:color w:val="1F2937"/>
                <w:sz w:val="18"/>
                <w:szCs w:val="18"/>
              </w:rPr>
              <w:t xml:space="preserve"> para medir aciertos.</w:t>
            </w:r>
          </w:p>
        </w:tc>
      </w:tr>
    </w:tbl>
    <w:p>
      <w:pPr>
        <w:spacing w:after="160" w:line="240" w:lineRule="auto"/>
      </w:pPr>
      <w:r>
        <w:rPr>
          <w:sz w:val="6"/>
          <w:szCs w:val="6"/>
        </w:rPr>
        <w:t xml:space="preserve"/>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b/>
          <w:bCs/>
          <w:color w:val="1E3A8A"/>
          <w:sz w:val="20"/>
          <w:szCs w:val="20"/>
        </w:rPr>
        <w:t xml:space="preserve">Por qué la zona dialectal es tan importante.</w:t>
      </w:r>
      <w:r>
        <w:rPr>
          <w:color w:val="1E3A8A"/>
          <w:sz w:val="20"/>
          <w:szCs w:val="20"/>
        </w:rPr>
        <w:t xml:space="preserve"> Comparar 12 ciudades entre sí exige muchísimos participantes para que cada celda tenga datos suficientes. Comparar </w:t>
      </w:r>
      <w:r>
        <w:rPr>
          <w:b/>
          <w:bCs/>
          <w:color w:val="1E3A8A"/>
          <w:sz w:val="20"/>
          <w:szCs w:val="20"/>
        </w:rPr>
        <w:t xml:space="preserve">2 zonas</w:t>
      </w:r>
      <w:r>
        <w:rPr>
          <w:color w:val="1E3A8A"/>
          <w:sz w:val="20"/>
          <w:szCs w:val="20"/>
        </w:rPr>
        <w:t xml:space="preserve"> (meridional vs. septentrional) concentra toda la muestra en dos grupos grandes y es </w:t>
      </w:r>
      <w:r>
        <w:rPr>
          <w:b/>
          <w:bCs/>
          <w:color w:val="1E3A8A"/>
          <w:sz w:val="20"/>
          <w:szCs w:val="20"/>
        </w:rPr>
        <w:t xml:space="preserve">muchísimo más potente estadísticamente</w:t>
      </w:r>
      <w:r>
        <w:rPr>
          <w:color w:val="1E3A8A"/>
          <w:sz w:val="20"/>
          <w:szCs w:val="20"/>
        </w:rPr>
        <w:t xml:space="preserve">. Si la tesis tiene que quedarse con un solo resultado sólido, lo más probable es que sea este contraste. Además, el propio formulario está diseñado para él: dentro de cada versión las grabaciones se presentan </w:t>
      </w:r>
      <w:r>
        <w:rPr>
          <w:b/>
          <w:bCs/>
          <w:color w:val="1E3A8A"/>
          <w:sz w:val="20"/>
          <w:szCs w:val="20"/>
        </w:rPr>
        <w:t xml:space="preserve">alternando zonas</w:t>
      </w:r>
      <w:r>
        <w:rPr>
          <w:color w:val="1E3A8A"/>
          <w:sz w:val="20"/>
          <w:szCs w:val="20"/>
        </w:rPr>
        <w:t xml:space="preserve"> (meridional → septentrional → meridional…) para que ninguna zona se concentre al principio o al final y arrastre el efecto del cansancio.</w:t>
      </w:r>
    </w:p>
    <w:p>
      <w:pPr>
        <w:pStyle w:val="Heading2"/>
        <w:keepNext/>
        <w:spacing w:after="120" w:before="340" w:line="288" w:lineRule="auto"/>
      </w:pPr>
      <w:bookmarkStart w:name="h14" w:id="14"/>
      <w:r>
        <w:rPr>
          <w:rFonts w:ascii="Calibri" w:cs="Calibri" w:eastAsia="Calibri" w:hAnsi="Calibri"/>
          <w:b/>
          <w:bCs/>
          <w:color w:val="1F66F0"/>
          <w:sz w:val="24"/>
          <w:szCs w:val="24"/>
        </w:rPr>
        <w:t xml:space="preserve">5.2 VI del participante (características, no manipuladas) — </w:t>
      </w:r>
      <w:r>
        <w:rPr>
          <w:rFonts w:ascii="Calibri" w:cs="Calibri" w:eastAsia="Calibri" w:hAnsi="Calibri"/>
          <w:b/>
          <w:bCs/>
          <w:color w:val="1F66F0"/>
          <w:sz w:val="24"/>
          <w:szCs w:val="24"/>
        </w:rPr>
        <w:t xml:space="preserve">nivel participante</w:t>
      </w:r>
      <w:bookmarkEnd w:id="14"/>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711"/>
        <w:gridCol w:w="1988"/>
        <w:gridCol w:w="3712"/>
      </w:tblGrid>
      <w:tr>
        <w:trPr>
          <w:cantSplit/>
          <w:tblHeader/>
        </w:trPr>
        <w:tc>
          <w:tcPr>
            <w:tcW w:type="dxa" w:w="3711"/>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Variable</w:t>
            </w:r>
          </w:p>
        </w:tc>
        <w:tc>
          <w:tcPr>
            <w:tcW w:type="dxa" w:w="1988"/>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Tipo</w:t>
            </w:r>
          </w:p>
        </w:tc>
        <w:tc>
          <w:tcPr>
            <w:tcW w:type="dxa" w:w="3712"/>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Para qué sirve como VI</w:t>
            </w:r>
          </w:p>
        </w:tc>
      </w:tr>
      <w:tr>
        <w:trPr>
          <w:cantSplit/>
          <w:tblHeader w:val="false"/>
        </w:trPr>
        <w:tc>
          <w:tcPr>
            <w:tcW w:type="dxa" w:w="371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Género</w:t>
            </w:r>
          </w:p>
        </w:tc>
        <w:tc>
          <w:tcPr>
            <w:tcW w:type="dxa" w:w="1988"/>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Nominal (F / M / Otro)</w:t>
            </w:r>
          </w:p>
        </w:tc>
        <w:tc>
          <w:tcPr>
            <w:tcW w:type="dxa" w:w="3712"/>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¿Valoran igual hombres y mujeres? Especialmente relevante para las preguntas sobre Mariam y Omar.</w:t>
            </w:r>
          </w:p>
        </w:tc>
      </w:tr>
      <w:tr>
        <w:trPr>
          <w:cantSplit/>
          <w:tblHeader w:val="false"/>
        </w:trPr>
        <w:tc>
          <w:tcPr>
            <w:tcW w:type="dxa" w:w="371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Edad</w:t>
            </w:r>
          </w:p>
        </w:tc>
        <w:tc>
          <w:tcPr>
            <w:tcW w:type="dxa" w:w="1988"/>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Cuantitativa</w:t>
            </w:r>
          </w:p>
        </w:tc>
        <w:tc>
          <w:tcPr>
            <w:tcW w:type="dxa" w:w="3712"/>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¿Los prejuicios lingüísticos son generacionales? Se puede usar continua o agrupada en tramos.</w:t>
            </w:r>
          </w:p>
        </w:tc>
      </w:tr>
      <w:tr>
        <w:trPr>
          <w:cantSplit/>
          <w:tblHeader w:val="false"/>
        </w:trPr>
        <w:tc>
          <w:tcPr>
            <w:tcW w:type="dxa" w:w="371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Nivel de español (MCER)</w:t>
            </w:r>
          </w:p>
        </w:tc>
        <w:tc>
          <w:tcPr>
            <w:tcW w:type="dxa" w:w="1988"/>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Ordinal (A1…C2, Nativo)</w:t>
            </w:r>
          </w:p>
        </w:tc>
        <w:tc>
          <w:tcPr>
            <w:tcW w:type="dxa" w:w="3712"/>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Muy interesante:</w:t>
            </w:r>
            <w:r>
              <w:rPr>
                <w:rFonts w:ascii="Calibri" w:cs="Calibri" w:eastAsia="Calibri" w:hAnsi="Calibri"/>
                <w:color w:val="1F2937"/>
                <w:sz w:val="18"/>
                <w:szCs w:val="18"/>
              </w:rPr>
              <w:t xml:space="preserve"> ¿se afinan los prejuicios con la competencia? Un A2 quizá ni distinga los acentos; un C1 sí.</w:t>
            </w:r>
          </w:p>
        </w:tc>
      </w:tr>
      <w:tr>
        <w:trPr>
          <w:cantSplit/>
          <w:tblHeader w:val="false"/>
        </w:trPr>
        <w:tc>
          <w:tcPr>
            <w:tcW w:type="dxa" w:w="371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Años de estudio del español</w:t>
            </w:r>
          </w:p>
        </w:tc>
        <w:tc>
          <w:tcPr>
            <w:tcW w:type="dxa" w:w="1988"/>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Cuantitativa</w:t>
            </w:r>
          </w:p>
        </w:tc>
        <w:tc>
          <w:tcPr>
            <w:tcW w:type="dxa" w:w="3712"/>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Mismo razonamiento, medido en tiempo en vez de en certificado.</w:t>
            </w:r>
          </w:p>
        </w:tc>
      </w:tr>
      <w:tr>
        <w:trPr>
          <w:cantSplit/>
          <w:tblHeader w:val="false"/>
        </w:trPr>
        <w:tc>
          <w:tcPr>
            <w:tcW w:type="dxa" w:w="371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Lengua(s) materna(s)</w:t>
            </w:r>
          </w:p>
        </w:tc>
        <w:tc>
          <w:tcPr>
            <w:tcW w:type="dxa" w:w="1988"/>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Nominal</w:t>
            </w:r>
          </w:p>
        </w:tc>
        <w:tc>
          <w:tcPr>
            <w:tcW w:type="dxa" w:w="3712"/>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¿Un arabófono y un francófono perciben distinto el mismo acento?</w:t>
            </w:r>
          </w:p>
        </w:tc>
      </w:tr>
      <w:tr>
        <w:trPr>
          <w:cantSplit/>
          <w:tblHeader w:val="false"/>
        </w:trPr>
        <w:tc>
          <w:tcPr>
            <w:tcW w:type="dxa" w:w="371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Nivel educativo</w:t>
            </w:r>
          </w:p>
        </w:tc>
        <w:tc>
          <w:tcPr>
            <w:tcW w:type="dxa" w:w="1988"/>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Ordinal</w:t>
            </w:r>
          </w:p>
        </w:tc>
        <w:tc>
          <w:tcPr>
            <w:tcW w:type="dxa" w:w="3712"/>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Control sociodemográfico clásico.</w:t>
            </w:r>
          </w:p>
        </w:tc>
      </w:tr>
      <w:tr>
        <w:trPr>
          <w:cantSplit/>
          <w:tblHeader w:val="false"/>
        </w:trPr>
        <w:tc>
          <w:tcPr>
            <w:tcW w:type="dxa" w:w="371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Ciudad de nacimiento / residencia</w:t>
            </w:r>
          </w:p>
        </w:tc>
        <w:tc>
          <w:tcPr>
            <w:tcW w:type="dxa" w:w="1988"/>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Nominal</w:t>
            </w:r>
          </w:p>
        </w:tc>
        <w:tc>
          <w:tcPr>
            <w:tcW w:type="dxa" w:w="3712"/>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Contexto geográfico del informante.</w:t>
            </w:r>
          </w:p>
        </w:tc>
      </w:tr>
      <w:tr>
        <w:trPr>
          <w:cantSplit/>
          <w:tblHeader w:val="false"/>
        </w:trPr>
        <w:tc>
          <w:tcPr>
            <w:tcW w:type="dxa" w:w="371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¿Estudia? / ¿Trabaja?</w:t>
            </w:r>
          </w:p>
        </w:tc>
        <w:tc>
          <w:tcPr>
            <w:tcW w:type="dxa" w:w="1988"/>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Dicotómica</w:t>
            </w:r>
          </w:p>
        </w:tc>
        <w:tc>
          <w:tcPr>
            <w:tcW w:type="dxa" w:w="3712"/>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Perfil de ocupación.</w:t>
            </w:r>
          </w:p>
        </w:tc>
      </w:tr>
      <w:tr>
        <w:trPr>
          <w:cantSplit/>
          <w:tblHeader w:val="false"/>
        </w:trPr>
        <w:tc>
          <w:tcPr>
            <w:tcW w:type="dxa" w:w="371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Métodos de estudio</w:t>
            </w:r>
            <w:r>
              <w:rPr>
                <w:rFonts w:ascii="Calibri" w:cs="Calibri" w:eastAsia="Calibri" w:hAnsi="Calibri"/>
                <w:color w:val="1F2937"/>
                <w:sz w:val="18"/>
                <w:szCs w:val="18"/>
              </w:rPr>
              <w:t xml:space="preserve"> (selección múltiple)</w:t>
            </w:r>
          </w:p>
        </w:tc>
        <w:tc>
          <w:tcPr>
            <w:tcW w:type="dxa" w:w="1988"/>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Nominal múltiple</w:t>
            </w:r>
          </w:p>
        </w:tc>
        <w:tc>
          <w:tcPr>
            <w:tcW w:type="dxa" w:w="3712"/>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¿Quien aprendió con música/TV tiene otras actitudes que quien aprendió en academia? Ojo: es </w:t>
            </w:r>
            <w:r>
              <w:rPr>
                <w:rFonts w:ascii="Calibri" w:cs="Calibri" w:eastAsia="Calibri" w:hAnsi="Calibri"/>
                <w:b/>
                <w:bCs/>
                <w:color w:val="1F2937"/>
                <w:sz w:val="18"/>
                <w:szCs w:val="18"/>
              </w:rPr>
              <w:t xml:space="preserve">multirespuesta</w:t>
            </w:r>
            <w:r>
              <w:rPr>
                <w:rFonts w:ascii="Calibri" w:cs="Calibri" w:eastAsia="Calibri" w:hAnsi="Calibri"/>
                <w:color w:val="1F2937"/>
                <w:sz w:val="18"/>
                <w:szCs w:val="18"/>
              </w:rPr>
              <w:t xml:space="preserve">, los porcentajes suman más de 100 %.</w:t>
            </w:r>
          </w:p>
        </w:tc>
      </w:tr>
      <w:tr>
        <w:trPr>
          <w:cantSplit/>
          <w:tblHeader w:val="false"/>
        </w:trPr>
        <w:tc>
          <w:tcPr>
            <w:tcW w:type="dxa" w:w="371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Otros idiomas y sus niveles</w:t>
            </w:r>
          </w:p>
        </w:tc>
        <w:tc>
          <w:tcPr>
            <w:tcW w:type="dxa" w:w="1988"/>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Ordinal por idioma</w:t>
            </w:r>
          </w:p>
        </w:tc>
        <w:tc>
          <w:tcPr>
            <w:tcW w:type="dxa" w:w="3712"/>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Perfil plurilingüe.</w:t>
            </w:r>
          </w:p>
        </w:tc>
      </w:tr>
      <w:tr>
        <w:trPr>
          <w:cantSplit/>
          <w:tblHeader w:val="false"/>
        </w:trPr>
        <w:tc>
          <w:tcPr>
            <w:tcW w:type="dxa" w:w="371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¿Familia en España?</w:t>
            </w:r>
          </w:p>
        </w:tc>
        <w:tc>
          <w:tcPr>
            <w:tcW w:type="dxa" w:w="1988"/>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Dicotómica</w:t>
            </w:r>
          </w:p>
        </w:tc>
        <w:tc>
          <w:tcPr>
            <w:tcW w:type="dxa" w:w="3712"/>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Variable de contacto.</w:t>
            </w:r>
          </w:p>
        </w:tc>
      </w:tr>
      <w:tr>
        <w:trPr>
          <w:cantSplit/>
          <w:tblHeader w:val="false"/>
        </w:trPr>
        <w:tc>
          <w:tcPr>
            <w:tcW w:type="dxa" w:w="371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¿Ha visitado España? / zonas / tiempo de estancia</w:t>
            </w:r>
          </w:p>
        </w:tc>
        <w:tc>
          <w:tcPr>
            <w:tcW w:type="dxa" w:w="1988"/>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Dicotómica + nominal + ordinal</w:t>
            </w:r>
          </w:p>
        </w:tc>
        <w:tc>
          <w:tcPr>
            <w:tcW w:type="dxa" w:w="3712"/>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La más prometedora de todas:</w:t>
            </w:r>
            <w:r>
              <w:rPr>
                <w:rFonts w:ascii="Calibri" w:cs="Calibri" w:eastAsia="Calibri" w:hAnsi="Calibri"/>
                <w:color w:val="1F2937"/>
                <w:sz w:val="18"/>
                <w:szCs w:val="18"/>
              </w:rPr>
              <w:t xml:space="preserve"> la hipótesis del contacto dice que quien ha estado en Andalucía puntuará el acento andaluz distinto que quien no ha estado nunca.</w:t>
            </w:r>
          </w:p>
        </w:tc>
      </w:tr>
      <w:tr>
        <w:trPr>
          <w:cantSplit/>
          <w:tblHeader w:val="false"/>
        </w:trPr>
        <w:tc>
          <w:tcPr>
            <w:tcW w:type="dxa" w:w="371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¿Ha visitado otros países hispanohablantes? / cuáles / tiempo</w:t>
            </w:r>
          </w:p>
        </w:tc>
        <w:tc>
          <w:tcPr>
            <w:tcW w:type="dxa" w:w="1988"/>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Dicotómica + nominal + ordinal</w:t>
            </w:r>
          </w:p>
        </w:tc>
        <w:tc>
          <w:tcPr>
            <w:tcW w:type="dxa" w:w="3712"/>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Amplitud de exposición al español.</w:t>
            </w:r>
          </w:p>
        </w:tc>
      </w:tr>
    </w:tbl>
    <w:p>
      <w:pPr>
        <w:spacing w:after="160" w:line="240" w:lineRule="auto"/>
      </w:pPr>
      <w:r>
        <w:rPr>
          <w:sz w:val="6"/>
          <w:szCs w:val="6"/>
        </w:rPr>
        <w:t xml:space="preserve"/>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b/>
          <w:bCs/>
          <w:color w:val="1E3A8A"/>
          <w:sz w:val="20"/>
          <w:szCs w:val="20"/>
        </w:rPr>
        <w:t xml:space="preserve">Sugerencia concreta para la tesis.</w:t>
      </w:r>
      <w:r>
        <w:rPr>
          <w:color w:val="1E3A8A"/>
          <w:sz w:val="20"/>
          <w:szCs w:val="20"/>
        </w:rPr>
        <w:t xml:space="preserve"> De todas estas, las tres que suelen dar resultados publicables son: </w:t>
      </w:r>
      <w:r>
        <w:rPr>
          <w:b/>
          <w:bCs/>
          <w:color w:val="1E3A8A"/>
          <w:sz w:val="20"/>
          <w:szCs w:val="20"/>
        </w:rPr>
        <w:t xml:space="preserve">nivel de español</w:t>
      </w:r>
      <w:r>
        <w:rPr>
          <w:color w:val="1E3A8A"/>
          <w:sz w:val="20"/>
          <w:szCs w:val="20"/>
        </w:rPr>
        <w:t xml:space="preserve">, </w:t>
      </w:r>
      <w:r>
        <w:rPr>
          <w:b/>
          <w:bCs/>
          <w:color w:val="1E3A8A"/>
          <w:sz w:val="20"/>
          <w:szCs w:val="20"/>
        </w:rPr>
        <w:t xml:space="preserve">haber visitado España</w:t>
      </w:r>
      <w:r>
        <w:rPr>
          <w:color w:val="1E3A8A"/>
          <w:sz w:val="20"/>
          <w:szCs w:val="20"/>
        </w:rPr>
        <w:t xml:space="preserve"> y </w:t>
      </w:r>
      <w:r>
        <w:rPr>
          <w:b/>
          <w:bCs/>
          <w:color w:val="1E3A8A"/>
          <w:sz w:val="20"/>
          <w:szCs w:val="20"/>
        </w:rPr>
        <w:t xml:space="preserve">género del participante</w:t>
      </w:r>
      <w:r>
        <w:rPr>
          <w:color w:val="1E3A8A"/>
          <w:sz w:val="20"/>
          <w:szCs w:val="20"/>
        </w:rPr>
        <w:t xml:space="preserve">. Merece la pena centrarse en ellas en vez de cruzar las trece: cuantos más cruces se hacen, más probable es encontrar «resultados» que solo son ruido (ver §13).</w:t>
      </w:r>
    </w:p>
    <w:p>
      <w:pPr>
        <w:pStyle w:val="Heading1"/>
        <w:keepNext/>
        <w:pageBreakBefore/>
        <w:pBdr>
          <w:bottom w:val="single" w:color="1D3C8D" w:sz="8" w:space="8"/>
        </w:pBdr>
        <w:spacing w:after="80" w:before="0" w:line="300" w:lineRule="auto"/>
      </w:pPr>
      <w:bookmarkStart w:name="h15" w:id="15"/>
      <w:r>
        <w:rPr>
          <w:rFonts w:ascii="Calibri" w:cs="Calibri" w:eastAsia="Calibri" w:hAnsi="Calibri"/>
          <w:b/>
          <w:bCs/>
          <w:color w:val="1D3C8D"/>
          <w:sz w:val="30"/>
          <w:szCs w:val="30"/>
        </w:rPr>
        <w:t xml:space="preserve">6. Inventario completo de variables dependientes</w:t>
      </w:r>
      <w:bookmarkEnd w:id="15"/>
    </w:p>
    <w:p>
      <w:pPr>
        <w:spacing w:after="150" w:line="288" w:lineRule="auto"/>
        <w:jc w:val="both"/>
      </w:pPr>
      <w:r>
        <w:rPr>
          <w:sz w:val="21"/>
          <w:szCs w:val="21"/>
        </w:rPr>
        <w:t xml:space="preserve">Todas se miden </w:t>
      </w:r>
      <w:r>
        <w:rPr>
          <w:b/>
          <w:bCs/>
          <w:sz w:val="21"/>
          <w:szCs w:val="21"/>
        </w:rPr>
        <w:t xml:space="preserve">a nivel de valoración</w:t>
      </w:r>
      <w:r>
        <w:rPr>
          <w:sz w:val="21"/>
          <w:szCs w:val="21"/>
        </w:rPr>
        <w:t xml:space="preserve">: el participante las responde una vez </w:t>
      </w:r>
      <w:r>
        <w:rPr>
          <w:b/>
          <w:bCs/>
          <w:sz w:val="21"/>
          <w:szCs w:val="21"/>
        </w:rPr>
        <w:t xml:space="preserve">por cada grabación</w:t>
      </w:r>
      <w:r>
        <w:rPr>
          <w:sz w:val="21"/>
          <w:szCs w:val="21"/>
        </w:rPr>
        <w:t xml:space="preserve">.</w:t>
      </w:r>
    </w:p>
    <w:p>
      <w:pPr>
        <w:pStyle w:val="Heading2"/>
        <w:keepNext/>
        <w:spacing w:after="120" w:before="340" w:line="288" w:lineRule="auto"/>
      </w:pPr>
      <w:bookmarkStart w:name="h16" w:id="16"/>
      <w:r>
        <w:rPr>
          <w:rFonts w:ascii="Calibri" w:cs="Calibri" w:eastAsia="Calibri" w:hAnsi="Calibri"/>
          <w:b/>
          <w:bCs/>
          <w:color w:val="1F66F0"/>
          <w:sz w:val="24"/>
          <w:szCs w:val="24"/>
        </w:rPr>
        <w:t xml:space="preserve">6.1 Las 23 escalas de diferencial semántico (1-5) — VD principales</w:t>
      </w:r>
      <w:bookmarkEnd w:id="16"/>
    </w:p>
    <w:p>
      <w:pPr>
        <w:spacing w:after="150" w:line="288" w:lineRule="auto"/>
        <w:jc w:val="both"/>
      </w:pPr>
      <w:r>
        <w:rPr>
          <w:sz w:val="21"/>
          <w:szCs w:val="21"/>
        </w:rPr>
        <w:t xml:space="preserve">Son las variables dependientes por excelencia del estudio. Se agrupan en tres índices: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441"/>
        <w:gridCol w:w="3222"/>
        <w:gridCol w:w="4748"/>
      </w:tblGrid>
      <w:tr>
        <w:trPr>
          <w:cantSplit/>
          <w:tblHeader/>
        </w:trPr>
        <w:tc>
          <w:tcPr>
            <w:tcW w:type="dxa" w:w="1441"/>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Índice</w:t>
            </w:r>
          </w:p>
        </w:tc>
        <w:tc>
          <w:tcPr>
            <w:tcW w:type="dxa" w:w="3222"/>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Composición</w:t>
            </w:r>
          </w:p>
        </w:tc>
        <w:tc>
          <w:tcPr>
            <w:tcW w:type="dxa" w:w="4748"/>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Qué mide</w:t>
            </w:r>
          </w:p>
        </w:tc>
      </w:tr>
      <w:tr>
        <w:trPr>
          <w:cantSplit/>
          <w:tblHeader w:val="false"/>
        </w:trPr>
        <w:tc>
          <w:tcPr>
            <w:tcW w:type="dxa" w:w="144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Índice de VOZ</w:t>
            </w:r>
          </w:p>
        </w:tc>
        <w:tc>
          <w:tcPr>
            <w:tcW w:type="dxa" w:w="3222"/>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Media de los 11 ítems de pronunciación</w:t>
            </w:r>
          </w:p>
        </w:tc>
        <w:tc>
          <w:tcPr>
            <w:tcW w:type="dxa" w:w="4748"/>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Valoración estética y funcional del acento en sí.</w:t>
            </w:r>
          </w:p>
        </w:tc>
      </w:tr>
      <w:tr>
        <w:trPr>
          <w:cantSplit/>
          <w:tblHeader w:val="false"/>
        </w:trPr>
        <w:tc>
          <w:tcPr>
            <w:tcW w:type="dxa" w:w="144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Índice de PERSONA</w:t>
            </w:r>
          </w:p>
        </w:tc>
        <w:tc>
          <w:tcPr>
            <w:tcW w:type="dxa" w:w="3222"/>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Media de los 6 ítems de persona</w:t>
            </w:r>
          </w:p>
        </w:tc>
        <w:tc>
          <w:tcPr>
            <w:tcW w:type="dxa" w:w="4748"/>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El </w:t>
            </w:r>
            <w:r>
              <w:rPr>
                <w:rFonts w:ascii="Calibri" w:cs="Calibri" w:eastAsia="Calibri" w:hAnsi="Calibri"/>
                <w:b/>
                <w:bCs/>
                <w:color w:val="1F2937"/>
                <w:sz w:val="18"/>
                <w:szCs w:val="18"/>
              </w:rPr>
              <w:t xml:space="preserve">prejuicio social</w:t>
            </w:r>
            <w:r>
              <w:rPr>
                <w:rFonts w:ascii="Calibri" w:cs="Calibri" w:eastAsia="Calibri" w:hAnsi="Calibri"/>
                <w:color w:val="1F2937"/>
                <w:sz w:val="18"/>
                <w:szCs w:val="18"/>
              </w:rPr>
              <w:t xml:space="preserve">: qué tipo de persona imaginamos detrás del acento.</w:t>
            </w:r>
          </w:p>
        </w:tc>
      </w:tr>
      <w:tr>
        <w:trPr>
          <w:cantSplit/>
          <w:tblHeader w:val="false"/>
        </w:trPr>
        <w:tc>
          <w:tcPr>
            <w:tcW w:type="dxa" w:w="144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Índice de CULTURA</w:t>
            </w:r>
          </w:p>
        </w:tc>
        <w:tc>
          <w:tcPr>
            <w:tcW w:type="dxa" w:w="3222"/>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Media de los 6 ítems de cultura</w:t>
            </w:r>
          </w:p>
        </w:tc>
        <w:tc>
          <w:tcPr>
            <w:tcW w:type="dxa" w:w="4748"/>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La actitud hacia la comunidad asociada al acento.</w:t>
            </w:r>
          </w:p>
        </w:tc>
      </w:tr>
    </w:tbl>
    <w:p>
      <w:pPr>
        <w:spacing w:after="160" w:line="240" w:lineRule="auto"/>
      </w:pPr>
      <w:r>
        <w:rPr>
          <w:sz w:val="6"/>
          <w:szCs w:val="6"/>
        </w:rPr>
        <w:t xml:space="preserve"/>
      </w:r>
    </w:p>
    <w:p>
      <w:pPr>
        <w:spacing w:after="150" w:line="288" w:lineRule="auto"/>
        <w:jc w:val="both"/>
      </w:pPr>
      <w:r>
        <w:rPr>
          <w:sz w:val="21"/>
          <w:szCs w:val="21"/>
        </w:rPr>
        <w:t xml:space="preserve">Cada ítem individual es también, por sí mismo, una VD utilizable. La aplicación permite comparar las 12 ciudades </w:t>
      </w:r>
      <w:r>
        <w:rPr>
          <w:b/>
          <w:bCs/>
          <w:sz w:val="21"/>
          <w:szCs w:val="21"/>
        </w:rPr>
        <w:t xml:space="preserve">ítem por ítem</w:t>
      </w:r>
      <w:r>
        <w:rPr>
          <w:sz w:val="21"/>
          <w:szCs w:val="21"/>
        </w:rPr>
        <w:t xml:space="preserve"> («compara este rasgo»), lo cual es muy útil: puede ocurrir que un acento salga alto en «simpática» y bajo en «culta», y </w:t>
      </w:r>
      <w:r>
        <w:rPr>
          <w:b/>
          <w:bCs/>
          <w:sz w:val="21"/>
          <w:szCs w:val="21"/>
        </w:rPr>
        <w:t xml:space="preserve">eso es precisamente el hallazgo interesante</w:t>
      </w:r>
      <w:r>
        <w:rPr>
          <w:sz w:val="21"/>
          <w:szCs w:val="21"/>
        </w:rPr>
        <w:t xml:space="preserve">.</w:t>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b/>
          <w:bCs/>
          <w:color w:val="1E3A8A"/>
          <w:sz w:val="20"/>
          <w:szCs w:val="20"/>
        </w:rPr>
        <w:t xml:space="preserve">Aviso importante sobre tres ítems.</w:t>
      </w:r>
      <w:r>
        <w:rPr>
          <w:color w:val="1E3A8A"/>
          <w:sz w:val="20"/>
          <w:szCs w:val="20"/>
        </w:rPr>
        <w:t xml:space="preserve"> Dentro de la escala de voz hay tres pares que </w:t>
      </w:r>
      <w:r>
        <w:rPr>
          <w:b/>
          <w:bCs/>
          <w:color w:val="1E3A8A"/>
          <w:sz w:val="20"/>
          <w:szCs w:val="20"/>
        </w:rPr>
        <w:t xml:space="preserve">no son valorativos, sino descriptivos</w:t>
      </w:r>
      <w:r>
        <w:rPr>
          <w:color w:val="1E3A8A"/>
          <w:sz w:val="20"/>
          <w:szCs w:val="20"/>
        </w:rPr>
        <w:t xml:space="preserve">: </w:t>
      </w:r>
      <w:r>
        <w:rPr>
          <w:b/>
          <w:bCs/>
          <w:color w:val="1E3A8A"/>
          <w:sz w:val="20"/>
          <w:szCs w:val="20"/>
        </w:rPr>
        <w:t xml:space="preserve">Rural–Urbana</w:t>
      </w:r>
      <w:r>
        <w:rPr>
          <w:color w:val="1E3A8A"/>
          <w:sz w:val="20"/>
          <w:szCs w:val="20"/>
        </w:rPr>
        <w:t xml:space="preserve">, </w:t>
      </w:r>
      <w:r>
        <w:rPr>
          <w:b/>
          <w:bCs/>
          <w:color w:val="1E3A8A"/>
          <w:sz w:val="20"/>
          <w:szCs w:val="20"/>
        </w:rPr>
        <w:t xml:space="preserve">Lenta–Rápida</w:t>
      </w:r>
      <w:r>
        <w:rPr>
          <w:color w:val="1E3A8A"/>
          <w:sz w:val="20"/>
          <w:szCs w:val="20"/>
        </w:rPr>
        <w:t xml:space="preserve"> y (en cultura) </w:t>
      </w:r>
      <w:r>
        <w:rPr>
          <w:b/>
          <w:bCs/>
          <w:color w:val="1E3A8A"/>
          <w:sz w:val="20"/>
          <w:szCs w:val="20"/>
        </w:rPr>
        <w:t xml:space="preserve">Tradicional–Innovadora</w:t>
      </w:r>
      <w:r>
        <w:rPr>
          <w:color w:val="1E3A8A"/>
          <w:sz w:val="20"/>
          <w:szCs w:val="20"/>
        </w:rPr>
        <w:t xml:space="preserve">. Un 5 en «rápida» no significa «mejor», solo «más rápida». Al meterlos en la media global del índice de voz se está sumando peras con manzanas. </w:t>
      </w:r>
      <w:r>
        <w:rPr>
          <w:b/>
          <w:bCs/>
          <w:color w:val="1E3A8A"/>
          <w:sz w:val="20"/>
          <w:szCs w:val="20"/>
        </w:rPr>
        <w:t xml:space="preserve">Dos opciones, ambas defendibles:</w:t>
      </w:r>
      <w:r>
        <w:rPr>
          <w:color w:val="1E3A8A"/>
          <w:sz w:val="20"/>
          <w:szCs w:val="20"/>
        </w:rPr>
        <w:t xml:space="preserve"> (a) excluirlos del índice global y analizarlos por separado como rasgos descriptivos, o (b) mantenerlos pero advertirlo explícitamente en la tesis. La opción (a) es más limpia, y da además un resultado propio muy vendible: </w:t>
      </w:r>
      <w:r>
        <w:rPr>
          <w:i/>
          <w:iCs/>
          <w:color w:val="1E3A8A"/>
          <w:sz w:val="20"/>
          <w:szCs w:val="20"/>
        </w:rPr>
        <w:t xml:space="preserve">«el acento X se percibe como el más rural y el más lento»</w:t>
      </w:r>
      <w:r>
        <w:rPr>
          <w:color w:val="1E3A8A"/>
          <w:sz w:val="20"/>
          <w:szCs w:val="20"/>
        </w:rPr>
        <w:t xml:space="preserve">.</w:t>
      </w:r>
    </w:p>
    <w:p>
      <w:pPr>
        <w:pStyle w:val="Heading2"/>
        <w:keepNext/>
        <w:spacing w:after="120" w:before="340" w:line="288" w:lineRule="auto"/>
      </w:pPr>
      <w:bookmarkStart w:name="h17" w:id="17"/>
      <w:r>
        <w:rPr>
          <w:rFonts w:ascii="Calibri" w:cs="Calibri" w:eastAsia="Calibri" w:hAnsi="Calibri"/>
          <w:b/>
          <w:bCs/>
          <w:color w:val="1F66F0"/>
          <w:sz w:val="24"/>
          <w:szCs w:val="24"/>
        </w:rPr>
        <w:t xml:space="preserve">6.2 El resto de variables dependientes</w:t>
      </w:r>
      <w:bookmarkEnd w:id="17"/>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557"/>
        <w:gridCol w:w="1704"/>
        <w:gridCol w:w="4150"/>
      </w:tblGrid>
      <w:tr>
        <w:trPr>
          <w:cantSplit/>
          <w:tblHeader/>
        </w:trPr>
        <w:tc>
          <w:tcPr>
            <w:tcW w:type="dxa" w:w="3557"/>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VD</w:t>
            </w:r>
          </w:p>
        </w:tc>
        <w:tc>
          <w:tcPr>
            <w:tcW w:type="dxa" w:w="1704"/>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Tipo</w:t>
            </w:r>
          </w:p>
        </w:tc>
        <w:tc>
          <w:tcPr>
            <w:tcW w:type="dxa" w:w="415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Cómo se analiza</w:t>
            </w:r>
          </w:p>
        </w:tc>
      </w:tr>
      <w:tr>
        <w:trPr>
          <w:cantSplit/>
          <w:tblHeader w:val="false"/>
        </w:trPr>
        <w:tc>
          <w:tcPr>
            <w:tcW w:type="dxa" w:w="355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Proximidad con la propia pronunciación</w:t>
            </w:r>
            <w:r>
              <w:rPr>
                <w:rFonts w:ascii="Calibri" w:cs="Calibri" w:eastAsia="Calibri" w:hAnsi="Calibri"/>
                <w:color w:val="1F2937"/>
                <w:sz w:val="18"/>
                <w:szCs w:val="18"/>
              </w:rPr>
              <w:t xml:space="preserve"> (1-5)</w:t>
            </w:r>
          </w:p>
        </w:tc>
        <w:tc>
          <w:tcPr>
            <w:tcW w:type="dxa" w:w="170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Ordinal</w:t>
            </w:r>
          </w:p>
        </w:tc>
        <w:tc>
          <w:tcPr>
            <w:tcW w:type="dxa" w:w="41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Media por ciudad + distribución de las 5 opciones. Mide </w:t>
            </w:r>
            <w:r>
              <w:rPr>
                <w:rFonts w:ascii="Calibri" w:cs="Calibri" w:eastAsia="Calibri" w:hAnsi="Calibri"/>
                <w:b/>
                <w:bCs/>
                <w:color w:val="1F2937"/>
                <w:sz w:val="18"/>
                <w:szCs w:val="18"/>
              </w:rPr>
              <w:t xml:space="preserve">distancia percibida</w:t>
            </w:r>
            <w:r>
              <w:rPr>
                <w:rFonts w:ascii="Calibri" w:cs="Calibri" w:eastAsia="Calibri" w:hAnsi="Calibri"/>
                <w:color w:val="1F2937"/>
                <w:sz w:val="18"/>
                <w:szCs w:val="18"/>
              </w:rPr>
              <w:t xml:space="preserve">, y es una posible variable explicativa de las demás: </w:t>
            </w:r>
            <w:r>
              <w:rPr>
                <w:rFonts w:ascii="Calibri" w:cs="Calibri" w:eastAsia="Calibri" w:hAnsi="Calibri"/>
                <w:i/>
                <w:iCs/>
                <w:color w:val="1F2937"/>
                <w:sz w:val="18"/>
                <w:szCs w:val="18"/>
              </w:rPr>
              <w:t xml:space="preserve">cuanto más cercano me suena, mejor lo valoro</w:t>
            </w:r>
            <w:r>
              <w:rPr>
                <w:rFonts w:ascii="Calibri" w:cs="Calibri" w:eastAsia="Calibri" w:hAnsi="Calibri"/>
                <w:color w:val="1F2937"/>
                <w:sz w:val="18"/>
                <w:szCs w:val="18"/>
              </w:rPr>
              <w:t xml:space="preserve">.</w:t>
            </w:r>
          </w:p>
        </w:tc>
      </w:tr>
      <w:tr>
        <w:trPr>
          <w:cantSplit/>
          <w:tblHeader w:val="false"/>
        </w:trPr>
        <w:tc>
          <w:tcPr>
            <w:tcW w:type="dxa" w:w="355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Nivel de estudios percibido</w:t>
            </w:r>
            <w:r>
              <w:rPr>
                <w:rFonts w:ascii="Calibri" w:cs="Calibri" w:eastAsia="Calibri" w:hAnsi="Calibri"/>
                <w:color w:val="1F2937"/>
                <w:sz w:val="18"/>
                <w:szCs w:val="18"/>
              </w:rPr>
              <w:t xml:space="preserve"> (Bajo/Medio/Alto)</w:t>
            </w:r>
          </w:p>
        </w:tc>
        <w:tc>
          <w:tcPr>
            <w:tcW w:type="dxa" w:w="1704"/>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Ordinal de 3 niveles</w:t>
            </w:r>
          </w:p>
        </w:tc>
        <w:tc>
          <w:tcPr>
            <w:tcW w:type="dxa" w:w="41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Porcentajes por ciudad. </w:t>
            </w:r>
            <w:r>
              <w:rPr>
                <w:rFonts w:ascii="Calibri" w:cs="Calibri" w:eastAsia="Calibri" w:hAnsi="Calibri"/>
                <w:b/>
                <w:bCs/>
                <w:color w:val="1F2937"/>
                <w:sz w:val="18"/>
                <w:szCs w:val="18"/>
              </w:rPr>
              <w:t xml:space="preserve">Es la medida de estatus más directa del estudio.</w:t>
            </w:r>
          </w:p>
        </w:tc>
      </w:tr>
      <w:tr>
        <w:trPr>
          <w:cantSplit/>
          <w:tblHeader w:val="false"/>
        </w:trPr>
        <w:tc>
          <w:tcPr>
            <w:tcW w:type="dxa" w:w="355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Nivel de ingresos percibido</w:t>
            </w:r>
            <w:r>
              <w:rPr>
                <w:rFonts w:ascii="Calibri" w:cs="Calibri" w:eastAsia="Calibri" w:hAnsi="Calibri"/>
                <w:color w:val="1F2937"/>
                <w:sz w:val="18"/>
                <w:szCs w:val="18"/>
              </w:rPr>
              <w:t xml:space="preserve"> (Bajo/Medio/Alto)</w:t>
            </w:r>
          </w:p>
        </w:tc>
        <w:tc>
          <w:tcPr>
            <w:tcW w:type="dxa" w:w="170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Ordinal de 3 niveles</w:t>
            </w:r>
          </w:p>
        </w:tc>
        <w:tc>
          <w:tcPr>
            <w:tcW w:type="dxa" w:w="41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Ídem.</w:t>
            </w:r>
          </w:p>
        </w:tc>
      </w:tr>
      <w:tr>
        <w:trPr>
          <w:cantSplit/>
          <w:tblHeader w:val="false"/>
        </w:trPr>
        <w:tc>
          <w:tcPr>
            <w:tcW w:type="dxa" w:w="355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Región percibida</w:t>
            </w:r>
            <w:r>
              <w:rPr>
                <w:rFonts w:ascii="Calibri" w:cs="Calibri" w:eastAsia="Calibri" w:hAnsi="Calibri"/>
                <w:color w:val="1F2937"/>
                <w:sz w:val="18"/>
                <w:szCs w:val="18"/>
              </w:rPr>
              <w:t xml:space="preserve"> (19 comunidades)</w:t>
            </w:r>
          </w:p>
        </w:tc>
        <w:tc>
          <w:tcPr>
            <w:tcW w:type="dxa" w:w="1704"/>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Nominal</w:t>
            </w:r>
          </w:p>
        </w:tc>
        <w:tc>
          <w:tcPr>
            <w:tcW w:type="dxa" w:w="41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Distribución de frecuencias: ¿dónde sitúa la gente cada acento?</w:t>
            </w:r>
          </w:p>
        </w:tc>
      </w:tr>
      <w:tr>
        <w:trPr>
          <w:cantSplit/>
          <w:tblHeader w:val="false"/>
        </w:trPr>
        <w:tc>
          <w:tcPr>
            <w:tcW w:type="dxa" w:w="355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Acierto en la región</w:t>
            </w:r>
            <w:r>
              <w:rPr>
                <w:rFonts w:ascii="Calibri" w:cs="Calibri" w:eastAsia="Calibri" w:hAnsi="Calibri"/>
                <w:color w:val="1F2937"/>
                <w:sz w:val="18"/>
                <w:szCs w:val="18"/>
              </w:rPr>
              <w:t xml:space="preserve"> (derivada)</w:t>
            </w:r>
          </w:p>
        </w:tc>
        <w:tc>
          <w:tcPr>
            <w:tcW w:type="dxa" w:w="170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Dicotómica → porcentaje</w:t>
            </w:r>
          </w:p>
        </w:tc>
        <w:tc>
          <w:tcPr>
            <w:tcW w:type="dxa" w:w="41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Se compara la región percibida con la real y se calcula el </w:t>
            </w:r>
            <w:r>
              <w:rPr>
                <w:rFonts w:ascii="Calibri" w:cs="Calibri" w:eastAsia="Calibri" w:hAnsi="Calibri"/>
                <w:b/>
                <w:bCs/>
                <w:color w:val="1F2937"/>
                <w:sz w:val="18"/>
                <w:szCs w:val="18"/>
              </w:rPr>
              <w:t xml:space="preserve">% de aciertos</w:t>
            </w:r>
            <w:r>
              <w:rPr>
                <w:rFonts w:ascii="Calibri" w:cs="Calibri" w:eastAsia="Calibri" w:hAnsi="Calibri"/>
                <w:color w:val="1F2937"/>
                <w:sz w:val="18"/>
                <w:szCs w:val="18"/>
              </w:rPr>
              <w:t xml:space="preserve">. Mide </w:t>
            </w:r>
            <w:r>
              <w:rPr>
                <w:rFonts w:ascii="Calibri" w:cs="Calibri" w:eastAsia="Calibri" w:hAnsi="Calibri"/>
                <w:b/>
                <w:bCs/>
                <w:color w:val="1F2937"/>
                <w:sz w:val="18"/>
                <w:szCs w:val="18"/>
              </w:rPr>
              <w:t xml:space="preserve">reconocibilidad</w:t>
            </w:r>
            <w:r>
              <w:rPr>
                <w:rFonts w:ascii="Calibri" w:cs="Calibri" w:eastAsia="Calibri" w:hAnsi="Calibri"/>
                <w:color w:val="1F2937"/>
                <w:sz w:val="18"/>
                <w:szCs w:val="18"/>
              </w:rPr>
              <w:t xml:space="preserve"> del acento.</w:t>
            </w:r>
          </w:p>
        </w:tc>
      </w:tr>
      <w:tr>
        <w:trPr>
          <w:cantSplit/>
          <w:tblHeader w:val="false"/>
        </w:trPr>
        <w:tc>
          <w:tcPr>
            <w:tcW w:type="dxa" w:w="355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¿Trato diferenciado entre Mariam y Omar?</w:t>
            </w:r>
          </w:p>
        </w:tc>
        <w:tc>
          <w:tcPr>
            <w:tcW w:type="dxa" w:w="1704"/>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Dicotómica</w:t>
            </w:r>
          </w:p>
        </w:tc>
        <w:tc>
          <w:tcPr>
            <w:tcW w:type="dxa" w:w="41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 de síes por ciudad.</w:t>
            </w:r>
          </w:p>
        </w:tc>
      </w:tr>
      <w:tr>
        <w:trPr>
          <w:cantSplit/>
          <w:tblHeader w:val="false"/>
        </w:trPr>
        <w:tc>
          <w:tcPr>
            <w:tcW w:type="dxa" w:w="355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¿Habría sido diferente con una jefa mujer?</w:t>
            </w:r>
          </w:p>
        </w:tc>
        <w:tc>
          <w:tcPr>
            <w:tcW w:type="dxa" w:w="170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Dicotómica</w:t>
            </w:r>
          </w:p>
        </w:tc>
        <w:tc>
          <w:tcPr>
            <w:tcW w:type="dxa" w:w="41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 de síes por ciudad.</w:t>
            </w:r>
          </w:p>
        </w:tc>
      </w:tr>
      <w:tr>
        <w:trPr>
          <w:cantSplit/>
          <w:tblHeader w:val="false"/>
        </w:trPr>
        <w:tc>
          <w:tcPr>
            <w:tcW w:type="dxa" w:w="355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Aspecto gustado / disgustado</w:t>
            </w:r>
          </w:p>
        </w:tc>
        <w:tc>
          <w:tcPr>
            <w:tcW w:type="dxa" w:w="1704"/>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Texto libre</w:t>
            </w:r>
          </w:p>
        </w:tc>
        <w:tc>
          <w:tcPr>
            <w:tcW w:type="dxa" w:w="41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Codificación temática (§3.6).</w:t>
            </w:r>
          </w:p>
        </w:tc>
      </w:tr>
      <w:tr>
        <w:trPr>
          <w:cantSplit/>
          <w:tblHeader w:val="false"/>
        </w:trPr>
        <w:tc>
          <w:tcPr>
            <w:tcW w:type="dxa" w:w="355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¿Conoces personas de esta región?</w:t>
            </w:r>
            <w:r>
              <w:rPr>
                <w:rFonts w:ascii="Calibri" w:cs="Calibri" w:eastAsia="Calibri" w:hAnsi="Calibri"/>
                <w:color w:val="1F2937"/>
                <w:sz w:val="18"/>
                <w:szCs w:val="18"/>
              </w:rPr>
              <w:t xml:space="preserve"> + opinión</w:t>
            </w:r>
          </w:p>
        </w:tc>
        <w:tc>
          <w:tcPr>
            <w:tcW w:type="dxa" w:w="170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Dicotómica + texto</w:t>
            </w:r>
          </w:p>
        </w:tc>
        <w:tc>
          <w:tcPr>
            <w:tcW w:type="dxa" w:w="41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Puede usarse también como </w:t>
            </w:r>
            <w:r>
              <w:rPr>
                <w:rFonts w:ascii="Calibri" w:cs="Calibri" w:eastAsia="Calibri" w:hAnsi="Calibri"/>
                <w:b/>
                <w:bCs/>
                <w:color w:val="1F2937"/>
                <w:sz w:val="18"/>
                <w:szCs w:val="18"/>
              </w:rPr>
              <w:t xml:space="preserve">variable moderadora</w:t>
            </w:r>
            <w:r>
              <w:rPr>
                <w:rFonts w:ascii="Calibri" w:cs="Calibri" w:eastAsia="Calibri" w:hAnsi="Calibri"/>
                <w:color w:val="1F2937"/>
                <w:sz w:val="18"/>
                <w:szCs w:val="18"/>
              </w:rPr>
              <w:t xml:space="preserve">: ¿puntúan distinto quienes conocen gente de esa región?</w:t>
            </w:r>
          </w:p>
        </w:tc>
      </w:tr>
      <w:tr>
        <w:trPr>
          <w:cantSplit/>
          <w:tblHeader w:val="false"/>
        </w:trPr>
        <w:tc>
          <w:tcPr>
            <w:tcW w:type="dxa" w:w="355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¿Influye el género de quien habla en tu actitud?</w:t>
            </w:r>
          </w:p>
        </w:tc>
        <w:tc>
          <w:tcPr>
            <w:tcW w:type="dxa" w:w="1704"/>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Texto libre</w:t>
            </w:r>
          </w:p>
        </w:tc>
        <w:tc>
          <w:tcPr>
            <w:tcW w:type="dxa" w:w="41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Codificación temática.</w:t>
            </w:r>
          </w:p>
        </w:tc>
      </w:tr>
    </w:tbl>
    <w:p>
      <w:pPr>
        <w:spacing w:after="160" w:line="240" w:lineRule="auto"/>
      </w:pPr>
      <w:r>
        <w:rPr>
          <w:sz w:val="6"/>
          <w:szCs w:val="6"/>
        </w:rPr>
        <w:t xml:space="preserve"/>
      </w:r>
    </w:p>
    <w:p>
      <w:pPr>
        <w:pStyle w:val="Heading2"/>
        <w:keepNext/>
        <w:spacing w:after="120" w:before="340" w:line="288" w:lineRule="auto"/>
      </w:pPr>
      <w:bookmarkStart w:name="h18" w:id="18"/>
      <w:r>
        <w:rPr>
          <w:rFonts w:ascii="Calibri" w:cs="Calibri" w:eastAsia="Calibri" w:hAnsi="Calibri"/>
          <w:b/>
          <w:bCs/>
          <w:color w:val="1F66F0"/>
          <w:sz w:val="24"/>
          <w:szCs w:val="24"/>
        </w:rPr>
        <w:t xml:space="preserve">6.3 Un par de conceptos extra que conviene conocer</w:t>
      </w:r>
      <w:bookmarkEnd w:id="18"/>
    </w:p>
    <w:p>
      <w:pPr>
        <w:spacing w:after="150" w:line="288" w:lineRule="auto"/>
        <w:jc w:val="both"/>
      </w:pPr>
      <w:r>
        <w:rPr>
          <w:sz w:val="21"/>
          <w:szCs w:val="21"/>
        </w:rPr>
        <w:t xml:space="preserve">Además de VI y VD, hay dos papeles más que una variable puede jugar, y que aparecen de forma natural en este estudio:</w:t>
      </w:r>
    </w:p>
    <w:p>
      <w:pPr>
        <w:pStyle w:val="ListParagraph"/>
        <w:numPr>
          <w:ilvl w:val="0"/>
          <w:numId w:val="3"/>
        </w:numPr>
        <w:spacing w:after="100" w:line="282" w:lineRule="auto"/>
        <w:jc w:val="left"/>
      </w:pPr>
      <w:r>
        <w:rPr>
          <w:b/>
          <w:bCs/>
          <w:sz w:val="21"/>
          <w:szCs w:val="21"/>
        </w:rPr>
        <w:t xml:space="preserve">Variable moderadora:</w:t>
      </w:r>
      <w:r>
        <w:rPr>
          <w:sz w:val="21"/>
          <w:szCs w:val="21"/>
        </w:rPr>
        <w:t xml:space="preserve"> la que </w:t>
      </w:r>
      <w:r>
        <w:rPr>
          <w:i/>
          <w:iCs/>
          <w:sz w:val="21"/>
          <w:szCs w:val="21"/>
        </w:rPr>
        <w:t xml:space="preserve">cambia la fuerza</w:t>
      </w:r>
      <w:r>
        <w:rPr>
          <w:sz w:val="21"/>
          <w:szCs w:val="21"/>
        </w:rPr>
        <w:t xml:space="preserve"> de la relación entre VI y VD. Ejemplo: «el acento meridional recibe peores valoraciones, </w:t>
      </w:r>
      <w:r>
        <w:rPr>
          <w:b/>
          <w:bCs/>
          <w:sz w:val="21"/>
          <w:szCs w:val="21"/>
        </w:rPr>
        <w:t xml:space="preserve">pero solo entre quienes nunca han visitado España</w:t>
      </w:r>
      <w:r>
        <w:rPr>
          <w:sz w:val="21"/>
          <w:szCs w:val="21"/>
        </w:rPr>
        <w:t xml:space="preserve">». Ahí «haber visitado España» es moderadora.</w:t>
      </w:r>
    </w:p>
    <w:p>
      <w:pPr>
        <w:pStyle w:val="ListParagraph"/>
        <w:numPr>
          <w:ilvl w:val="0"/>
          <w:numId w:val="3"/>
        </w:numPr>
        <w:spacing w:after="100" w:line="282" w:lineRule="auto"/>
        <w:jc w:val="left"/>
      </w:pPr>
      <w:r>
        <w:rPr>
          <w:b/>
          <w:bCs/>
          <w:sz w:val="21"/>
          <w:szCs w:val="21"/>
        </w:rPr>
        <w:t xml:space="preserve">Variable mediadora:</w:t>
      </w:r>
      <w:r>
        <w:rPr>
          <w:sz w:val="21"/>
          <w:szCs w:val="21"/>
        </w:rPr>
        <w:t xml:space="preserve"> la que explica </w:t>
      </w:r>
      <w:r>
        <w:rPr>
          <w:i/>
          <w:iCs/>
          <w:sz w:val="21"/>
          <w:szCs w:val="21"/>
        </w:rPr>
        <w:t xml:space="preserve">el mecanismo</w:t>
      </w:r>
      <w:r>
        <w:rPr>
          <w:sz w:val="21"/>
          <w:szCs w:val="21"/>
        </w:rPr>
        <w:t xml:space="preserve"> por el que la VI afecta a la VD. Ejemplo: «el acento meridional se percibe como más lejano a mi pronunciación (proximidad), </w:t>
      </w:r>
      <w:r>
        <w:rPr>
          <w:b/>
          <w:bCs/>
          <w:sz w:val="21"/>
          <w:szCs w:val="21"/>
        </w:rPr>
        <w:t xml:space="preserve">y por eso</w:t>
      </w:r>
      <w:r>
        <w:rPr>
          <w:sz w:val="21"/>
          <w:szCs w:val="21"/>
        </w:rPr>
        <w:t xml:space="preserve"> se valora peor». Ahí la proximidad es mediadora.</w:t>
      </w:r>
    </w:p>
    <w:p>
      <w:pPr>
        <w:spacing w:after="80" w:line="240" w:lineRule="auto"/>
      </w:pPr>
      <w:r>
        <w:rPr>
          <w:sz w:val="6"/>
          <w:szCs w:val="6"/>
        </w:rPr>
        <w:t xml:space="preserve"/>
      </w:r>
    </w:p>
    <w:p>
      <w:pPr>
        <w:spacing w:after="150" w:line="288" w:lineRule="auto"/>
        <w:jc w:val="both"/>
      </w:pPr>
      <w:r>
        <w:rPr>
          <w:sz w:val="21"/>
          <w:szCs w:val="21"/>
        </w:rPr>
        <w:t xml:space="preserve">No hace falta contrastarlas formalmente con modelos complejos; mencionarlas y razonarlas cualitativamente ya enriquece mucho la discusión de una tesis.</w:t>
      </w:r>
    </w:p>
    <w:p>
      <w:pPr>
        <w:pStyle w:val="Heading1"/>
        <w:keepNext/>
        <w:pageBreakBefore/>
        <w:pBdr>
          <w:bottom w:val="single" w:color="1D3C8D" w:sz="8" w:space="8"/>
        </w:pBdr>
        <w:spacing w:after="80" w:before="0" w:line="300" w:lineRule="auto"/>
      </w:pPr>
      <w:bookmarkStart w:name="h19" w:id="19"/>
      <w:r>
        <w:rPr>
          <w:rFonts w:ascii="Calibri" w:cs="Calibri" w:eastAsia="Calibri" w:hAnsi="Calibri"/>
          <w:b/>
          <w:bCs/>
          <w:color w:val="1D3C8D"/>
          <w:sz w:val="30"/>
          <w:szCs w:val="30"/>
        </w:rPr>
        <w:t xml:space="preserve">7. Variables de diseño y de control</w:t>
      </w:r>
      <w:bookmarkEnd w:id="19"/>
    </w:p>
    <w:p>
      <w:pPr>
        <w:spacing w:after="150" w:line="288" w:lineRule="auto"/>
        <w:jc w:val="both"/>
      </w:pPr>
      <w:r>
        <w:rPr>
          <w:sz w:val="21"/>
          <w:szCs w:val="21"/>
        </w:rPr>
        <w:t xml:space="preserve">Hay una variable que no es ni independiente ni dependiente en sentido propio, pero que hay que documentar en el capítulo de metodología: el </w:t>
      </w:r>
      <w:r>
        <w:rPr>
          <w:b/>
          <w:bCs/>
          <w:sz w:val="21"/>
          <w:szCs w:val="21"/>
        </w:rPr>
        <w:t xml:space="preserve">bloque</w:t>
      </w:r>
      <w:r>
        <w:rPr>
          <w:sz w:val="21"/>
          <w:szCs w:val="21"/>
        </w:rPr>
        <w:t xml:space="preserve"> o versión del formulario.</w:t>
      </w:r>
    </w:p>
    <w:p>
      <w:pPr>
        <w:pStyle w:val="Heading2"/>
        <w:keepNext/>
        <w:spacing w:after="120" w:before="340" w:line="288" w:lineRule="auto"/>
      </w:pPr>
      <w:bookmarkStart w:name="h20" w:id="20"/>
      <w:r>
        <w:rPr>
          <w:rFonts w:ascii="Calibri" w:cs="Calibri" w:eastAsia="Calibri" w:hAnsi="Calibri"/>
          <w:b/>
          <w:bCs/>
          <w:color w:val="1F66F0"/>
          <w:sz w:val="24"/>
          <w:szCs w:val="24"/>
        </w:rPr>
        <w:t xml:space="preserve">El problema que resuelve</w:t>
      </w:r>
      <w:bookmarkEnd w:id="20"/>
    </w:p>
    <w:p>
      <w:pPr>
        <w:spacing w:after="150" w:line="288" w:lineRule="auto"/>
        <w:jc w:val="both"/>
      </w:pPr>
      <w:r>
        <w:rPr>
          <w:sz w:val="21"/>
          <w:szCs w:val="21"/>
        </w:rPr>
        <w:t xml:space="preserve">El formulario con las 12 grabaciones duraba unos 40 minutos. Ese cansancio </w:t>
      </w:r>
      <w:r>
        <w:rPr>
          <w:b/>
          <w:bCs/>
          <w:sz w:val="21"/>
          <w:szCs w:val="21"/>
        </w:rPr>
        <w:t xml:space="preserve">arruina los datos</w:t>
      </w:r>
      <w:r>
        <w:rPr>
          <w:sz w:val="21"/>
          <w:szCs w:val="21"/>
        </w:rPr>
        <w:t xml:space="preserve">: las últimas grabaciones reciben respuestas mecánicas. Pero eliminar grabaciones habría empobrecido el estudio.</w:t>
      </w:r>
    </w:p>
    <w:p>
      <w:pPr>
        <w:pStyle w:val="Heading2"/>
        <w:keepNext/>
        <w:spacing w:after="120" w:before="340" w:line="288" w:lineRule="auto"/>
      </w:pPr>
      <w:bookmarkStart w:name="h21" w:id="21"/>
      <w:r>
        <w:rPr>
          <w:rFonts w:ascii="Calibri" w:cs="Calibri" w:eastAsia="Calibri" w:hAnsi="Calibri"/>
          <w:b/>
          <w:bCs/>
          <w:color w:val="1F66F0"/>
          <w:sz w:val="24"/>
          <w:szCs w:val="24"/>
        </w:rPr>
        <w:t xml:space="preserve">La solución: diseño de bloques incompletos balanceados (BIBD)</w:t>
      </w:r>
      <w:bookmarkEnd w:id="21"/>
    </w:p>
    <w:p>
      <w:pPr>
        <w:spacing w:after="150" w:line="288" w:lineRule="auto"/>
        <w:jc w:val="both"/>
      </w:pPr>
      <w:r>
        <w:rPr>
          <w:sz w:val="21"/>
          <w:szCs w:val="21"/>
        </w:rPr>
        <w:t xml:space="preserve">Se crearon </w:t>
      </w:r>
      <w:r>
        <w:rPr>
          <w:b/>
          <w:bCs/>
          <w:sz w:val="21"/>
          <w:szCs w:val="21"/>
        </w:rPr>
        <w:t xml:space="preserve">6 versiones del formulario</w:t>
      </w:r>
      <w:r>
        <w:rPr>
          <w:sz w:val="21"/>
          <w:szCs w:val="21"/>
        </w:rPr>
        <w:t xml:space="preserve">, cada una con </w:t>
      </w:r>
      <w:r>
        <w:rPr>
          <w:b/>
          <w:bCs/>
          <w:sz w:val="21"/>
          <w:szCs w:val="21"/>
        </w:rPr>
        <w:t xml:space="preserve">6 grabaciones</w:t>
      </w:r>
      <w:r>
        <w:rPr>
          <w:sz w:val="21"/>
          <w:szCs w:val="21"/>
        </w:rPr>
        <w:t xml:space="preserve">:</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255"/>
        <w:gridCol w:w="3137"/>
        <w:gridCol w:w="5019"/>
      </w:tblGrid>
      <w:tr>
        <w:trPr>
          <w:cantSplit/>
          <w:tblHeader/>
        </w:trPr>
        <w:tc>
          <w:tcPr>
            <w:tcW w:type="dxa" w:w="1255"/>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Versión</w:t>
            </w:r>
          </w:p>
        </w:tc>
        <w:tc>
          <w:tcPr>
            <w:tcW w:type="dxa" w:w="3137"/>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Meridionales</w:t>
            </w:r>
          </w:p>
        </w:tc>
        <w:tc>
          <w:tcPr>
            <w:tcW w:type="dxa" w:w="5019"/>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Septentrionales</w:t>
            </w:r>
          </w:p>
        </w:tc>
      </w:tr>
      <w:tr>
        <w:trPr>
          <w:cantSplit/>
          <w:tblHeader w:val="false"/>
        </w:trPr>
        <w:tc>
          <w:tcPr>
            <w:tcW w:type="dxa" w:w="1255"/>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F1</w:t>
            </w:r>
          </w:p>
        </w:tc>
        <w:tc>
          <w:tcPr>
            <w:tcW w:type="dxa" w:w="313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Granada, Cádiz, Badajoz</w:t>
            </w:r>
          </w:p>
        </w:tc>
        <w:tc>
          <w:tcPr>
            <w:tcW w:type="dxa" w:w="5019"/>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Madrid, Barcelona, Mallorca</w:t>
            </w:r>
          </w:p>
        </w:tc>
      </w:tr>
      <w:tr>
        <w:trPr>
          <w:cantSplit/>
          <w:tblHeader w:val="false"/>
        </w:trPr>
        <w:tc>
          <w:tcPr>
            <w:tcW w:type="dxa" w:w="1255"/>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F2</w:t>
            </w:r>
          </w:p>
        </w:tc>
        <w:tc>
          <w:tcPr>
            <w:tcW w:type="dxa" w:w="313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Granada, Murcia, Tenerife</w:t>
            </w:r>
          </w:p>
        </w:tc>
        <w:tc>
          <w:tcPr>
            <w:tcW w:type="dxa" w:w="5019"/>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Huesca, Guipúzcoa, A Coruña</w:t>
            </w:r>
          </w:p>
        </w:tc>
      </w:tr>
      <w:tr>
        <w:trPr>
          <w:cantSplit/>
          <w:tblHeader w:val="false"/>
        </w:trPr>
        <w:tc>
          <w:tcPr>
            <w:tcW w:type="dxa" w:w="1255"/>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F3</w:t>
            </w:r>
          </w:p>
        </w:tc>
        <w:tc>
          <w:tcPr>
            <w:tcW w:type="dxa" w:w="313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Cádiz, Murcia, Tenerife</w:t>
            </w:r>
          </w:p>
        </w:tc>
        <w:tc>
          <w:tcPr>
            <w:tcW w:type="dxa" w:w="5019"/>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Asturias, Madrid, Huesca</w:t>
            </w:r>
          </w:p>
        </w:tc>
      </w:tr>
      <w:tr>
        <w:trPr>
          <w:cantSplit/>
          <w:tblHeader w:val="false"/>
        </w:trPr>
        <w:tc>
          <w:tcPr>
            <w:tcW w:type="dxa" w:w="1255"/>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F4</w:t>
            </w:r>
          </w:p>
        </w:tc>
        <w:tc>
          <w:tcPr>
            <w:tcW w:type="dxa" w:w="313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Granada, Badajoz</w:t>
            </w:r>
          </w:p>
        </w:tc>
        <w:tc>
          <w:tcPr>
            <w:tcW w:type="dxa" w:w="5019"/>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Barcelona, Mallorca, Guipúzcoa, Asturias</w:t>
            </w:r>
          </w:p>
        </w:tc>
      </w:tr>
      <w:tr>
        <w:trPr>
          <w:cantSplit/>
          <w:tblHeader w:val="false"/>
        </w:trPr>
        <w:tc>
          <w:tcPr>
            <w:tcW w:type="dxa" w:w="1255"/>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F5</w:t>
            </w:r>
          </w:p>
        </w:tc>
        <w:tc>
          <w:tcPr>
            <w:tcW w:type="dxa" w:w="313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Cádiz, Murcia</w:t>
            </w:r>
          </w:p>
        </w:tc>
        <w:tc>
          <w:tcPr>
            <w:tcW w:type="dxa" w:w="5019"/>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Madrid, A Coruña, Mallorca, Guipúzcoa</w:t>
            </w:r>
          </w:p>
        </w:tc>
      </w:tr>
      <w:tr>
        <w:trPr>
          <w:cantSplit/>
          <w:tblHeader w:val="false"/>
        </w:trPr>
        <w:tc>
          <w:tcPr>
            <w:tcW w:type="dxa" w:w="1255"/>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F6</w:t>
            </w:r>
          </w:p>
        </w:tc>
        <w:tc>
          <w:tcPr>
            <w:tcW w:type="dxa" w:w="313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Badajoz, Tenerife</w:t>
            </w:r>
          </w:p>
        </w:tc>
        <w:tc>
          <w:tcPr>
            <w:tcW w:type="dxa" w:w="5019"/>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Barcelona, Huesca, A Coruña, Asturias</w:t>
            </w:r>
          </w:p>
        </w:tc>
      </w:tr>
    </w:tbl>
    <w:p>
      <w:pPr>
        <w:spacing w:after="160" w:line="240" w:lineRule="auto"/>
      </w:pPr>
      <w:r>
        <w:rPr>
          <w:sz w:val="6"/>
          <w:szCs w:val="6"/>
        </w:rPr>
        <w:t xml:space="preserve"/>
      </w:r>
    </w:p>
    <w:p>
      <w:pPr>
        <w:spacing w:after="150" w:line="288" w:lineRule="auto"/>
        <w:jc w:val="both"/>
      </w:pPr>
      <w:r>
        <w:rPr>
          <w:b/>
          <w:bCs/>
          <w:sz w:val="21"/>
          <w:szCs w:val="21"/>
        </w:rPr>
        <w:t xml:space="preserve">«Incompleto»</w:t>
      </w:r>
      <w:r>
        <w:rPr>
          <w:sz w:val="21"/>
          <w:szCs w:val="21"/>
        </w:rPr>
        <w:t xml:space="preserve"> significa que ningún participante evalúa todas las grabaciones. </w:t>
      </w:r>
      <w:r>
        <w:rPr>
          <w:b/>
          <w:bCs/>
          <w:sz w:val="21"/>
          <w:szCs w:val="21"/>
        </w:rPr>
        <w:t xml:space="preserve">«Balanceado»</w:t>
      </w:r>
      <w:r>
        <w:rPr>
          <w:sz w:val="21"/>
          <w:szCs w:val="21"/>
        </w:rPr>
        <w:t xml:space="preserve"> significa que el reparto es matemáticamente equitativo: </w:t>
      </w:r>
      <w:r>
        <w:rPr>
          <w:b/>
          <w:bCs/>
          <w:sz w:val="21"/>
          <w:szCs w:val="21"/>
        </w:rPr>
        <w:t xml:space="preserve">cada una de las 12 grabaciones aparece en exactamente 3 de las 6 versiones</w:t>
      </w:r>
      <w:r>
        <w:rPr>
          <w:sz w:val="21"/>
          <w:szCs w:val="21"/>
        </w:rPr>
        <w:t xml:space="preserve">. Ese número —3— se llama </w:t>
      </w:r>
      <w:r>
        <w:rPr>
          <w:b/>
          <w:bCs/>
          <w:sz w:val="21"/>
          <w:szCs w:val="21"/>
        </w:rPr>
        <w:t xml:space="preserve">réplica</w:t>
      </w:r>
      <w:r>
        <w:rPr>
          <w:sz w:val="21"/>
          <w:szCs w:val="21"/>
        </w:rPr>
        <w:t xml:space="preserve"> del diseño, y que sea idéntico para las doce es justamente lo que hace válido el diseño.</w:t>
      </w:r>
    </w:p>
    <w:p>
      <w:pPr>
        <w:spacing w:after="150" w:line="288" w:lineRule="auto"/>
        <w:jc w:val="both"/>
      </w:pPr>
      <w:r>
        <w:rPr>
          <w:sz w:val="21"/>
          <w:szCs w:val="21"/>
        </w:rPr>
        <w:t xml:space="preserve">Además, la aplicación </w:t>
      </w:r>
      <w:r>
        <w:rPr>
          <w:b/>
          <w:bCs/>
          <w:sz w:val="21"/>
          <w:szCs w:val="21"/>
        </w:rPr>
        <w:t xml:space="preserve">asigna a cada nuevo participante la versión que menos participantes ha completado hasta ese momento</w:t>
      </w:r>
      <w:r>
        <w:rPr>
          <w:sz w:val="21"/>
          <w:szCs w:val="21"/>
        </w:rPr>
        <w:t xml:space="preserve"> (empates, al azar). Así las seis versiones se llenan a la par sin intervención manual, y el reparto se autocorrige si hay abandonos: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913"/>
        <w:gridCol w:w="2465"/>
        <w:gridCol w:w="4033"/>
      </w:tblGrid>
      <w:tr>
        <w:trPr>
          <w:cantSplit/>
          <w:tblHeader/>
        </w:trPr>
        <w:tc>
          <w:tcPr>
            <w:tcW w:type="dxa" w:w="2913"/>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Participantes</w:t>
            </w:r>
          </w:p>
        </w:tc>
        <w:tc>
          <w:tcPr>
            <w:tcW w:type="dxa" w:w="2465"/>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Por versión</w:t>
            </w:r>
          </w:p>
        </w:tc>
        <w:tc>
          <w:tcPr>
            <w:tcW w:type="dxa" w:w="4033"/>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Escuchas por audio</w:t>
            </w:r>
          </w:p>
        </w:tc>
      </w:tr>
      <w:tr>
        <w:trPr>
          <w:cantSplit/>
          <w:tblHeader w:val="false"/>
        </w:trPr>
        <w:tc>
          <w:tcPr>
            <w:tcW w:type="dxa" w:w="291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12</w:t>
            </w:r>
          </w:p>
        </w:tc>
        <w:tc>
          <w:tcPr>
            <w:tcW w:type="dxa" w:w="2465"/>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2</w:t>
            </w:r>
          </w:p>
        </w:tc>
        <w:tc>
          <w:tcPr>
            <w:tcW w:type="dxa" w:w="403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6 (brecha 0)</w:t>
            </w:r>
          </w:p>
        </w:tc>
      </w:tr>
      <w:tr>
        <w:trPr>
          <w:cantSplit/>
          <w:tblHeader w:val="false"/>
        </w:trPr>
        <w:tc>
          <w:tcPr>
            <w:tcW w:type="dxa" w:w="2913"/>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20</w:t>
            </w:r>
          </w:p>
        </w:tc>
        <w:tc>
          <w:tcPr>
            <w:tcW w:type="dxa" w:w="2465"/>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3-4</w:t>
            </w:r>
          </w:p>
        </w:tc>
        <w:tc>
          <w:tcPr>
            <w:tcW w:type="dxa" w:w="4033"/>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9-11</w:t>
            </w:r>
          </w:p>
        </w:tc>
      </w:tr>
      <w:tr>
        <w:trPr>
          <w:cantSplit/>
          <w:tblHeader w:val="false"/>
        </w:trPr>
        <w:tc>
          <w:tcPr>
            <w:tcW w:type="dxa" w:w="291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30</w:t>
            </w:r>
          </w:p>
        </w:tc>
        <w:tc>
          <w:tcPr>
            <w:tcW w:type="dxa" w:w="2465"/>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5</w:t>
            </w:r>
          </w:p>
        </w:tc>
        <w:tc>
          <w:tcPr>
            <w:tcW w:type="dxa" w:w="403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15 (brecha 0)</w:t>
            </w:r>
          </w:p>
        </w:tc>
      </w:tr>
    </w:tbl>
    <w:p>
      <w:pPr>
        <w:spacing w:after="160" w:line="240" w:lineRule="auto"/>
      </w:pPr>
      <w:r>
        <w:rPr>
          <w:sz w:val="6"/>
          <w:szCs w:val="6"/>
        </w:rPr>
        <w:t xml:space="preserve"/>
      </w:r>
    </w:p>
    <w:p>
      <w:pPr>
        <w:spacing w:after="150" w:line="288" w:lineRule="auto"/>
        <w:jc w:val="both"/>
      </w:pPr>
      <w:r>
        <w:rPr>
          <w:sz w:val="21"/>
          <w:szCs w:val="21"/>
        </w:rPr>
        <w:t xml:space="preserve">La aplicación vigila esto sola: el panel muestra la </w:t>
      </w:r>
      <w:r>
        <w:rPr>
          <w:b/>
          <w:bCs/>
          <w:sz w:val="21"/>
          <w:szCs w:val="21"/>
        </w:rPr>
        <w:t xml:space="preserve">brecha</w:t>
      </w:r>
      <w:r>
        <w:rPr>
          <w:sz w:val="21"/>
          <w:szCs w:val="21"/>
        </w:rPr>
        <w:t xml:space="preserve"> (diferencia entre el audio más escuchado y el menos escuchado) y avisa si el diseño se desequilibra. Una brecha de 0 es equilibrio perfecto. </w:t>
      </w:r>
      <w:r>
        <w:rPr>
          <w:b/>
          <w:bCs/>
          <w:sz w:val="21"/>
          <w:szCs w:val="21"/>
        </w:rPr>
        <w:t xml:space="preserve">Los múltiplos de 6 participantes dan siempre equilibrio perfecto</w:t>
      </w:r>
      <w:r>
        <w:rPr>
          <w:sz w:val="21"/>
          <w:szCs w:val="21"/>
        </w:rPr>
        <w:t xml:space="preserve">, así que es buena idea cerrar la recogida de datos en 30, 36, 42…</w:t>
      </w:r>
    </w:p>
    <w:p>
      <w:pPr>
        <w:pStyle w:val="Heading2"/>
        <w:keepNext/>
        <w:spacing w:after="120" w:before="340" w:line="288" w:lineRule="auto"/>
      </w:pPr>
      <w:bookmarkStart w:name="h22" w:id="22"/>
      <w:r>
        <w:rPr>
          <w:rFonts w:ascii="Calibri" w:cs="Calibri" w:eastAsia="Calibri" w:hAnsi="Calibri"/>
          <w:b/>
          <w:bCs/>
          <w:color w:val="1F66F0"/>
          <w:sz w:val="24"/>
          <w:szCs w:val="24"/>
        </w:rPr>
        <w:t xml:space="preserve">Cómo se redacta esto en la tesis</w:t>
      </w:r>
      <w:bookmarkEnd w:id="22"/>
    </w:p>
    <w:p>
      <w:pPr>
        <w:spacing w:after="150" w:line="288" w:lineRule="auto"/>
        <w:jc w:val="both"/>
      </w:pPr>
      <w:r>
        <w:rPr>
          <w:sz w:val="21"/>
          <w:szCs w:val="21"/>
        </w:rPr>
        <w:t xml:space="preserve">Es un punto fuerte del trabajo, no una limitación, y conviene presentarlo así:</w:t>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color w:val="1E3A8A"/>
          <w:sz w:val="20"/>
          <w:szCs w:val="20"/>
        </w:rPr>
        <w:t xml:space="preserve">«Para evitar la fatiga del informante sin reducir el número de variedades analizadas, se empleó un </w:t>
      </w:r>
      <w:r>
        <w:rPr>
          <w:b/>
          <w:bCs/>
          <w:color w:val="1E3A8A"/>
          <w:sz w:val="20"/>
          <w:szCs w:val="20"/>
        </w:rPr>
        <w:t xml:space="preserve">diseño de bloques incompletos balanceados</w:t>
      </w:r>
      <w:r>
        <w:rPr>
          <w:color w:val="1E3A8A"/>
          <w:sz w:val="20"/>
          <w:szCs w:val="20"/>
        </w:rPr>
        <w:t xml:space="preserve">: las 12 grabaciones se distribuyeron en 6 versiones de 6 grabaciones cada una, de modo que cada variedad apareciera en exactamente 3 versiones (réplica = 3). La asignación de versiones se realizó de forma automática y autoequilibrante, y dentro de cada versión las variedades se presentaron alternando zona dialectal para neutralizar los efectos de orden.»</w:t>
      </w:r>
    </w:p>
    <w:p>
      <w:pPr>
        <w:pStyle w:val="Heading1"/>
        <w:keepNext/>
        <w:pageBreakBefore/>
        <w:pBdr>
          <w:bottom w:val="single" w:color="1D3C8D" w:sz="8" w:space="8"/>
        </w:pBdr>
        <w:spacing w:after="80" w:before="0" w:line="300" w:lineRule="auto"/>
      </w:pPr>
      <w:bookmarkStart w:name="h23" w:id="23"/>
      <w:r>
        <w:rPr>
          <w:rFonts w:ascii="Calibri" w:cs="Calibri" w:eastAsia="Calibri" w:hAnsi="Calibri"/>
          <w:b/>
          <w:bCs/>
          <w:color w:val="1D3C8D"/>
          <w:sz w:val="30"/>
          <w:szCs w:val="30"/>
        </w:rPr>
        <w:t xml:space="preserve">8. Qué estadísticas calcula la aplicación hoy</w:t>
      </w:r>
      <w:bookmarkEnd w:id="23"/>
    </w:p>
    <w:p>
      <w:pPr>
        <w:spacing w:after="150" w:line="288" w:lineRule="auto"/>
        <w:jc w:val="both"/>
      </w:pPr>
      <w:r>
        <w:rPr>
          <w:sz w:val="21"/>
          <w:szCs w:val="21"/>
        </w:rPr>
        <w:t xml:space="preserve">Conviene ser preciso en esto: </w:t>
      </w:r>
      <w:r>
        <w:rPr>
          <w:b/>
          <w:bCs/>
          <w:sz w:val="21"/>
          <w:szCs w:val="21"/>
        </w:rPr>
        <w:t xml:space="preserve">la aplicación calcula estadística descriptiva, no inferencial</w:t>
      </w:r>
      <w:r>
        <w:rPr>
          <w:sz w:val="21"/>
          <w:szCs w:val="21"/>
        </w:rPr>
        <w:t xml:space="preserve">. Es decir, </w:t>
      </w:r>
      <w:r>
        <w:rPr>
          <w:b/>
          <w:bCs/>
          <w:sz w:val="21"/>
          <w:szCs w:val="21"/>
        </w:rPr>
        <w:t xml:space="preserve">describe</w:t>
      </w:r>
      <w:r>
        <w:rPr>
          <w:sz w:val="21"/>
          <w:szCs w:val="21"/>
        </w:rPr>
        <w:t xml:space="preserve"> lo que hay en la muestra recogida, pero todavía </w:t>
      </w:r>
      <w:r>
        <w:rPr>
          <w:b/>
          <w:bCs/>
          <w:sz w:val="21"/>
          <w:szCs w:val="21"/>
        </w:rPr>
        <w:t xml:space="preserve">no contrasta hipótesis</w:t>
      </w:r>
      <w:r>
        <w:rPr>
          <w:sz w:val="21"/>
          <w:szCs w:val="21"/>
        </w:rPr>
        <w:t xml:space="preserve"> ni dice si las diferencias son estadísticamente significativas. Ese paso se hace fuera, con el CSV (ver §11).</w:t>
      </w:r>
    </w:p>
    <w:p>
      <w:pPr>
        <w:pStyle w:val="Heading2"/>
        <w:keepNext/>
        <w:spacing w:after="120" w:before="340" w:line="288" w:lineRule="auto"/>
      </w:pPr>
      <w:bookmarkStart w:name="h24" w:id="24"/>
      <w:r>
        <w:rPr>
          <w:rFonts w:ascii="Calibri" w:cs="Calibri" w:eastAsia="Calibri" w:hAnsi="Calibri"/>
          <w:b/>
          <w:bCs/>
          <w:color w:val="1F66F0"/>
          <w:sz w:val="24"/>
          <w:szCs w:val="24"/>
        </w:rPr>
        <w:t xml:space="preserve">8.1 La distinción descriptiva / inferencial, en dos líneas</w:t>
      </w:r>
      <w:bookmarkEnd w:id="24"/>
    </w:p>
    <w:p>
      <w:pPr>
        <w:pStyle w:val="ListParagraph"/>
        <w:numPr>
          <w:ilvl w:val="0"/>
          <w:numId w:val="3"/>
        </w:numPr>
        <w:spacing w:after="100" w:line="282" w:lineRule="auto"/>
        <w:jc w:val="left"/>
      </w:pPr>
      <w:r>
        <w:rPr>
          <w:b/>
          <w:bCs/>
          <w:sz w:val="21"/>
          <w:szCs w:val="21"/>
        </w:rPr>
        <w:t xml:space="preserve">Estadística descriptiva:</w:t>
      </w:r>
      <w:r>
        <w:rPr>
          <w:sz w:val="21"/>
          <w:szCs w:val="21"/>
        </w:rPr>
        <w:t xml:space="preserve"> resume los datos que tengo. </w:t>
      </w:r>
      <w:r>
        <w:rPr>
          <w:i/>
          <w:iCs/>
          <w:sz w:val="21"/>
          <w:szCs w:val="21"/>
        </w:rPr>
        <w:t xml:space="preserve">«En mi muestra, el acento de Cádiz obtuvo 3,2 y el de Madrid 4,1».</w:t>
      </w:r>
      <w:r>
        <w:rPr>
          <w:sz w:val="21"/>
          <w:szCs w:val="21"/>
        </w:rPr>
        <w:t xml:space="preserve"> Es un hecho, no admite duda.</w:t>
      </w:r>
    </w:p>
    <w:p>
      <w:pPr>
        <w:pStyle w:val="ListParagraph"/>
        <w:numPr>
          <w:ilvl w:val="0"/>
          <w:numId w:val="3"/>
        </w:numPr>
        <w:spacing w:after="100" w:line="282" w:lineRule="auto"/>
        <w:jc w:val="left"/>
      </w:pPr>
      <w:r>
        <w:rPr>
          <w:b/>
          <w:bCs/>
          <w:sz w:val="21"/>
          <w:szCs w:val="21"/>
        </w:rPr>
        <w:t xml:space="preserve">Estadística inferencial:</w:t>
      </w:r>
      <w:r>
        <w:rPr>
          <w:sz w:val="21"/>
          <w:szCs w:val="21"/>
        </w:rPr>
        <w:t xml:space="preserve"> generaliza a la población. </w:t>
      </w:r>
      <w:r>
        <w:rPr>
          <w:i/>
          <w:iCs/>
          <w:sz w:val="21"/>
          <w:szCs w:val="21"/>
        </w:rPr>
        <w:t xml:space="preserve">«Esa diferencia de 0,9 puntos es demasiado grande para ser casualidad: es muy probable que exista también fuera de mi muestra».</w:t>
      </w:r>
      <w:r>
        <w:rPr>
          <w:sz w:val="21"/>
          <w:szCs w:val="21"/>
        </w:rPr>
        <w:t xml:space="preserve"> Es una apuesta probabilística.</w:t>
      </w:r>
    </w:p>
    <w:p>
      <w:pPr>
        <w:spacing w:after="80" w:line="240" w:lineRule="auto"/>
      </w:pPr>
      <w:r>
        <w:rPr>
          <w:sz w:val="6"/>
          <w:szCs w:val="6"/>
        </w:rPr>
        <w:t xml:space="preserve"/>
      </w:r>
    </w:p>
    <w:p>
      <w:pPr>
        <w:spacing w:after="150" w:line="288" w:lineRule="auto"/>
        <w:jc w:val="both"/>
      </w:pPr>
      <w:r>
        <w:rPr>
          <w:sz w:val="21"/>
          <w:szCs w:val="21"/>
        </w:rPr>
        <w:t xml:space="preserve">Una tesis necesita las dos: la primera para presentar, la segunda para concluir.</w:t>
      </w:r>
    </w:p>
    <w:p>
      <w:pPr>
        <w:pStyle w:val="Heading2"/>
        <w:keepNext/>
        <w:spacing w:after="120" w:before="340" w:line="288" w:lineRule="auto"/>
      </w:pPr>
      <w:bookmarkStart w:name="h25" w:id="25"/>
      <w:r>
        <w:rPr>
          <w:rFonts w:ascii="Calibri" w:cs="Calibri" w:eastAsia="Calibri" w:hAnsi="Calibri"/>
          <w:b/>
          <w:bCs/>
          <w:color w:val="1F66F0"/>
          <w:sz w:val="24"/>
          <w:szCs w:val="24"/>
        </w:rPr>
        <w:t xml:space="preserve">8.2 Medidas resumen (los KPI de la cabecera)</w:t>
      </w:r>
      <w:bookmarkEnd w:id="25"/>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272"/>
        <w:gridCol w:w="3029"/>
        <w:gridCol w:w="4110"/>
      </w:tblGrid>
      <w:tr>
        <w:trPr>
          <w:cantSplit/>
          <w:tblHeader/>
        </w:trPr>
        <w:tc>
          <w:tcPr>
            <w:tcW w:type="dxa" w:w="2272"/>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Indicador</w:t>
            </w:r>
          </w:p>
        </w:tc>
        <w:tc>
          <w:tcPr>
            <w:tcW w:type="dxa" w:w="3029"/>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Qué es</w:t>
            </w:r>
          </w:p>
        </w:tc>
        <w:tc>
          <w:tcPr>
            <w:tcW w:type="dxa" w:w="411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Sobre qué N</w:t>
            </w:r>
          </w:p>
        </w:tc>
      </w:tr>
      <w:tr>
        <w:trPr>
          <w:cantSplit/>
          <w:tblHeader w:val="false"/>
        </w:trPr>
        <w:tc>
          <w:tcPr>
            <w:tcW w:type="dxa" w:w="2272"/>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Participantes</w:t>
            </w:r>
          </w:p>
        </w:tc>
        <w:tc>
          <w:tcPr>
            <w:tcW w:type="dxa" w:w="3029"/>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Recuento de personas</w:t>
            </w:r>
          </w:p>
        </w:tc>
        <w:tc>
          <w:tcPr>
            <w:tcW w:type="dxa" w:w="411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Nivel participante</w:t>
            </w:r>
          </w:p>
        </w:tc>
      </w:tr>
      <w:tr>
        <w:trPr>
          <w:cantSplit/>
          <w:tblHeader w:val="false"/>
        </w:trPr>
        <w:tc>
          <w:tcPr>
            <w:tcW w:type="dxa" w:w="2272"/>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Valoraciones de audio</w:t>
            </w:r>
          </w:p>
        </w:tc>
        <w:tc>
          <w:tcPr>
            <w:tcW w:type="dxa" w:w="3029"/>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Recuento de audios valorados</w:t>
            </w:r>
          </w:p>
        </w:tc>
        <w:tc>
          <w:tcPr>
            <w:tcW w:type="dxa" w:w="411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Nivel valoración (≈ 6 × participantes)</w:t>
            </w:r>
          </w:p>
        </w:tc>
      </w:tr>
      <w:tr>
        <w:trPr>
          <w:cantSplit/>
          <w:tblHeader w:val="false"/>
        </w:trPr>
        <w:tc>
          <w:tcPr>
            <w:tcW w:type="dxa" w:w="2272"/>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Edad media</w:t>
            </w:r>
          </w:p>
        </w:tc>
        <w:tc>
          <w:tcPr>
            <w:tcW w:type="dxa" w:w="3029"/>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Media aritmética</w:t>
            </w:r>
          </w:p>
        </w:tc>
        <w:tc>
          <w:tcPr>
            <w:tcW w:type="dxa" w:w="411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Nivel participante</w:t>
            </w:r>
          </w:p>
        </w:tc>
      </w:tr>
      <w:tr>
        <w:trPr>
          <w:cantSplit/>
          <w:tblHeader w:val="false"/>
        </w:trPr>
        <w:tc>
          <w:tcPr>
            <w:tcW w:type="dxa" w:w="2272"/>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Proximidad media</w:t>
            </w:r>
          </w:p>
        </w:tc>
        <w:tc>
          <w:tcPr>
            <w:tcW w:type="dxa" w:w="3029"/>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Media aritmética de 1-5</w:t>
            </w:r>
          </w:p>
        </w:tc>
        <w:tc>
          <w:tcPr>
            <w:tcW w:type="dxa" w:w="411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Nivel valoración</w:t>
            </w:r>
          </w:p>
        </w:tc>
      </w:tr>
    </w:tbl>
    <w:p>
      <w:pPr>
        <w:spacing w:after="160" w:line="240" w:lineRule="auto"/>
      </w:pPr>
      <w:r>
        <w:rPr>
          <w:sz w:val="6"/>
          <w:szCs w:val="6"/>
        </w:rPr>
        <w:t xml:space="preserve"/>
      </w:r>
    </w:p>
    <w:p>
      <w:pPr>
        <w:pStyle w:val="Heading2"/>
        <w:keepNext/>
        <w:spacing w:after="120" w:before="340" w:line="288" w:lineRule="auto"/>
      </w:pPr>
      <w:bookmarkStart w:name="h26" w:id="26"/>
      <w:r>
        <w:rPr>
          <w:rFonts w:ascii="Calibri" w:cs="Calibri" w:eastAsia="Calibri" w:hAnsi="Calibri"/>
          <w:b/>
          <w:bCs/>
          <w:color w:val="1F66F0"/>
          <w:sz w:val="24"/>
          <w:szCs w:val="24"/>
        </w:rPr>
        <w:t xml:space="preserve">8.3 Medias aritméticas</w:t>
      </w:r>
      <w:bookmarkEnd w:id="26"/>
    </w:p>
    <w:p>
      <w:pPr>
        <w:spacing w:after="150" w:line="288" w:lineRule="auto"/>
        <w:jc w:val="both"/>
      </w:pPr>
      <w:r>
        <w:rPr>
          <w:sz w:val="21"/>
          <w:szCs w:val="21"/>
        </w:rPr>
        <w:t xml:space="preserve">La </w:t>
      </w:r>
      <w:r>
        <w:rPr>
          <w:b/>
          <w:bCs/>
          <w:sz w:val="21"/>
          <w:szCs w:val="21"/>
        </w:rPr>
        <w:t xml:space="preserve">media</w:t>
      </w:r>
      <w:r>
        <w:rPr>
          <w:sz w:val="21"/>
          <w:szCs w:val="21"/>
        </w:rPr>
        <w:t xml:space="preserve"> es sumar todos los valores y dividir entre cuántos son. Es la medida estrella del estudio, y se calcula:</w:t>
      </w:r>
    </w:p>
    <w:p>
      <w:pPr>
        <w:pStyle w:val="ListParagraph"/>
        <w:numPr>
          <w:ilvl w:val="0"/>
          <w:numId w:val="3"/>
        </w:numPr>
        <w:spacing w:after="100" w:line="282" w:lineRule="auto"/>
        <w:jc w:val="left"/>
      </w:pPr>
      <w:r>
        <w:rPr>
          <w:sz w:val="21"/>
          <w:szCs w:val="21"/>
        </w:rPr>
        <w:t xml:space="preserve">Por </w:t>
      </w:r>
      <w:r>
        <w:rPr>
          <w:b/>
          <w:bCs/>
          <w:sz w:val="21"/>
          <w:szCs w:val="21"/>
        </w:rPr>
        <w:t xml:space="preserve">ítem</w:t>
      </w:r>
      <w:r>
        <w:rPr>
          <w:sz w:val="21"/>
          <w:szCs w:val="21"/>
        </w:rPr>
        <w:t xml:space="preserve"> y por </w:t>
      </w:r>
      <w:r>
        <w:rPr>
          <w:b/>
          <w:bCs/>
          <w:sz w:val="21"/>
          <w:szCs w:val="21"/>
        </w:rPr>
        <w:t xml:space="preserve">ciudad</w:t>
      </w:r>
      <w:r>
        <w:rPr>
          <w:sz w:val="21"/>
          <w:szCs w:val="21"/>
        </w:rPr>
        <w:t xml:space="preserve">: la media de «agradable» en Granada, la media de «culta» en Barcelona… (23 ítems × 12 ciudades).</w:t>
      </w:r>
    </w:p>
    <w:p>
      <w:pPr>
        <w:pStyle w:val="ListParagraph"/>
        <w:numPr>
          <w:ilvl w:val="0"/>
          <w:numId w:val="3"/>
        </w:numPr>
        <w:spacing w:after="100" w:line="282" w:lineRule="auto"/>
        <w:jc w:val="left"/>
      </w:pPr>
      <w:r>
        <w:rPr>
          <w:sz w:val="21"/>
          <w:szCs w:val="21"/>
        </w:rPr>
        <w:t xml:space="preserve">Por </w:t>
      </w:r>
      <w:r>
        <w:rPr>
          <w:b/>
          <w:bCs/>
          <w:sz w:val="21"/>
          <w:szCs w:val="21"/>
        </w:rPr>
        <w:t xml:space="preserve">índice</w:t>
      </w:r>
      <w:r>
        <w:rPr>
          <w:sz w:val="21"/>
          <w:szCs w:val="21"/>
        </w:rPr>
        <w:t xml:space="preserve"> y por </w:t>
      </w:r>
      <w:r>
        <w:rPr>
          <w:b/>
          <w:bCs/>
          <w:sz w:val="21"/>
          <w:szCs w:val="21"/>
        </w:rPr>
        <w:t xml:space="preserve">ciudad</w:t>
      </w:r>
      <w:r>
        <w:rPr>
          <w:sz w:val="21"/>
          <w:szCs w:val="21"/>
        </w:rPr>
        <w:t xml:space="preserve">: las medias globales de voz, persona y cultura. Ojo a un detalle técnico: estas medias globales son </w:t>
      </w:r>
      <w:r>
        <w:rPr>
          <w:b/>
          <w:bCs/>
          <w:sz w:val="21"/>
          <w:szCs w:val="21"/>
        </w:rPr>
        <w:t xml:space="preserve">medias de medias</w:t>
      </w:r>
      <w:r>
        <w:rPr>
          <w:sz w:val="21"/>
          <w:szCs w:val="21"/>
        </w:rPr>
        <w:t xml:space="preserve"> (se promedian los 11 —o 6— valores medios de los ítems). Con datos completos el resultado coincide con la media general, pero conviene saberlo.</w:t>
      </w:r>
    </w:p>
    <w:p>
      <w:pPr>
        <w:pStyle w:val="ListParagraph"/>
        <w:numPr>
          <w:ilvl w:val="0"/>
          <w:numId w:val="3"/>
        </w:numPr>
        <w:spacing w:after="100" w:line="282" w:lineRule="auto"/>
        <w:jc w:val="left"/>
      </w:pPr>
      <w:r>
        <w:rPr>
          <w:sz w:val="21"/>
          <w:szCs w:val="21"/>
        </w:rPr>
        <w:t xml:space="preserve">Por </w:t>
      </w:r>
      <w:r>
        <w:rPr>
          <w:b/>
          <w:bCs/>
          <w:sz w:val="21"/>
          <w:szCs w:val="21"/>
        </w:rPr>
        <w:t xml:space="preserve">zona dialectal</w:t>
      </w:r>
      <w:r>
        <w:rPr>
          <w:sz w:val="21"/>
          <w:szCs w:val="21"/>
        </w:rPr>
        <w:t xml:space="preserve">: el perfil completo de meridional frente a septentrional, con todas sus grabaciones juntas.</w:t>
      </w:r>
    </w:p>
    <w:p>
      <w:pPr>
        <w:pStyle w:val="ListParagraph"/>
        <w:numPr>
          <w:ilvl w:val="0"/>
          <w:numId w:val="3"/>
        </w:numPr>
        <w:spacing w:after="100" w:line="282" w:lineRule="auto"/>
        <w:jc w:val="left"/>
      </w:pPr>
      <w:r>
        <w:rPr>
          <w:sz w:val="21"/>
          <w:szCs w:val="21"/>
        </w:rPr>
        <w:t xml:space="preserve">De </w:t>
      </w:r>
      <w:r>
        <w:rPr>
          <w:b/>
          <w:bCs/>
          <w:sz w:val="21"/>
          <w:szCs w:val="21"/>
        </w:rPr>
        <w:t xml:space="preserve">proximidad</w:t>
      </w:r>
      <w:r>
        <w:rPr>
          <w:sz w:val="21"/>
          <w:szCs w:val="21"/>
        </w:rPr>
        <w:t xml:space="preserve">, por ciudad y global.</w:t>
      </w:r>
    </w:p>
    <w:p>
      <w:pPr>
        <w:spacing w:after="80" w:line="240" w:lineRule="auto"/>
      </w:pPr>
      <w:r>
        <w:rPr>
          <w:sz w:val="6"/>
          <w:szCs w:val="6"/>
        </w:rPr>
        <w:t xml:space="preserve"/>
      </w:r>
    </w:p>
    <w:p>
      <w:pPr>
        <w:pStyle w:val="Heading2"/>
        <w:keepNext/>
        <w:spacing w:after="120" w:before="340" w:line="288" w:lineRule="auto"/>
      </w:pPr>
      <w:bookmarkStart w:name="h27" w:id="27"/>
      <w:r>
        <w:rPr>
          <w:rFonts w:ascii="Calibri" w:cs="Calibri" w:eastAsia="Calibri" w:hAnsi="Calibri"/>
          <w:b/>
          <w:bCs/>
          <w:color w:val="1F66F0"/>
          <w:sz w:val="24"/>
          <w:szCs w:val="24"/>
        </w:rPr>
        <w:t xml:space="preserve">8.4 Distribuciones de frecuencias y porcentajes</w:t>
      </w:r>
      <w:bookmarkEnd w:id="27"/>
    </w:p>
    <w:p>
      <w:pPr>
        <w:spacing w:after="150" w:line="288" w:lineRule="auto"/>
        <w:jc w:val="both"/>
      </w:pPr>
      <w:r>
        <w:rPr>
          <w:sz w:val="21"/>
          <w:szCs w:val="21"/>
        </w:rPr>
        <w:t xml:space="preserve">Una </w:t>
      </w:r>
      <w:r>
        <w:rPr>
          <w:b/>
          <w:bCs/>
          <w:sz w:val="21"/>
          <w:szCs w:val="21"/>
        </w:rPr>
        <w:t xml:space="preserve">distribución de frecuencias</w:t>
      </w:r>
      <w:r>
        <w:rPr>
          <w:sz w:val="21"/>
          <w:szCs w:val="21"/>
        </w:rPr>
        <w:t xml:space="preserve"> es simplemente contar cuántas veces aparece cada valor. La aplicación las calcula para:</w:t>
      </w:r>
    </w:p>
    <w:p>
      <w:pPr>
        <w:pStyle w:val="ListParagraph"/>
        <w:numPr>
          <w:ilvl w:val="0"/>
          <w:numId w:val="3"/>
        </w:numPr>
        <w:spacing w:after="100" w:line="282" w:lineRule="auto"/>
        <w:jc w:val="left"/>
      </w:pPr>
      <w:r>
        <w:rPr>
          <w:sz w:val="21"/>
          <w:szCs w:val="21"/>
        </w:rPr>
        <w:t xml:space="preserve">Género y nivel de español de los participantes</w:t>
      </w:r>
    </w:p>
    <w:p>
      <w:pPr>
        <w:pStyle w:val="ListParagraph"/>
        <w:numPr>
          <w:ilvl w:val="0"/>
          <w:numId w:val="3"/>
        </w:numPr>
        <w:spacing w:after="100" w:line="282" w:lineRule="auto"/>
        <w:jc w:val="left"/>
      </w:pPr>
      <w:r>
        <w:rPr>
          <w:sz w:val="21"/>
          <w:szCs w:val="21"/>
        </w:rPr>
        <w:t xml:space="preserve">Edad en </w:t>
      </w:r>
      <w:r>
        <w:rPr>
          <w:b/>
          <w:bCs/>
          <w:sz w:val="21"/>
          <w:szCs w:val="21"/>
        </w:rPr>
        <w:t xml:space="preserve">tramos</w:t>
      </w:r>
      <w:r>
        <w:rPr>
          <w:sz w:val="21"/>
          <w:szCs w:val="21"/>
        </w:rPr>
        <w:t xml:space="preserve"> (&lt;18, 18-24, 25-34, 35-44, 45-54, 55+) → esto es un </w:t>
      </w:r>
      <w:r>
        <w:rPr>
          <w:b/>
          <w:bCs/>
          <w:sz w:val="21"/>
          <w:szCs w:val="21"/>
        </w:rPr>
        <w:t xml:space="preserve">histograma</w:t>
      </w:r>
      <w:r>
        <w:rPr>
          <w:sz w:val="21"/>
          <w:szCs w:val="21"/>
        </w:rPr>
        <w:t xml:space="preserve">, que sirve para ver la forma de la muestra de un vistazo</w:t>
      </w:r>
    </w:p>
    <w:p>
      <w:pPr>
        <w:pStyle w:val="ListParagraph"/>
        <w:numPr>
          <w:ilvl w:val="0"/>
          <w:numId w:val="3"/>
        </w:numPr>
        <w:spacing w:after="100" w:line="282" w:lineRule="auto"/>
        <w:jc w:val="left"/>
      </w:pPr>
      <w:r>
        <w:rPr>
          <w:sz w:val="21"/>
          <w:szCs w:val="21"/>
        </w:rPr>
        <w:t xml:space="preserve">Nivel de ingresos y de estudios percibidos, por ciudad y global</w:t>
      </w:r>
    </w:p>
    <w:p>
      <w:pPr>
        <w:pStyle w:val="ListParagraph"/>
        <w:numPr>
          <w:ilvl w:val="0"/>
          <w:numId w:val="3"/>
        </w:numPr>
        <w:spacing w:after="100" w:line="282" w:lineRule="auto"/>
        <w:jc w:val="left"/>
      </w:pPr>
      <w:r>
        <w:rPr>
          <w:sz w:val="21"/>
          <w:szCs w:val="21"/>
        </w:rPr>
        <w:t xml:space="preserve">Región percibida (las 19 comunidades), por ciudad y global</w:t>
      </w:r>
    </w:p>
    <w:p>
      <w:pPr>
        <w:pStyle w:val="ListParagraph"/>
        <w:numPr>
          <w:ilvl w:val="0"/>
          <w:numId w:val="3"/>
        </w:numPr>
        <w:spacing w:after="100" w:line="282" w:lineRule="auto"/>
        <w:jc w:val="left"/>
      </w:pPr>
      <w:r>
        <w:rPr>
          <w:sz w:val="21"/>
          <w:szCs w:val="21"/>
        </w:rPr>
        <w:t xml:space="preserve">Proximidad (cuántos dieron 1, cuántos 2…)</w:t>
      </w:r>
    </w:p>
    <w:p>
      <w:pPr>
        <w:pStyle w:val="ListParagraph"/>
        <w:numPr>
          <w:ilvl w:val="0"/>
          <w:numId w:val="3"/>
        </w:numPr>
        <w:spacing w:after="100" w:line="282" w:lineRule="auto"/>
        <w:jc w:val="left"/>
      </w:pPr>
      <w:r>
        <w:rPr>
          <w:sz w:val="21"/>
          <w:szCs w:val="21"/>
        </w:rPr>
        <w:t xml:space="preserve">Las dos preguntas sí/no sobre género, por ciudad</w:t>
      </w:r>
    </w:p>
    <w:p>
      <w:pPr>
        <w:pStyle w:val="ListParagraph"/>
        <w:numPr>
          <w:ilvl w:val="0"/>
          <w:numId w:val="3"/>
        </w:numPr>
        <w:spacing w:after="100" w:line="282" w:lineRule="auto"/>
        <w:jc w:val="left"/>
      </w:pPr>
      <w:r>
        <w:rPr>
          <w:sz w:val="21"/>
          <w:szCs w:val="21"/>
        </w:rPr>
        <w:t xml:space="preserve">Contexto: estudia, trabaja, familia en España, ha visitado España, ha visitado otros países</w:t>
      </w:r>
    </w:p>
    <w:p>
      <w:pPr>
        <w:spacing w:after="80" w:line="240" w:lineRule="auto"/>
      </w:pPr>
      <w:r>
        <w:rPr>
          <w:sz w:val="6"/>
          <w:szCs w:val="6"/>
        </w:rPr>
        <w:t xml:space="preserve"/>
      </w:r>
    </w:p>
    <w:p>
      <w:pPr>
        <w:spacing w:after="150" w:line="288" w:lineRule="auto"/>
        <w:jc w:val="both"/>
      </w:pPr>
      <w:r>
        <w:rPr>
          <w:sz w:val="21"/>
          <w:szCs w:val="21"/>
        </w:rPr>
        <w:t xml:space="preserve">Un detalle de implementación útil: las distribuciones </w:t>
      </w:r>
      <w:r>
        <w:rPr>
          <w:b/>
          <w:bCs/>
          <w:sz w:val="21"/>
          <w:szCs w:val="21"/>
        </w:rPr>
        <w:t xml:space="preserve">rellenan con ceros</w:t>
      </w:r>
      <w:r>
        <w:rPr>
          <w:sz w:val="21"/>
          <w:szCs w:val="21"/>
        </w:rPr>
        <w:t xml:space="preserve"> las categorías que no ha elegido nadie. Es lo correcto —que nadie sitúe un acento en Cantabria es un dato, no un hueco— y evita tablas con categorías fantasma.</w:t>
      </w:r>
    </w:p>
    <w:p>
      <w:pPr>
        <w:pStyle w:val="Heading2"/>
        <w:keepNext/>
        <w:spacing w:after="120" w:before="340" w:line="288" w:lineRule="auto"/>
      </w:pPr>
      <w:bookmarkStart w:name="h28" w:id="28"/>
      <w:r>
        <w:rPr>
          <w:rFonts w:ascii="Calibri" w:cs="Calibri" w:eastAsia="Calibri" w:hAnsi="Calibri"/>
          <w:b/>
          <w:bCs/>
          <w:color w:val="1F66F0"/>
          <w:sz w:val="24"/>
          <w:szCs w:val="24"/>
        </w:rPr>
        <w:t xml:space="preserve">8.5 Porcentajes derivados</w:t>
      </w:r>
      <w:bookmarkEnd w:id="28"/>
    </w:p>
    <w:p>
      <w:pPr>
        <w:pStyle w:val="ListParagraph"/>
        <w:numPr>
          <w:ilvl w:val="0"/>
          <w:numId w:val="3"/>
        </w:numPr>
        <w:spacing w:after="100" w:line="282" w:lineRule="auto"/>
        <w:jc w:val="left"/>
      </w:pPr>
      <w:r>
        <w:rPr>
          <w:b/>
          <w:bCs/>
          <w:sz w:val="21"/>
          <w:szCs w:val="21"/>
        </w:rPr>
        <w:t xml:space="preserve">% de aciertos en la región</w:t>
      </w:r>
      <w:r>
        <w:rPr>
          <w:sz w:val="21"/>
          <w:szCs w:val="21"/>
        </w:rPr>
        <w:t xml:space="preserve">: de los que respondieron, cuántos acertaron la comunidad real de cada grabación. Es una medida de </w:t>
      </w:r>
      <w:r>
        <w:rPr>
          <w:b/>
          <w:bCs/>
          <w:sz w:val="21"/>
          <w:szCs w:val="21"/>
        </w:rPr>
        <w:t xml:space="preserve">reconocibilidad</w:t>
      </w:r>
      <w:r>
        <w:rPr>
          <w:sz w:val="21"/>
          <w:szCs w:val="21"/>
        </w:rPr>
        <w:t xml:space="preserve">: un acento con 70 % de aciertos es un estereotipo consolidado; uno con 10 % es irreconocible para esa población. Esa diferencia por sí sola da para un apartado entero de la tesis.</w:t>
      </w:r>
    </w:p>
    <w:p>
      <w:pPr>
        <w:spacing w:after="80" w:line="240" w:lineRule="auto"/>
      </w:pPr>
      <w:r>
        <w:rPr>
          <w:sz w:val="6"/>
          <w:szCs w:val="6"/>
        </w:rPr>
        <w:t xml:space="preserve"/>
      </w:r>
    </w:p>
    <w:p>
      <w:pPr>
        <w:pStyle w:val="Heading2"/>
        <w:keepNext/>
        <w:spacing w:after="120" w:before="340" w:line="288" w:lineRule="auto"/>
      </w:pPr>
      <w:bookmarkStart w:name="h29" w:id="29"/>
      <w:r>
        <w:rPr>
          <w:rFonts w:ascii="Calibri" w:cs="Calibri" w:eastAsia="Calibri" w:hAnsi="Calibri"/>
          <w:b/>
          <w:bCs/>
          <w:color w:val="1F66F0"/>
          <w:sz w:val="24"/>
          <w:szCs w:val="24"/>
        </w:rPr>
        <w:t xml:space="preserve">8.6 Ordenaciones (ranking)</w:t>
      </w:r>
      <w:bookmarkEnd w:id="29"/>
    </w:p>
    <w:p>
      <w:pPr>
        <w:pStyle w:val="ListParagraph"/>
        <w:numPr>
          <w:ilvl w:val="0"/>
          <w:numId w:val="3"/>
        </w:numPr>
        <w:spacing w:after="100" w:line="282" w:lineRule="auto"/>
        <w:jc w:val="left"/>
      </w:pPr>
      <w:r>
        <w:rPr>
          <w:b/>
          <w:bCs/>
          <w:sz w:val="21"/>
          <w:szCs w:val="21"/>
        </w:rPr>
        <w:t xml:space="preserve">Ranking de grabaciones por agradabilidad de la voz</w:t>
      </w:r>
      <w:r>
        <w:rPr>
          <w:sz w:val="21"/>
          <w:szCs w:val="21"/>
        </w:rPr>
        <w:t xml:space="preserve">: las 12 ciudades ordenadas de mayor a menor. Es descriptivo y muy visual, pero </w:t>
      </w:r>
      <w:r>
        <w:rPr>
          <w:b/>
          <w:bCs/>
          <w:sz w:val="21"/>
          <w:szCs w:val="21"/>
        </w:rPr>
        <w:t xml:space="preserve">cuidado</w:t>
      </w:r>
      <w:r>
        <w:rPr>
          <w:sz w:val="21"/>
          <w:szCs w:val="21"/>
        </w:rPr>
        <w:t xml:space="preserve">: un ranking sugiere diferencias que pueden no ser reales. El 1.º y el 2.º pueden estar separados por 0,03 puntos, que no significa nada. Nunca presentes un ranking sin decir </w:t>
      </w:r>
      <w:r>
        <w:rPr>
          <w:b/>
          <w:bCs/>
          <w:sz w:val="21"/>
          <w:szCs w:val="21"/>
        </w:rPr>
        <w:t xml:space="preserve">cuánta</w:t>
      </w:r>
      <w:r>
        <w:rPr>
          <w:sz w:val="21"/>
          <w:szCs w:val="21"/>
        </w:rPr>
        <w:t xml:space="preserve"> distancia hay entre puestos.</w:t>
      </w:r>
    </w:p>
    <w:p>
      <w:pPr>
        <w:spacing w:after="80" w:line="240" w:lineRule="auto"/>
      </w:pPr>
      <w:r>
        <w:rPr>
          <w:sz w:val="6"/>
          <w:szCs w:val="6"/>
        </w:rPr>
        <w:t xml:space="preserve"/>
      </w:r>
    </w:p>
    <w:p>
      <w:pPr>
        <w:pStyle w:val="Heading2"/>
        <w:keepNext/>
        <w:spacing w:after="120" w:before="340" w:line="288" w:lineRule="auto"/>
      </w:pPr>
      <w:bookmarkStart w:name="h30" w:id="30"/>
      <w:r>
        <w:rPr>
          <w:rFonts w:ascii="Calibri" w:cs="Calibri" w:eastAsia="Calibri" w:hAnsi="Calibri"/>
          <w:b/>
          <w:bCs/>
          <w:color w:val="1F66F0"/>
          <w:sz w:val="24"/>
          <w:szCs w:val="24"/>
        </w:rPr>
        <w:t xml:space="preserve">8.7 Indicadores de calidad del diseño</w:t>
      </w:r>
      <w:bookmarkEnd w:id="30"/>
    </w:p>
    <w:p>
      <w:pPr>
        <w:pStyle w:val="ListParagraph"/>
        <w:numPr>
          <w:ilvl w:val="0"/>
          <w:numId w:val="3"/>
        </w:numPr>
        <w:spacing w:after="100" w:line="282" w:lineRule="auto"/>
        <w:jc w:val="left"/>
      </w:pPr>
      <w:r>
        <w:rPr>
          <w:b/>
          <w:bCs/>
          <w:sz w:val="21"/>
          <w:szCs w:val="21"/>
        </w:rPr>
        <w:t xml:space="preserve">Escuchas por audio</w:t>
      </w:r>
      <w:r>
        <w:rPr>
          <w:sz w:val="21"/>
          <w:szCs w:val="21"/>
        </w:rPr>
        <w:t xml:space="preserve"> (N de cada grabación)</w:t>
      </w:r>
    </w:p>
    <w:p>
      <w:pPr>
        <w:pStyle w:val="ListParagraph"/>
        <w:numPr>
          <w:ilvl w:val="0"/>
          <w:numId w:val="3"/>
        </w:numPr>
        <w:spacing w:after="100" w:line="282" w:lineRule="auto"/>
        <w:jc w:val="left"/>
      </w:pPr>
      <w:r>
        <w:rPr>
          <w:b/>
          <w:bCs/>
          <w:sz w:val="21"/>
          <w:szCs w:val="21"/>
        </w:rPr>
        <w:t xml:space="preserve">Mínimo, máximo y brecha</w:t>
      </w:r>
      <w:r>
        <w:rPr>
          <w:sz w:val="21"/>
          <w:szCs w:val="21"/>
        </w:rPr>
        <w:t xml:space="preserve"> entre el audio más y el menos escuchado</w:t>
      </w:r>
    </w:p>
    <w:p>
      <w:pPr>
        <w:pStyle w:val="ListParagraph"/>
        <w:numPr>
          <w:ilvl w:val="0"/>
          <w:numId w:val="3"/>
        </w:numPr>
        <w:spacing w:after="100" w:line="282" w:lineRule="auto"/>
        <w:jc w:val="left"/>
      </w:pPr>
      <w:r>
        <w:rPr>
          <w:b/>
          <w:bCs/>
          <w:sz w:val="21"/>
          <w:szCs w:val="21"/>
        </w:rPr>
        <w:t xml:space="preserve">Réplicas por grabación</w:t>
      </w:r>
      <w:r>
        <w:rPr>
          <w:sz w:val="21"/>
          <w:szCs w:val="21"/>
        </w:rPr>
        <w:t xml:space="preserve"> y comprobación automática de si el diseño sigue equilibrado</w:t>
      </w:r>
    </w:p>
    <w:p>
      <w:pPr>
        <w:pStyle w:val="ListParagraph"/>
        <w:numPr>
          <w:ilvl w:val="0"/>
          <w:numId w:val="3"/>
        </w:numPr>
        <w:spacing w:after="100" w:line="282" w:lineRule="auto"/>
        <w:jc w:val="left"/>
      </w:pPr>
      <w:r>
        <w:rPr>
          <w:b/>
          <w:bCs/>
          <w:sz w:val="21"/>
          <w:szCs w:val="21"/>
        </w:rPr>
        <w:t xml:space="preserve">Reparto de participantes por versión</w:t>
      </w:r>
      <w:r>
        <w:rPr>
          <w:sz w:val="21"/>
          <w:szCs w:val="21"/>
        </w:rPr>
        <w:t xml:space="preserve"> del formulario</w:t>
      </w:r>
    </w:p>
    <w:p>
      <w:pPr>
        <w:spacing w:after="80" w:line="240" w:lineRule="auto"/>
      </w:pPr>
      <w:r>
        <w:rPr>
          <w:sz w:val="6"/>
          <w:szCs w:val="6"/>
        </w:rPr>
        <w:t xml:space="preserve"/>
      </w:r>
    </w:p>
    <w:p>
      <w:pPr>
        <w:spacing w:after="150" w:line="288" w:lineRule="auto"/>
        <w:jc w:val="both"/>
      </w:pPr>
      <w:r>
        <w:rPr>
          <w:sz w:val="21"/>
          <w:szCs w:val="21"/>
        </w:rPr>
        <w:t xml:space="preserve">Estos números no son un resultado del estudio: son la </w:t>
      </w:r>
      <w:r>
        <w:rPr>
          <w:b/>
          <w:bCs/>
          <w:sz w:val="21"/>
          <w:szCs w:val="21"/>
        </w:rPr>
        <w:t xml:space="preserve">prueba documental de que el muestreo fue correcto</w:t>
      </w:r>
      <w:r>
        <w:rPr>
          <w:sz w:val="21"/>
          <w:szCs w:val="21"/>
        </w:rPr>
        <w:t xml:space="preserve">, y van en el capítulo de metodología.</w:t>
      </w:r>
    </w:p>
    <w:p>
      <w:pPr>
        <w:pStyle w:val="Heading1"/>
        <w:keepNext/>
        <w:pageBreakBefore/>
        <w:pBdr>
          <w:bottom w:val="single" w:color="1D3C8D" w:sz="8" w:space="8"/>
        </w:pBdr>
        <w:spacing w:after="80" w:before="0" w:line="300" w:lineRule="auto"/>
      </w:pPr>
      <w:bookmarkStart w:name="h31" w:id="31"/>
      <w:r>
        <w:rPr>
          <w:rFonts w:ascii="Calibri" w:cs="Calibri" w:eastAsia="Calibri" w:hAnsi="Calibri"/>
          <w:b/>
          <w:bCs/>
          <w:color w:val="1D3C8D"/>
          <w:sz w:val="30"/>
          <w:szCs w:val="30"/>
        </w:rPr>
        <w:t xml:space="preserve">9. Los cruces de variables: qué se cruza con qué</w:t>
      </w:r>
      <w:bookmarkEnd w:id="31"/>
    </w:p>
    <w:p>
      <w:pPr>
        <w:spacing w:after="150" w:line="288" w:lineRule="auto"/>
        <w:jc w:val="both"/>
      </w:pPr>
      <w:r>
        <w:rPr>
          <w:sz w:val="21"/>
          <w:szCs w:val="21"/>
        </w:rPr>
        <w:t xml:space="preserve">«Cruzar variables» significa mirar una VD </w:t>
      </w:r>
      <w:r>
        <w:rPr>
          <w:b/>
          <w:bCs/>
          <w:sz w:val="21"/>
          <w:szCs w:val="21"/>
        </w:rPr>
        <w:t xml:space="preserve">separada por los grupos de una VI</w:t>
      </w:r>
      <w:r>
        <w:rPr>
          <w:sz w:val="21"/>
          <w:szCs w:val="21"/>
        </w:rPr>
        <w:t xml:space="preserve">, en vez de mirarla en conjunto. Es el paso que convierte un dato en un hallazgo.</w:t>
      </w:r>
    </w:p>
    <w:p>
      <w:pPr>
        <w:pStyle w:val="ListParagraph"/>
        <w:numPr>
          <w:ilvl w:val="0"/>
          <w:numId w:val="3"/>
        </w:numPr>
        <w:spacing w:after="100" w:line="282" w:lineRule="auto"/>
        <w:jc w:val="left"/>
      </w:pPr>
      <w:r>
        <w:rPr>
          <w:b/>
          <w:bCs/>
          <w:sz w:val="21"/>
          <w:szCs w:val="21"/>
        </w:rPr>
        <w:t xml:space="preserve">Sin cruzar:</w:t>
      </w:r>
      <w:r>
        <w:rPr>
          <w:sz w:val="21"/>
          <w:szCs w:val="21"/>
        </w:rPr>
        <w:t xml:space="preserve"> «la puntuación media de "culta" es 3,4». Poco informativo.</w:t>
      </w:r>
    </w:p>
    <w:p>
      <w:pPr>
        <w:pStyle w:val="ListParagraph"/>
        <w:numPr>
          <w:ilvl w:val="0"/>
          <w:numId w:val="3"/>
        </w:numPr>
        <w:spacing w:after="100" w:line="282" w:lineRule="auto"/>
        <w:jc w:val="left"/>
      </w:pPr>
      <w:r>
        <w:rPr>
          <w:b/>
          <w:bCs/>
          <w:sz w:val="21"/>
          <w:szCs w:val="21"/>
        </w:rPr>
        <w:t xml:space="preserve">Cruzando por zona:</w:t>
      </w:r>
      <w:r>
        <w:rPr>
          <w:sz w:val="21"/>
          <w:szCs w:val="21"/>
        </w:rPr>
        <w:t xml:space="preserve"> «meridional 2,9 · septentrional 3,8». Ahí hay una tesis.</w:t>
      </w:r>
    </w:p>
    <w:p>
      <w:pPr>
        <w:spacing w:after="80" w:line="240" w:lineRule="auto"/>
      </w:pPr>
      <w:r>
        <w:rPr>
          <w:sz w:val="6"/>
          <w:szCs w:val="6"/>
        </w:rPr>
        <w:t xml:space="preserve"/>
      </w:r>
    </w:p>
    <w:p>
      <w:pPr>
        <w:spacing w:after="150" w:line="288" w:lineRule="auto"/>
        <w:jc w:val="both"/>
      </w:pPr>
      <w:r>
        <w:rPr>
          <w:sz w:val="21"/>
          <w:szCs w:val="21"/>
        </w:rPr>
        <w:t xml:space="preserve">Cuando se cruzan dos variables </w:t>
      </w:r>
      <w:r>
        <w:rPr>
          <w:b/>
          <w:bCs/>
          <w:sz w:val="21"/>
          <w:szCs w:val="21"/>
        </w:rPr>
        <w:t xml:space="preserve">categóricas</w:t>
      </w:r>
      <w:r>
        <w:rPr>
          <w:sz w:val="21"/>
          <w:szCs w:val="21"/>
        </w:rPr>
        <w:t xml:space="preserve"> y se cuentan los casos de cada combinación, la tabla resultante se llama </w:t>
      </w:r>
      <w:r>
        <w:rPr>
          <w:b/>
          <w:bCs/>
          <w:sz w:val="21"/>
          <w:szCs w:val="21"/>
        </w:rPr>
        <w:t xml:space="preserve">tabla de contingencia</w:t>
      </w:r>
      <w:r>
        <w:rPr>
          <w:sz w:val="21"/>
          <w:szCs w:val="21"/>
        </w:rPr>
        <w:t xml:space="preserve"> (o tabla cruzada / </w:t>
      </w:r>
      <w:r>
        <w:rPr>
          <w:i/>
          <w:iCs/>
          <w:sz w:val="21"/>
          <w:szCs w:val="21"/>
        </w:rPr>
        <w:t xml:space="preserve">crosstab</w:t>
      </w:r>
      <w:r>
        <w:rPr>
          <w:sz w:val="21"/>
          <w:szCs w:val="21"/>
        </w:rPr>
        <w:t xml:space="preserve">). Ejemplo:</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896"/>
        <w:gridCol w:w="3620"/>
        <w:gridCol w:w="1448"/>
        <w:gridCol w:w="1447"/>
      </w:tblGrid>
      <w:tr>
        <w:trPr>
          <w:cantSplit/>
          <w:tblHeader/>
        </w:trPr>
        <w:tc>
          <w:tcPr>
            <w:tcW w:type="dxa" w:w="2896"/>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
            </w:r>
          </w:p>
        </w:tc>
        <w:tc>
          <w:tcPr>
            <w:tcW w:type="dxa" w:w="362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Estudios percibidos: Bajo</w:t>
            </w:r>
          </w:p>
        </w:tc>
        <w:tc>
          <w:tcPr>
            <w:tcW w:type="dxa" w:w="1448"/>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Medio</w:t>
            </w:r>
          </w:p>
        </w:tc>
        <w:tc>
          <w:tcPr>
            <w:tcW w:type="dxa" w:w="1447"/>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Alto</w:t>
            </w:r>
          </w:p>
        </w:tc>
      </w:tr>
      <w:tr>
        <w:trPr>
          <w:cantSplit/>
          <w:tblHeader w:val="false"/>
        </w:trPr>
        <w:tc>
          <w:tcPr>
            <w:tcW w:type="dxa" w:w="2896"/>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Acento meridional</w:t>
            </w:r>
          </w:p>
        </w:tc>
        <w:tc>
          <w:tcPr>
            <w:tcW w:type="dxa" w:w="362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41</w:t>
            </w:r>
          </w:p>
        </w:tc>
        <w:tc>
          <w:tcPr>
            <w:tcW w:type="dxa" w:w="1448"/>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58</w:t>
            </w:r>
          </w:p>
        </w:tc>
        <w:tc>
          <w:tcPr>
            <w:tcW w:type="dxa" w:w="144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21</w:t>
            </w:r>
          </w:p>
        </w:tc>
      </w:tr>
      <w:tr>
        <w:trPr>
          <w:cantSplit/>
          <w:tblHeader w:val="false"/>
        </w:trPr>
        <w:tc>
          <w:tcPr>
            <w:tcW w:type="dxa" w:w="2896"/>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Acento septentrional</w:t>
            </w:r>
          </w:p>
        </w:tc>
        <w:tc>
          <w:tcPr>
            <w:tcW w:type="dxa" w:w="362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18</w:t>
            </w:r>
          </w:p>
        </w:tc>
        <w:tc>
          <w:tcPr>
            <w:tcW w:type="dxa" w:w="1448"/>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62</w:t>
            </w:r>
          </w:p>
        </w:tc>
        <w:tc>
          <w:tcPr>
            <w:tcW w:type="dxa" w:w="144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88</w:t>
            </w:r>
          </w:p>
        </w:tc>
      </w:tr>
    </w:tbl>
    <w:p>
      <w:pPr>
        <w:spacing w:after="160" w:line="240" w:lineRule="auto"/>
      </w:pPr>
      <w:r>
        <w:rPr>
          <w:sz w:val="6"/>
          <w:szCs w:val="6"/>
        </w:rPr>
        <w:t xml:space="preserve"/>
      </w:r>
    </w:p>
    <w:p>
      <w:pPr>
        <w:spacing w:after="150" w:line="288" w:lineRule="auto"/>
        <w:jc w:val="both"/>
      </w:pPr>
      <w:r>
        <w:rPr>
          <w:sz w:val="21"/>
          <w:szCs w:val="21"/>
        </w:rPr>
        <w:t xml:space="preserve">Esa tabla es exactamente lo que se somete después a una prueba de </w:t>
      </w:r>
      <w:r>
        <w:rPr>
          <w:b/>
          <w:bCs/>
          <w:sz w:val="21"/>
          <w:szCs w:val="21"/>
        </w:rPr>
        <w:t xml:space="preserve">chi-cuadrado</w:t>
      </w:r>
      <w:r>
        <w:rPr>
          <w:sz w:val="21"/>
          <w:szCs w:val="21"/>
        </w:rPr>
        <w:t xml:space="preserve"> (§11) para saber si el patrón es real o casualidad.</w:t>
      </w:r>
    </w:p>
    <w:p>
      <w:pPr>
        <w:pStyle w:val="Heading2"/>
        <w:keepNext/>
        <w:spacing w:after="120" w:before="340" w:line="288" w:lineRule="auto"/>
      </w:pPr>
      <w:bookmarkStart w:name="h32" w:id="32"/>
      <w:r>
        <w:rPr>
          <w:rFonts w:ascii="Calibri" w:cs="Calibri" w:eastAsia="Calibri" w:hAnsi="Calibri"/>
          <w:b/>
          <w:bCs/>
          <w:color w:val="1F66F0"/>
          <w:sz w:val="24"/>
          <w:szCs w:val="24"/>
        </w:rPr>
        <w:t xml:space="preserve">9.1 Cruces que la aplicación ya hace</w:t>
      </w:r>
      <w:bookmarkEnd w:id="32"/>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721"/>
        <w:gridCol w:w="797"/>
        <w:gridCol w:w="1450"/>
        <w:gridCol w:w="4443"/>
      </w:tblGrid>
      <w:tr>
        <w:trPr>
          <w:cantSplit/>
          <w:tblHeader/>
        </w:trPr>
        <w:tc>
          <w:tcPr>
            <w:tcW w:type="dxa" w:w="2721"/>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VD</w:t>
            </w:r>
          </w:p>
        </w:tc>
        <w:tc>
          <w:tcPr>
            <w:tcW w:type="dxa" w:w="797"/>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w:t>
            </w:r>
          </w:p>
        </w:tc>
        <w:tc>
          <w:tcPr>
            <w:tcW w:type="dxa" w:w="145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VI</w:t>
            </w:r>
          </w:p>
        </w:tc>
        <w:tc>
          <w:tcPr>
            <w:tcW w:type="dxa" w:w="4443"/>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Dónde se ve</w:t>
            </w:r>
          </w:p>
        </w:tc>
      </w:tr>
      <w:tr>
        <w:trPr>
          <w:cantSplit/>
          <w:tblHeader w:val="false"/>
        </w:trPr>
        <w:tc>
          <w:tcPr>
            <w:tcW w:type="dxa" w:w="272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Índices de voz / persona / cultura</w:t>
            </w:r>
          </w:p>
        </w:tc>
        <w:tc>
          <w:tcPr>
            <w:tcW w:type="dxa" w:w="79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w:t>
            </w:r>
          </w:p>
        </w:tc>
        <w:tc>
          <w:tcPr>
            <w:tcW w:type="dxa" w:w="14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Ciudad (12)</w:t>
            </w:r>
          </w:p>
        </w:tc>
        <w:tc>
          <w:tcPr>
            <w:tcW w:type="dxa" w:w="444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«Las cuatro medidas, ciudad a ciudad»</w:t>
            </w:r>
          </w:p>
        </w:tc>
      </w:tr>
      <w:tr>
        <w:trPr>
          <w:cantSplit/>
          <w:tblHeader w:val="false"/>
        </w:trPr>
        <w:tc>
          <w:tcPr>
            <w:tcW w:type="dxa" w:w="272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Cada ítem por separado</w:t>
            </w:r>
          </w:p>
        </w:tc>
        <w:tc>
          <w:tcPr>
            <w:tcW w:type="dxa" w:w="79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w:t>
            </w:r>
          </w:p>
        </w:tc>
        <w:tc>
          <w:tcPr>
            <w:tcW w:type="dxa" w:w="14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Ciudad (12)</w:t>
            </w:r>
          </w:p>
        </w:tc>
        <w:tc>
          <w:tcPr>
            <w:tcW w:type="dxa" w:w="4443"/>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«Compara un rasgo concreto»</w:t>
            </w:r>
          </w:p>
        </w:tc>
      </w:tr>
      <w:tr>
        <w:trPr>
          <w:cantSplit/>
          <w:tblHeader w:val="false"/>
        </w:trPr>
        <w:tc>
          <w:tcPr>
            <w:tcW w:type="dxa" w:w="272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Perfil completo de los 23 ítems</w:t>
            </w:r>
          </w:p>
        </w:tc>
        <w:tc>
          <w:tcPr>
            <w:tcW w:type="dxa" w:w="79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w:t>
            </w:r>
          </w:p>
        </w:tc>
        <w:tc>
          <w:tcPr>
            <w:tcW w:type="dxa" w:w="14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Zona dialectal</w:t>
            </w:r>
          </w:p>
        </w:tc>
        <w:tc>
          <w:tcPr>
            <w:tcW w:type="dxa" w:w="444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Gráficas de radar por zona</w:t>
            </w:r>
          </w:p>
        </w:tc>
      </w:tr>
      <w:tr>
        <w:trPr>
          <w:cantSplit/>
          <w:tblHeader w:val="false"/>
        </w:trPr>
        <w:tc>
          <w:tcPr>
            <w:tcW w:type="dxa" w:w="272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Proximidad</w:t>
            </w:r>
          </w:p>
        </w:tc>
        <w:tc>
          <w:tcPr>
            <w:tcW w:type="dxa" w:w="79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w:t>
            </w:r>
          </w:p>
        </w:tc>
        <w:tc>
          <w:tcPr>
            <w:tcW w:type="dxa" w:w="14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Ciudad</w:t>
            </w:r>
          </w:p>
        </w:tc>
        <w:tc>
          <w:tcPr>
            <w:tcW w:type="dxa" w:w="4443"/>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Barras de proximidad</w:t>
            </w:r>
          </w:p>
        </w:tc>
      </w:tr>
      <w:tr>
        <w:trPr>
          <w:cantSplit/>
          <w:tblHeader w:val="false"/>
        </w:trPr>
        <w:tc>
          <w:tcPr>
            <w:tcW w:type="dxa" w:w="272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Nivel de ingresos percibido</w:t>
            </w:r>
          </w:p>
        </w:tc>
        <w:tc>
          <w:tcPr>
            <w:tcW w:type="dxa" w:w="79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w:t>
            </w:r>
          </w:p>
        </w:tc>
        <w:tc>
          <w:tcPr>
            <w:tcW w:type="dxa" w:w="14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Ciudad</w:t>
            </w:r>
          </w:p>
        </w:tc>
        <w:tc>
          <w:tcPr>
            <w:tcW w:type="dxa" w:w="444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Barras apiladas</w:t>
            </w:r>
          </w:p>
        </w:tc>
      </w:tr>
      <w:tr>
        <w:trPr>
          <w:cantSplit/>
          <w:tblHeader w:val="false"/>
        </w:trPr>
        <w:tc>
          <w:tcPr>
            <w:tcW w:type="dxa" w:w="272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Nivel de estudios percibido</w:t>
            </w:r>
          </w:p>
        </w:tc>
        <w:tc>
          <w:tcPr>
            <w:tcW w:type="dxa" w:w="79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w:t>
            </w:r>
          </w:p>
        </w:tc>
        <w:tc>
          <w:tcPr>
            <w:tcW w:type="dxa" w:w="14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Ciudad</w:t>
            </w:r>
          </w:p>
        </w:tc>
        <w:tc>
          <w:tcPr>
            <w:tcW w:type="dxa" w:w="4443"/>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Barras apiladas</w:t>
            </w:r>
          </w:p>
        </w:tc>
      </w:tr>
      <w:tr>
        <w:trPr>
          <w:cantSplit/>
          <w:tblHeader w:val="false"/>
        </w:trPr>
        <w:tc>
          <w:tcPr>
            <w:tcW w:type="dxa" w:w="272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 de aciertos de región</w:t>
            </w:r>
          </w:p>
        </w:tc>
        <w:tc>
          <w:tcPr>
            <w:tcW w:type="dxa" w:w="79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w:t>
            </w:r>
          </w:p>
        </w:tc>
        <w:tc>
          <w:tcPr>
            <w:tcW w:type="dxa" w:w="14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Ciudad</w:t>
            </w:r>
          </w:p>
        </w:tc>
        <w:tc>
          <w:tcPr>
            <w:tcW w:type="dxa" w:w="444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Barras de aciertos</w:t>
            </w:r>
          </w:p>
        </w:tc>
      </w:tr>
      <w:tr>
        <w:trPr>
          <w:cantSplit/>
          <w:tblHeader w:val="false"/>
        </w:trPr>
        <w:tc>
          <w:tcPr>
            <w:tcW w:type="dxa" w:w="272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Preguntas de género (sí/no)</w:t>
            </w:r>
          </w:p>
        </w:tc>
        <w:tc>
          <w:tcPr>
            <w:tcW w:type="dxa" w:w="79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w:t>
            </w:r>
          </w:p>
        </w:tc>
        <w:tc>
          <w:tcPr>
            <w:tcW w:type="dxa" w:w="14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Ciudad</w:t>
            </w:r>
          </w:p>
        </w:tc>
        <w:tc>
          <w:tcPr>
            <w:tcW w:type="dxa" w:w="4443"/>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Barras sí/no por ciudad</w:t>
            </w:r>
          </w:p>
        </w:tc>
      </w:tr>
      <w:tr>
        <w:trPr>
          <w:cantSplit/>
          <w:tblHeader w:val="false"/>
        </w:trPr>
        <w:tc>
          <w:tcPr>
            <w:tcW w:type="dxa" w:w="272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Región percibida</w:t>
            </w:r>
          </w:p>
        </w:tc>
        <w:tc>
          <w:tcPr>
            <w:tcW w:type="dxa" w:w="797"/>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w:t>
            </w:r>
          </w:p>
        </w:tc>
        <w:tc>
          <w:tcPr>
            <w:tcW w:type="dxa" w:w="14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Ciudad</w:t>
            </w:r>
          </w:p>
        </w:tc>
        <w:tc>
          <w:tcPr>
            <w:tcW w:type="dxa" w:w="444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Distribución por grabación</w:t>
            </w:r>
          </w:p>
        </w:tc>
      </w:tr>
      <w:tr>
        <w:trPr>
          <w:cantSplit/>
          <w:tblHeader w:val="false"/>
        </w:trPr>
        <w:tc>
          <w:tcPr>
            <w:tcW w:type="dxa" w:w="272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Perfil de cada ciudad</w:t>
            </w:r>
          </w:p>
        </w:tc>
        <w:tc>
          <w:tcPr>
            <w:tcW w:type="dxa" w:w="797"/>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w:t>
            </w:r>
          </w:p>
        </w:tc>
        <w:tc>
          <w:tcPr>
            <w:tcW w:type="dxa" w:w="14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Media de las 12</w:t>
            </w:r>
          </w:p>
        </w:tc>
        <w:tc>
          <w:tcPr>
            <w:tcW w:type="dxa" w:w="4443"/>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Cada pestaña de ciudad compara la ciudad con el promedio general</w:t>
            </w:r>
          </w:p>
        </w:tc>
      </w:tr>
    </w:tbl>
    <w:p>
      <w:pPr>
        <w:spacing w:after="160" w:line="240" w:lineRule="auto"/>
      </w:pPr>
      <w:r>
        <w:rPr>
          <w:sz w:val="6"/>
          <w:szCs w:val="6"/>
        </w:rPr>
        <w:t xml:space="preserve"/>
      </w:r>
    </w:p>
    <w:p>
      <w:pPr>
        <w:spacing w:after="150" w:line="288" w:lineRule="auto"/>
        <w:jc w:val="both"/>
      </w:pPr>
      <w:r>
        <w:rPr>
          <w:sz w:val="21"/>
          <w:szCs w:val="21"/>
        </w:rPr>
        <w:t xml:space="preserve">Es decir: </w:t>
      </w:r>
      <w:r>
        <w:rPr>
          <w:b/>
          <w:bCs/>
          <w:sz w:val="21"/>
          <w:szCs w:val="21"/>
        </w:rPr>
        <w:t xml:space="preserve">la aplicación cruza sistemáticamente todas las VD por la VI experimental</w:t>
      </w:r>
      <w:r>
        <w:rPr>
          <w:sz w:val="21"/>
          <w:szCs w:val="21"/>
        </w:rPr>
        <w:t xml:space="preserve"> (ciudad y zona). Eso está completo.</w:t>
      </w:r>
    </w:p>
    <w:p>
      <w:pPr>
        <w:pStyle w:val="Heading2"/>
        <w:keepNext/>
        <w:spacing w:after="120" w:before="340" w:line="288" w:lineRule="auto"/>
      </w:pPr>
      <w:bookmarkStart w:name="h33" w:id="33"/>
      <w:r>
        <w:rPr>
          <w:rFonts w:ascii="Calibri" w:cs="Calibri" w:eastAsia="Calibri" w:hAnsi="Calibri"/>
          <w:b/>
          <w:bCs/>
          <w:color w:val="1F66F0"/>
          <w:sz w:val="24"/>
          <w:szCs w:val="24"/>
        </w:rPr>
        <w:t xml:space="preserve">9.2 Cruces que faltan y hay que hacer fuera, con el CSV</w:t>
      </w:r>
      <w:bookmarkEnd w:id="33"/>
    </w:p>
    <w:p>
      <w:pPr>
        <w:spacing w:after="150" w:line="288" w:lineRule="auto"/>
        <w:jc w:val="both"/>
      </w:pPr>
      <w:r>
        <w:rPr>
          <w:sz w:val="21"/>
          <w:szCs w:val="21"/>
        </w:rPr>
        <w:t xml:space="preserve">La aplicación </w:t>
      </w:r>
      <w:r>
        <w:rPr>
          <w:b/>
          <w:bCs/>
          <w:sz w:val="21"/>
          <w:szCs w:val="21"/>
        </w:rPr>
        <w:t xml:space="preserve">no cruza todavía por las características del participante</w:t>
      </w:r>
      <w:r>
        <w:rPr>
          <w:sz w:val="21"/>
          <w:szCs w:val="21"/>
        </w:rPr>
        <w:t xml:space="preserve">. Y ahí es donde están algunas de las preguntas más interesantes: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5490"/>
        <w:gridCol w:w="3921"/>
      </w:tblGrid>
      <w:tr>
        <w:trPr>
          <w:cantSplit/>
          <w:tblHeader/>
        </w:trPr>
        <w:tc>
          <w:tcPr>
            <w:tcW w:type="dxa" w:w="549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Pregunta de investigación</w:t>
            </w:r>
          </w:p>
        </w:tc>
        <w:tc>
          <w:tcPr>
            <w:tcW w:type="dxa" w:w="3921"/>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Cruce necesario</w:t>
            </w:r>
          </w:p>
        </w:tc>
      </w:tr>
      <w:tr>
        <w:trPr>
          <w:cantSplit/>
          <w:tblHeader w:val="false"/>
        </w:trPr>
        <w:tc>
          <w:tcPr>
            <w:tcW w:type="dxa" w:w="549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¿Quien tiene más nivel de español discrimina más entre acentos?</w:t>
            </w:r>
          </w:p>
        </w:tc>
        <w:tc>
          <w:tcPr>
            <w:tcW w:type="dxa" w:w="392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Índices × Nivel de español × Zona</w:t>
            </w:r>
          </w:p>
        </w:tc>
      </w:tr>
      <w:tr>
        <w:trPr>
          <w:cantSplit/>
          <w:tblHeader w:val="false"/>
        </w:trPr>
        <w:tc>
          <w:tcPr>
            <w:tcW w:type="dxa" w:w="549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¿Haber estado en España cambia la actitud?</w:t>
            </w:r>
          </w:p>
        </w:tc>
        <w:tc>
          <w:tcPr>
            <w:tcW w:type="dxa" w:w="392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Índices × ¿Visitado España? × Zona</w:t>
            </w:r>
          </w:p>
        </w:tc>
      </w:tr>
      <w:tr>
        <w:trPr>
          <w:cantSplit/>
          <w:tblHeader w:val="false"/>
        </w:trPr>
        <w:tc>
          <w:tcPr>
            <w:tcW w:type="dxa" w:w="549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¿Las mujeres perciben más el trato diferenciado a Mariam?</w:t>
            </w:r>
          </w:p>
        </w:tc>
        <w:tc>
          <w:tcPr>
            <w:tcW w:type="dxa" w:w="392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 síes × Género del participante</w:t>
            </w:r>
          </w:p>
        </w:tc>
      </w:tr>
      <w:tr>
        <w:trPr>
          <w:cantSplit/>
          <w:tblHeader w:val="false"/>
        </w:trPr>
        <w:tc>
          <w:tcPr>
            <w:tcW w:type="dxa" w:w="549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¿Los mayores tienen prejuicios más marcados?</w:t>
            </w:r>
          </w:p>
        </w:tc>
        <w:tc>
          <w:tcPr>
            <w:tcW w:type="dxa" w:w="392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Índices × Edad (o tramos) × Zona</w:t>
            </w:r>
          </w:p>
        </w:tc>
      </w:tr>
      <w:tr>
        <w:trPr>
          <w:cantSplit/>
          <w:tblHeader w:val="false"/>
        </w:trPr>
        <w:tc>
          <w:tcPr>
            <w:tcW w:type="dxa" w:w="549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¿Cuanto más cercano me suena, mejor lo valoro?</w:t>
            </w:r>
          </w:p>
        </w:tc>
        <w:tc>
          <w:tcPr>
            <w:tcW w:type="dxa" w:w="392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Índice de voz × Proximidad (correlación)</w:t>
            </w:r>
          </w:p>
        </w:tc>
      </w:tr>
      <w:tr>
        <w:trPr>
          <w:cantSplit/>
          <w:tblHeader w:val="false"/>
        </w:trPr>
        <w:tc>
          <w:tcPr>
            <w:tcW w:type="dxa" w:w="549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¿Se valora mejor un acento cuando se acierta su procedencia?</w:t>
            </w:r>
          </w:p>
        </w:tc>
        <w:tc>
          <w:tcPr>
            <w:tcW w:type="dxa" w:w="392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Índices × Acierto (sí/no)</w:t>
            </w:r>
          </w:p>
        </w:tc>
      </w:tr>
      <w:tr>
        <w:trPr>
          <w:cantSplit/>
          <w:tblHeader w:val="false"/>
        </w:trPr>
        <w:tc>
          <w:tcPr>
            <w:tcW w:type="dxa" w:w="549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¿La lengua materna condiciona lo que se percibe?</w:t>
            </w:r>
          </w:p>
        </w:tc>
        <w:tc>
          <w:tcPr>
            <w:tcW w:type="dxa" w:w="392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Índices × Lengua materna × Zona</w:t>
            </w:r>
          </w:p>
        </w:tc>
      </w:tr>
    </w:tbl>
    <w:p>
      <w:pPr>
        <w:spacing w:after="160" w:line="240" w:lineRule="auto"/>
      </w:pPr>
      <w:r>
        <w:rPr>
          <w:sz w:val="6"/>
          <w:szCs w:val="6"/>
        </w:rPr>
        <w:t xml:space="preserve"/>
      </w:r>
    </w:p>
    <w:p>
      <w:pPr>
        <w:spacing w:after="150" w:line="288" w:lineRule="auto"/>
        <w:jc w:val="both"/>
      </w:pPr>
      <w:r>
        <w:rPr>
          <w:sz w:val="21"/>
          <w:szCs w:val="21"/>
        </w:rPr>
        <w:t xml:space="preserve">Todos estos cruces son inmediatos en Excel (tabla dinámica), SPSS o jamovi a partir del CSV exportado, porque el CSV ya trae </w:t>
      </w:r>
      <w:r>
        <w:rPr>
          <w:b/>
          <w:bCs/>
          <w:sz w:val="21"/>
          <w:szCs w:val="21"/>
        </w:rPr>
        <w:t xml:space="preserve">en la misma fila</w:t>
      </w:r>
      <w:r>
        <w:rPr>
          <w:sz w:val="21"/>
          <w:szCs w:val="21"/>
        </w:rPr>
        <w:t xml:space="preserve"> los datos del participante y los de la valoración, además de la </w:t>
      </w:r>
      <w:r>
        <w:rPr>
          <w:b/>
          <w:bCs/>
          <w:sz w:val="21"/>
          <w:szCs w:val="21"/>
        </w:rPr>
        <w:t xml:space="preserve">ciudad y la zona</w:t>
      </w:r>
      <w:r>
        <w:rPr>
          <w:sz w:val="21"/>
          <w:szCs w:val="21"/>
        </w:rPr>
        <w:t xml:space="preserve"> de cada grabación.</w:t>
      </w:r>
    </w:p>
    <w:p>
      <w:pPr>
        <w:pStyle w:val="Heading1"/>
        <w:keepNext/>
        <w:pageBreakBefore/>
        <w:pBdr>
          <w:bottom w:val="single" w:color="1D3C8D" w:sz="8" w:space="8"/>
        </w:pBdr>
        <w:spacing w:after="80" w:before="0" w:line="300" w:lineRule="auto"/>
      </w:pPr>
      <w:bookmarkStart w:name="h34" w:id="34"/>
      <w:r>
        <w:rPr>
          <w:rFonts w:ascii="Calibri" w:cs="Calibri" w:eastAsia="Calibri" w:hAnsi="Calibri"/>
          <w:b/>
          <w:bCs/>
          <w:color w:val="1D3C8D"/>
          <w:sz w:val="30"/>
          <w:szCs w:val="30"/>
        </w:rPr>
        <w:t xml:space="preserve">10. Las herramientas estadísticas que se están usando</w:t>
      </w:r>
      <w:bookmarkEnd w:id="34"/>
    </w:p>
    <w:p>
      <w:pPr>
        <w:spacing w:after="150" w:line="288" w:lineRule="auto"/>
        <w:jc w:val="both"/>
      </w:pPr>
      <w:r>
        <w:rPr>
          <w:sz w:val="21"/>
          <w:szCs w:val="21"/>
        </w:rPr>
        <w:t xml:space="preserve">Aquí hay dos sentidos de «herramienta»: los </w:t>
      </w:r>
      <w:r>
        <w:rPr>
          <w:b/>
          <w:bCs/>
          <w:sz w:val="21"/>
          <w:szCs w:val="21"/>
        </w:rPr>
        <w:t xml:space="preserve">programas</w:t>
      </w:r>
      <w:r>
        <w:rPr>
          <w:sz w:val="21"/>
          <w:szCs w:val="21"/>
        </w:rPr>
        <w:t xml:space="preserve"> y los </w:t>
      </w:r>
      <w:r>
        <w:rPr>
          <w:b/>
          <w:bCs/>
          <w:sz w:val="21"/>
          <w:szCs w:val="21"/>
        </w:rPr>
        <w:t xml:space="preserve">procedimientos estadísticos</w:t>
      </w:r>
      <w:r>
        <w:rPr>
          <w:sz w:val="21"/>
          <w:szCs w:val="21"/>
        </w:rPr>
        <w:t xml:space="preserve">. Van los dos.</w:t>
      </w:r>
    </w:p>
    <w:p>
      <w:pPr>
        <w:pStyle w:val="Heading2"/>
        <w:keepNext/>
        <w:spacing w:after="120" w:before="340" w:line="288" w:lineRule="auto"/>
      </w:pPr>
      <w:bookmarkStart w:name="h35" w:id="35"/>
      <w:r>
        <w:rPr>
          <w:rFonts w:ascii="Calibri" w:cs="Calibri" w:eastAsia="Calibri" w:hAnsi="Calibri"/>
          <w:b/>
          <w:bCs/>
          <w:color w:val="1F66F0"/>
          <w:sz w:val="24"/>
          <w:szCs w:val="24"/>
        </w:rPr>
        <w:t xml:space="preserve">10.1 Herramientas informáticas</w:t>
      </w:r>
      <w:bookmarkEnd w:id="35"/>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620"/>
        <w:gridCol w:w="5791"/>
      </w:tblGrid>
      <w:tr>
        <w:trPr>
          <w:cantSplit/>
          <w:tblHeader/>
        </w:trPr>
        <w:tc>
          <w:tcPr>
            <w:tcW w:type="dxa" w:w="362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Herramienta</w:t>
            </w:r>
          </w:p>
        </w:tc>
        <w:tc>
          <w:tcPr>
            <w:tcW w:type="dxa" w:w="5791"/>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Qué papel juega</w:t>
            </w:r>
          </w:p>
        </w:tc>
      </w:tr>
      <w:tr>
        <w:trPr>
          <w:cantSplit/>
          <w:tblHeader w:val="false"/>
        </w:trPr>
        <w:tc>
          <w:tcPr>
            <w:tcW w:type="dxa" w:w="362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Formulario web propio</w:t>
            </w:r>
            <w:r>
              <w:rPr>
                <w:rFonts w:ascii="Calibri" w:cs="Calibri" w:eastAsia="Calibri" w:hAnsi="Calibri"/>
                <w:color w:val="1F2937"/>
                <w:sz w:val="18"/>
                <w:szCs w:val="18"/>
              </w:rPr>
              <w:t xml:space="preserve"> (Astro)</w:t>
            </w:r>
          </w:p>
        </w:tc>
        <w:tc>
          <w:tcPr>
            <w:tcW w:type="dxa" w:w="579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Recogida de datos. Sustituye al cuestionario en papel y a Google Forms. Valida las respuestas sobre la marcha (nada queda en blanco), reparte las versiones del BIBD automáticamente y </w:t>
            </w:r>
            <w:r>
              <w:rPr>
                <w:rFonts w:ascii="Calibri" w:cs="Calibri" w:eastAsia="Calibri" w:hAnsi="Calibri"/>
                <w:b/>
                <w:bCs/>
                <w:color w:val="1F2937"/>
                <w:sz w:val="18"/>
                <w:szCs w:val="18"/>
              </w:rPr>
              <w:t xml:space="preserve">impide respuestas duplicadas</w:t>
            </w:r>
            <w:r>
              <w:rPr>
                <w:rFonts w:ascii="Calibri" w:cs="Calibri" w:eastAsia="Calibri" w:hAnsi="Calibri"/>
                <w:color w:val="1F2937"/>
                <w:sz w:val="18"/>
                <w:szCs w:val="18"/>
              </w:rPr>
              <w:t xml:space="preserve"> usando el email como clave única.</w:t>
            </w:r>
          </w:p>
        </w:tc>
      </w:tr>
      <w:tr>
        <w:trPr>
          <w:cantSplit/>
          <w:tblHeader w:val="false"/>
        </w:trPr>
        <w:tc>
          <w:tcPr>
            <w:tcW w:type="dxa" w:w="362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Supabase / PostgreSQL</w:t>
            </w:r>
          </w:p>
        </w:tc>
        <w:tc>
          <w:tcPr>
            <w:tcW w:type="dxa" w:w="579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Base de datos. Guarda los datos ya estructurados en dos tablas (participantes y valoraciones), con protección de acceso: solo los investigadores autenticados pueden leer las respuestas.</w:t>
            </w:r>
          </w:p>
        </w:tc>
      </w:tr>
      <w:tr>
        <w:trPr>
          <w:cantSplit/>
          <w:tblHeader w:val="false"/>
        </w:trPr>
        <w:tc>
          <w:tcPr>
            <w:tcW w:type="dxa" w:w="362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Panel de resultados propio</w:t>
            </w:r>
            <w:r>
              <w:rPr>
                <w:rFonts w:ascii="Calibri" w:cs="Calibri" w:eastAsia="Calibri" w:hAnsi="Calibri"/>
                <w:color w:val="1F2937"/>
                <w:sz w:val="18"/>
                <w:szCs w:val="18"/>
              </w:rPr>
              <w:t xml:space="preserve"> (</w:t>
            </w:r>
            <w:r>
              <w:rPr>
                <w:rFonts w:ascii="Consolas" w:cs="Consolas" w:eastAsia="Consolas" w:hAnsi="Consolas"/>
                <w:color w:val="B91C5C"/>
                <w:sz w:val="15"/>
                <w:szCs w:val="15"/>
                <w:shd w:fill="F1F5F9" w:val="clear"/>
              </w:rPr>
              <w:t xml:space="preserve">/admin</w:t>
            </w:r>
            <w:r>
              <w:rPr>
                <w:rFonts w:ascii="Calibri" w:cs="Calibri" w:eastAsia="Calibri" w:hAnsi="Calibri"/>
                <w:color w:val="1F2937"/>
                <w:sz w:val="18"/>
                <w:szCs w:val="18"/>
              </w:rPr>
              <w:t xml:space="preserve">)</w:t>
            </w:r>
          </w:p>
        </w:tc>
        <w:tc>
          <w:tcPr>
            <w:tcW w:type="dxa" w:w="579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Calcula y muestra toda la estadística descriptiva </w:t>
            </w:r>
            <w:r>
              <w:rPr>
                <w:rFonts w:ascii="Calibri" w:cs="Calibri" w:eastAsia="Calibri" w:hAnsi="Calibri"/>
                <w:b/>
                <w:bCs/>
                <w:color w:val="1F2937"/>
                <w:sz w:val="18"/>
                <w:szCs w:val="18"/>
              </w:rPr>
              <w:t xml:space="preserve">en tiempo real</w:t>
            </w:r>
            <w:r>
              <w:rPr>
                <w:rFonts w:ascii="Calibri" w:cs="Calibri" w:eastAsia="Calibri" w:hAnsi="Calibri"/>
                <w:color w:val="1F2937"/>
                <w:sz w:val="18"/>
                <w:szCs w:val="18"/>
              </w:rPr>
              <w:t xml:space="preserve">, según van entrando respuestas. Permite ver el estudio avanzar sin exportar nada.</w:t>
            </w:r>
          </w:p>
        </w:tc>
      </w:tr>
      <w:tr>
        <w:trPr>
          <w:cantSplit/>
          <w:tblHeader w:val="false"/>
        </w:trPr>
        <w:tc>
          <w:tcPr>
            <w:tcW w:type="dxa" w:w="362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Chart.js</w:t>
            </w:r>
          </w:p>
        </w:tc>
        <w:tc>
          <w:tcPr>
            <w:tcW w:type="dxa" w:w="579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Librería de gráficas. Genera las barras, los radares y los sectores del panel.</w:t>
            </w:r>
          </w:p>
        </w:tc>
      </w:tr>
      <w:tr>
        <w:trPr>
          <w:cantSplit/>
          <w:tblHeader w:val="false"/>
        </w:trPr>
        <w:tc>
          <w:tcPr>
            <w:tcW w:type="dxa" w:w="362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Exportación a CSV</w:t>
            </w:r>
          </w:p>
        </w:tc>
        <w:tc>
          <w:tcPr>
            <w:tcW w:type="dxa" w:w="579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El puente hacia el análisis serio. Un botón descarga toda la base de datos aplanada, con acentos correctos para Excel, lista para SPSS, R o jamovi.</w:t>
            </w:r>
          </w:p>
        </w:tc>
      </w:tr>
    </w:tbl>
    <w:p>
      <w:pPr>
        <w:spacing w:after="160" w:line="240" w:lineRule="auto"/>
      </w:pPr>
      <w:r>
        <w:rPr>
          <w:sz w:val="6"/>
          <w:szCs w:val="6"/>
        </w:rPr>
        <w:t xml:space="preserve"/>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b/>
          <w:bCs/>
          <w:color w:val="1E3A8A"/>
          <w:sz w:val="20"/>
          <w:szCs w:val="20"/>
        </w:rPr>
        <w:t xml:space="preserve">Ventaja metodológica que conviene mencionar en la tesis:</w:t>
      </w:r>
      <w:r>
        <w:rPr>
          <w:color w:val="1E3A8A"/>
          <w:sz w:val="20"/>
          <w:szCs w:val="20"/>
        </w:rPr>
        <w:t xml:space="preserve"> al recoger los datos con un formulario propio no hay </w:t>
      </w:r>
      <w:r>
        <w:rPr>
          <w:b/>
          <w:bCs/>
          <w:color w:val="1E3A8A"/>
          <w:sz w:val="20"/>
          <w:szCs w:val="20"/>
        </w:rPr>
        <w:t xml:space="preserve">transcripción manual</w:t>
      </w:r>
      <w:r>
        <w:rPr>
          <w:color w:val="1E3A8A"/>
          <w:sz w:val="20"/>
          <w:szCs w:val="20"/>
        </w:rPr>
        <w:t xml:space="preserve">, y por tanto no hay errores de transcripción. Los datos que se analizan son literalmente los que marcó el informante. También se elimina el problema de los cuestionarios incompletos: el formulario no deja avanzar sin responder.</w:t>
      </w:r>
    </w:p>
    <w:p>
      <w:pPr>
        <w:pStyle w:val="Heading2"/>
        <w:keepNext/>
        <w:spacing w:after="120" w:before="340" w:line="288" w:lineRule="auto"/>
      </w:pPr>
      <w:bookmarkStart w:name="h36" w:id="36"/>
      <w:r>
        <w:rPr>
          <w:rFonts w:ascii="Calibri" w:cs="Calibri" w:eastAsia="Calibri" w:hAnsi="Calibri"/>
          <w:b/>
          <w:bCs/>
          <w:color w:val="1F66F0"/>
          <w:sz w:val="24"/>
          <w:szCs w:val="24"/>
        </w:rPr>
        <w:t xml:space="preserve">10.2 Procedimientos estadísticos ya aplicados</w:t>
      </w:r>
      <w:bookmarkEnd w:id="36"/>
    </w:p>
    <w:p>
      <w:pPr>
        <w:spacing w:after="150" w:line="288" w:lineRule="auto"/>
        <w:jc w:val="both"/>
      </w:pPr>
      <w:r>
        <w:rPr>
          <w:sz w:val="21"/>
          <w:szCs w:val="21"/>
        </w:rPr>
        <w:t xml:space="preserve">Todos pertenecen a la </w:t>
      </w:r>
      <w:r>
        <w:rPr>
          <w:b/>
          <w:bCs/>
          <w:sz w:val="21"/>
          <w:szCs w:val="21"/>
        </w:rPr>
        <w:t xml:space="preserve">estadística descriptiva</w:t>
      </w:r>
      <w:r>
        <w:rPr>
          <w:sz w:val="21"/>
          <w:szCs w:val="21"/>
        </w:rPr>
        <w:t xml:space="preserve">:</w:t>
      </w:r>
    </w:p>
    <w:p>
      <w:pPr>
        <w:pStyle w:val="ListParagraph"/>
        <w:numPr>
          <w:ilvl w:val="0"/>
          <w:numId w:val="2"/>
        </w:numPr>
        <w:spacing w:after="100" w:line="282" w:lineRule="auto"/>
        <w:jc w:val="left"/>
      </w:pPr>
      <w:r>
        <w:rPr>
          <w:b/>
          <w:bCs/>
          <w:sz w:val="21"/>
          <w:szCs w:val="21"/>
        </w:rPr>
        <w:t xml:space="preserve">Recuentos (frecuencias absolutas)</w:t>
      </w:r>
      <w:r>
        <w:rPr>
          <w:sz w:val="21"/>
          <w:szCs w:val="21"/>
        </w:rPr>
        <w:t xml:space="preserve"> — cuántos casos de cada valor.</w:t>
      </w:r>
    </w:p>
    <w:p>
      <w:pPr>
        <w:pStyle w:val="ListParagraph"/>
        <w:numPr>
          <w:ilvl w:val="0"/>
          <w:numId w:val="2"/>
        </w:numPr>
        <w:spacing w:after="100" w:line="282" w:lineRule="auto"/>
        <w:jc w:val="left"/>
      </w:pPr>
      <w:r>
        <w:rPr>
          <w:b/>
          <w:bCs/>
          <w:sz w:val="21"/>
          <w:szCs w:val="21"/>
        </w:rPr>
        <w:t xml:space="preserve">Porcentajes (frecuencias relativas)</w:t>
      </w:r>
      <w:r>
        <w:rPr>
          <w:sz w:val="21"/>
          <w:szCs w:val="21"/>
        </w:rPr>
        <w:t xml:space="preserve"> — imprescindibles cuando los grupos tienen tamaños distintos: comparar «30 síes» con «45 síes» no dice nada si un grupo tiene 40 personas y el otro 200.</w:t>
      </w:r>
    </w:p>
    <w:p>
      <w:pPr>
        <w:pStyle w:val="ListParagraph"/>
        <w:numPr>
          <w:ilvl w:val="0"/>
          <w:numId w:val="2"/>
        </w:numPr>
        <w:spacing w:after="100" w:line="282" w:lineRule="auto"/>
        <w:jc w:val="left"/>
      </w:pPr>
      <w:r>
        <w:rPr>
          <w:b/>
          <w:bCs/>
          <w:sz w:val="21"/>
          <w:szCs w:val="21"/>
        </w:rPr>
        <w:t xml:space="preserve">Media aritmética</w:t>
      </w:r>
      <w:r>
        <w:rPr>
          <w:sz w:val="21"/>
          <w:szCs w:val="21"/>
        </w:rPr>
        <w:t xml:space="preserve"> — la tendencia central de las escalas 1-5, la edad y la proximidad.</w:t>
      </w:r>
    </w:p>
    <w:p>
      <w:pPr>
        <w:pStyle w:val="ListParagraph"/>
        <w:numPr>
          <w:ilvl w:val="0"/>
          <w:numId w:val="2"/>
        </w:numPr>
        <w:spacing w:after="100" w:line="282" w:lineRule="auto"/>
        <w:jc w:val="left"/>
      </w:pPr>
      <w:r>
        <w:rPr>
          <w:b/>
          <w:bCs/>
          <w:sz w:val="21"/>
          <w:szCs w:val="21"/>
        </w:rPr>
        <w:t xml:space="preserve">Agrupación en intervalos (binning)</w:t>
      </w:r>
      <w:r>
        <w:rPr>
          <w:sz w:val="21"/>
          <w:szCs w:val="21"/>
        </w:rPr>
        <w:t xml:space="preserve"> — la edad continua convertida en seis tramos para el histograma.</w:t>
      </w:r>
    </w:p>
    <w:p>
      <w:pPr>
        <w:pStyle w:val="ListParagraph"/>
        <w:numPr>
          <w:ilvl w:val="0"/>
          <w:numId w:val="2"/>
        </w:numPr>
        <w:spacing w:after="100" w:line="282" w:lineRule="auto"/>
        <w:jc w:val="left"/>
      </w:pPr>
      <w:r>
        <w:rPr>
          <w:b/>
          <w:bCs/>
          <w:sz w:val="21"/>
          <w:szCs w:val="21"/>
        </w:rPr>
        <w:t xml:space="preserve">Distribuciones categóricas completas</w:t>
      </w:r>
      <w:r>
        <w:rPr>
          <w:sz w:val="21"/>
          <w:szCs w:val="21"/>
        </w:rPr>
        <w:t xml:space="preserve"> — con ceros explícitos en las categorías vacías.</w:t>
      </w:r>
    </w:p>
    <w:p>
      <w:pPr>
        <w:pStyle w:val="ListParagraph"/>
        <w:numPr>
          <w:ilvl w:val="0"/>
          <w:numId w:val="2"/>
        </w:numPr>
        <w:spacing w:after="100" w:line="282" w:lineRule="auto"/>
        <w:jc w:val="left"/>
      </w:pPr>
      <w:r>
        <w:rPr>
          <w:b/>
          <w:bCs/>
          <w:sz w:val="21"/>
          <w:szCs w:val="21"/>
        </w:rPr>
        <w:t xml:space="preserve">Tasa de acierto</w:t>
      </w:r>
      <w:r>
        <w:rPr>
          <w:sz w:val="21"/>
          <w:szCs w:val="21"/>
        </w:rPr>
        <w:t xml:space="preserve"> — comparación de una respuesta con un valor de referencia conocido, expresada en porcentaje.</w:t>
      </w:r>
    </w:p>
    <w:p>
      <w:pPr>
        <w:pStyle w:val="ListParagraph"/>
        <w:numPr>
          <w:ilvl w:val="0"/>
          <w:numId w:val="2"/>
        </w:numPr>
        <w:spacing w:after="100" w:line="282" w:lineRule="auto"/>
        <w:jc w:val="left"/>
      </w:pPr>
      <w:r>
        <w:rPr>
          <w:b/>
          <w:bCs/>
          <w:sz w:val="21"/>
          <w:szCs w:val="21"/>
        </w:rPr>
        <w:t xml:space="preserve">Ordenación (ranking)</w:t>
      </w:r>
      <w:r>
        <w:rPr>
          <w:sz w:val="21"/>
          <w:szCs w:val="21"/>
        </w:rPr>
        <w:t xml:space="preserve"> — de las 12 ciudades por agradabilidad.</w:t>
      </w:r>
    </w:p>
    <w:p>
      <w:pPr>
        <w:pStyle w:val="ListParagraph"/>
        <w:numPr>
          <w:ilvl w:val="0"/>
          <w:numId w:val="2"/>
        </w:numPr>
        <w:spacing w:after="100" w:line="282" w:lineRule="auto"/>
        <w:jc w:val="left"/>
      </w:pPr>
      <w:r>
        <w:rPr>
          <w:b/>
          <w:bCs/>
          <w:sz w:val="21"/>
          <w:szCs w:val="21"/>
        </w:rPr>
        <w:t xml:space="preserve">Agregación por grupos</w:t>
      </w:r>
      <w:r>
        <w:rPr>
          <w:sz w:val="21"/>
          <w:szCs w:val="21"/>
        </w:rPr>
        <w:t xml:space="preserve"> — las 12 ciudades colapsadas en 2 zonas dialectales.</w:t>
      </w:r>
    </w:p>
    <w:p>
      <w:pPr>
        <w:pStyle w:val="ListParagraph"/>
        <w:numPr>
          <w:ilvl w:val="0"/>
          <w:numId w:val="2"/>
        </w:numPr>
        <w:spacing w:after="100" w:line="282" w:lineRule="auto"/>
        <w:jc w:val="left"/>
      </w:pPr>
      <w:r>
        <w:rPr>
          <w:b/>
          <w:bCs/>
          <w:sz w:val="21"/>
          <w:szCs w:val="21"/>
        </w:rPr>
        <w:t xml:space="preserve">Medidas de equilibrio del muestreo</w:t>
      </w:r>
      <w:r>
        <w:rPr>
          <w:sz w:val="21"/>
          <w:szCs w:val="21"/>
        </w:rPr>
        <w:t xml:space="preserve"> — mínimo, máximo y brecha de escuchas por audio; comprobación automática de la réplica del BIBD.</w:t>
      </w:r>
    </w:p>
    <w:p>
      <w:pPr>
        <w:spacing w:after="80" w:line="240" w:lineRule="auto"/>
      </w:pPr>
      <w:r>
        <w:rPr>
          <w:sz w:val="6"/>
          <w:szCs w:val="6"/>
        </w:rPr>
        <w:t xml:space="preserve"/>
      </w:r>
    </w:p>
    <w:p>
      <w:pPr>
        <w:pStyle w:val="Heading2"/>
        <w:keepNext/>
        <w:spacing w:after="120" w:before="340" w:line="288" w:lineRule="auto"/>
      </w:pPr>
      <w:bookmarkStart w:name="h37" w:id="37"/>
      <w:r>
        <w:rPr>
          <w:rFonts w:ascii="Calibri" w:cs="Calibri" w:eastAsia="Calibri" w:hAnsi="Calibri"/>
          <w:b/>
          <w:bCs/>
          <w:color w:val="1F66F0"/>
          <w:sz w:val="24"/>
          <w:szCs w:val="24"/>
        </w:rPr>
        <w:t xml:space="preserve">10.3 Tipos de gráfica utilizados y qué dice cada uno</w:t>
      </w:r>
      <w:bookmarkEnd w:id="37"/>
    </w:p>
    <w:p>
      <w:pPr>
        <w:spacing w:after="150" w:line="288" w:lineRule="auto"/>
        <w:jc w:val="both"/>
      </w:pPr>
      <w:r>
        <w:rPr>
          <w:sz w:val="21"/>
          <w:szCs w:val="21"/>
        </w:rPr>
        <w:t xml:space="preserve">Elegir mal la gráfica es un error frecuente en las tesis, así que:</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840"/>
        <w:gridCol w:w="3785"/>
        <w:gridCol w:w="3786"/>
      </w:tblGrid>
      <w:tr>
        <w:trPr>
          <w:cantSplit/>
          <w:tblHeader/>
        </w:trPr>
        <w:tc>
          <w:tcPr>
            <w:tcW w:type="dxa" w:w="184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Gráfica</w:t>
            </w:r>
          </w:p>
        </w:tc>
        <w:tc>
          <w:tcPr>
            <w:tcW w:type="dxa" w:w="3785"/>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Para qué se usa aquí</w:t>
            </w:r>
          </w:p>
        </w:tc>
        <w:tc>
          <w:tcPr>
            <w:tcW w:type="dxa" w:w="3786"/>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Cuándo es la correcta</w:t>
            </w:r>
          </w:p>
        </w:tc>
      </w:tr>
      <w:tr>
        <w:trPr>
          <w:cantSplit/>
          <w:tblHeader w:val="false"/>
        </w:trPr>
        <w:tc>
          <w:tcPr>
            <w:tcW w:type="dxa" w:w="184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Barras verticales</w:t>
            </w:r>
          </w:p>
        </w:tc>
        <w:tc>
          <w:tcPr>
            <w:tcW w:type="dxa" w:w="3785"/>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Ranking, medias por ciudad, aciertos</w:t>
            </w:r>
          </w:p>
        </w:tc>
        <w:tc>
          <w:tcPr>
            <w:tcW w:type="dxa" w:w="3786"/>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Comparar una cantidad entre categorías. La opción por defecto y casi siempre la mejor.</w:t>
            </w:r>
          </w:p>
        </w:tc>
      </w:tr>
      <w:tr>
        <w:trPr>
          <w:cantSplit/>
          <w:tblHeader w:val="false"/>
        </w:trPr>
        <w:tc>
          <w:tcPr>
            <w:tcW w:type="dxa" w:w="184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Barras agrupadas</w:t>
            </w:r>
          </w:p>
        </w:tc>
        <w:tc>
          <w:tcPr>
            <w:tcW w:type="dxa" w:w="3785"/>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Las cuatro medidas (voz/persona/cultura/proximidad) ciudad a ciudad</w:t>
            </w:r>
          </w:p>
        </w:tc>
        <w:tc>
          <w:tcPr>
            <w:tcW w:type="dxa" w:w="3786"/>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Comparar </w:t>
            </w:r>
            <w:r>
              <w:rPr>
                <w:rFonts w:ascii="Calibri" w:cs="Calibri" w:eastAsia="Calibri" w:hAnsi="Calibri"/>
                <w:b/>
                <w:bCs/>
                <w:color w:val="1F2937"/>
                <w:sz w:val="18"/>
                <w:szCs w:val="18"/>
              </w:rPr>
              <w:t xml:space="preserve">varias medidas</w:t>
            </w:r>
            <w:r>
              <w:rPr>
                <w:rFonts w:ascii="Calibri" w:cs="Calibri" w:eastAsia="Calibri" w:hAnsi="Calibri"/>
                <w:color w:val="1F2937"/>
                <w:sz w:val="18"/>
                <w:szCs w:val="18"/>
              </w:rPr>
              <w:t xml:space="preserve"> a la vez entre las mismas categorías.</w:t>
            </w:r>
          </w:p>
        </w:tc>
      </w:tr>
      <w:tr>
        <w:trPr>
          <w:cantSplit/>
          <w:tblHeader w:val="false"/>
        </w:trPr>
        <w:tc>
          <w:tcPr>
            <w:tcW w:type="dxa" w:w="184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Barras apiladas</w:t>
            </w:r>
          </w:p>
        </w:tc>
        <w:tc>
          <w:tcPr>
            <w:tcW w:type="dxa" w:w="3785"/>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Ingresos y estudios percibidos por ciudad; sí/no de género</w:t>
            </w:r>
          </w:p>
        </w:tc>
        <w:tc>
          <w:tcPr>
            <w:tcW w:type="dxa" w:w="3786"/>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Mostrar la </w:t>
            </w:r>
            <w:r>
              <w:rPr>
                <w:rFonts w:ascii="Calibri" w:cs="Calibri" w:eastAsia="Calibri" w:hAnsi="Calibri"/>
                <w:b/>
                <w:bCs/>
                <w:color w:val="1F2937"/>
                <w:sz w:val="18"/>
                <w:szCs w:val="18"/>
              </w:rPr>
              <w:t xml:space="preserve">composición interna</w:t>
            </w:r>
            <w:r>
              <w:rPr>
                <w:rFonts w:ascii="Calibri" w:cs="Calibri" w:eastAsia="Calibri" w:hAnsi="Calibri"/>
                <w:color w:val="1F2937"/>
                <w:sz w:val="18"/>
                <w:szCs w:val="18"/>
              </w:rPr>
              <w:t xml:space="preserve"> de cada categoría (qué porcentaje de cada nivel).</w:t>
            </w:r>
          </w:p>
        </w:tc>
      </w:tr>
      <w:tr>
        <w:trPr>
          <w:cantSplit/>
          <w:tblHeader w:val="false"/>
        </w:trPr>
        <w:tc>
          <w:tcPr>
            <w:tcW w:type="dxa" w:w="184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Barras horizontales</w:t>
            </w:r>
          </w:p>
        </w:tc>
        <w:tc>
          <w:tcPr>
            <w:tcW w:type="dxa" w:w="3785"/>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Perfiles de ítems, región percibida</w:t>
            </w:r>
          </w:p>
        </w:tc>
        <w:tc>
          <w:tcPr>
            <w:tcW w:type="dxa" w:w="3786"/>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Cuando las etiquetas son largas («Poco profesional – Profesional») y no caben debajo.</w:t>
            </w:r>
          </w:p>
        </w:tc>
      </w:tr>
      <w:tr>
        <w:trPr>
          <w:cantSplit/>
          <w:tblHeader w:val="false"/>
        </w:trPr>
        <w:tc>
          <w:tcPr>
            <w:tcW w:type="dxa" w:w="184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Gráfico de radar (telaraña)</w:t>
            </w:r>
          </w:p>
        </w:tc>
        <w:tc>
          <w:tcPr>
            <w:tcW w:type="dxa" w:w="3785"/>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Perfil de los 23 ítems, meridional vs. septentrional</w:t>
            </w:r>
          </w:p>
        </w:tc>
        <w:tc>
          <w:tcPr>
            <w:tcW w:type="dxa" w:w="3786"/>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Muy adecuado para el diferencial semántico</w:t>
            </w:r>
            <w:r>
              <w:rPr>
                <w:rFonts w:ascii="Calibri" w:cs="Calibri" w:eastAsia="Calibri" w:hAnsi="Calibri"/>
                <w:color w:val="1F2937"/>
                <w:sz w:val="18"/>
                <w:szCs w:val="18"/>
              </w:rPr>
              <w:t xml:space="preserve">: muestra de un vistazo la «forma» del estereotipo de cada zona. Solo funciona con 2-3 series y escala común (aquí, 1-5 en todos los ejes ✔).</w:t>
            </w:r>
          </w:p>
        </w:tc>
      </w:tr>
      <w:tr>
        <w:trPr>
          <w:cantSplit/>
          <w:tblHeader w:val="false"/>
        </w:trPr>
        <w:tc>
          <w:tcPr>
            <w:tcW w:type="dxa" w:w="184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Histograma</w:t>
            </w:r>
          </w:p>
        </w:tc>
        <w:tc>
          <w:tcPr>
            <w:tcW w:type="dxa" w:w="3785"/>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Distribución de edades por tramos</w:t>
            </w:r>
          </w:p>
        </w:tc>
        <w:tc>
          <w:tcPr>
            <w:tcW w:type="dxa" w:w="3786"/>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Ver la forma de una variable continua. Ojo: un histograma </w:t>
            </w:r>
            <w:r>
              <w:rPr>
                <w:rFonts w:ascii="Calibri" w:cs="Calibri" w:eastAsia="Calibri" w:hAnsi="Calibri"/>
                <w:b/>
                <w:bCs/>
                <w:color w:val="1F2937"/>
                <w:sz w:val="18"/>
                <w:szCs w:val="18"/>
              </w:rPr>
              <w:t xml:space="preserve">no</w:t>
            </w:r>
            <w:r>
              <w:rPr>
                <w:rFonts w:ascii="Calibri" w:cs="Calibri" w:eastAsia="Calibri" w:hAnsi="Calibri"/>
                <w:color w:val="1F2937"/>
                <w:sz w:val="18"/>
                <w:szCs w:val="18"/>
              </w:rPr>
              <w:t xml:space="preserve"> es un gráfico de barras; las categorías tienen orden natural y son intervalos.</w:t>
            </w:r>
          </w:p>
        </w:tc>
      </w:tr>
      <w:tr>
        <w:trPr>
          <w:cantSplit/>
          <w:tblHeader w:val="false"/>
        </w:trPr>
        <w:tc>
          <w:tcPr>
            <w:tcW w:type="dxa" w:w="184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Sectores (donut)</w:t>
            </w:r>
          </w:p>
        </w:tc>
        <w:tc>
          <w:tcPr>
            <w:tcW w:type="dxa" w:w="3785"/>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Preguntas sí/no</w:t>
            </w:r>
          </w:p>
        </w:tc>
        <w:tc>
          <w:tcPr>
            <w:tcW w:type="dxa" w:w="3786"/>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Solo aceptable con </w:t>
            </w:r>
            <w:r>
              <w:rPr>
                <w:rFonts w:ascii="Calibri" w:cs="Calibri" w:eastAsia="Calibri" w:hAnsi="Calibri"/>
                <w:b/>
                <w:bCs/>
                <w:color w:val="1F2937"/>
                <w:sz w:val="18"/>
                <w:szCs w:val="18"/>
              </w:rPr>
              <w:t xml:space="preserve">2 o 3 categorías</w:t>
            </w:r>
            <w:r>
              <w:rPr>
                <w:rFonts w:ascii="Calibri" w:cs="Calibri" w:eastAsia="Calibri" w:hAnsi="Calibri"/>
                <w:color w:val="1F2937"/>
                <w:sz w:val="18"/>
                <w:szCs w:val="18"/>
              </w:rPr>
              <w:t xml:space="preserve">. Con más, siempre barras.</w:t>
            </w:r>
          </w:p>
        </w:tc>
      </w:tr>
    </w:tbl>
    <w:p>
      <w:pPr>
        <w:spacing w:after="160" w:line="240" w:lineRule="auto"/>
      </w:pPr>
      <w:r>
        <w:rPr>
          <w:sz w:val="6"/>
          <w:szCs w:val="6"/>
        </w:rPr>
        <w:t xml:space="preserve"/>
      </w:r>
    </w:p>
    <w:p>
      <w:pPr>
        <w:pStyle w:val="Heading1"/>
        <w:keepNext/>
        <w:pageBreakBefore/>
        <w:pBdr>
          <w:bottom w:val="single" w:color="1D3C8D" w:sz="8" w:space="8"/>
        </w:pBdr>
        <w:spacing w:after="80" w:before="0" w:line="300" w:lineRule="auto"/>
      </w:pPr>
      <w:bookmarkStart w:name="h38" w:id="38"/>
      <w:r>
        <w:rPr>
          <w:rFonts w:ascii="Calibri" w:cs="Calibri" w:eastAsia="Calibri" w:hAnsi="Calibri"/>
          <w:b/>
          <w:bCs/>
          <w:color w:val="1D3C8D"/>
          <w:sz w:val="30"/>
          <w:szCs w:val="30"/>
        </w:rPr>
        <w:t xml:space="preserve">11. Qué falta y qué convendría añadir en el análisis de la tesis</w:t>
      </w:r>
      <w:bookmarkEnd w:id="38"/>
    </w:p>
    <w:p>
      <w:pPr>
        <w:spacing w:after="150" w:line="288" w:lineRule="auto"/>
        <w:jc w:val="both"/>
      </w:pPr>
      <w:r>
        <w:rPr>
          <w:sz w:val="21"/>
          <w:szCs w:val="21"/>
        </w:rPr>
        <w:t xml:space="preserve">Esta sección es la hoja de ruta del capítulo de análisis. Nada de esto lo hace la aplicación: se hace con el CSV descargado, en SPSS, jamovi o R.</w:t>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b/>
          <w:bCs/>
          <w:color w:val="1E3A8A"/>
          <w:sz w:val="20"/>
          <w:szCs w:val="20"/>
        </w:rPr>
        <w:t xml:space="preserve">Recomendación de programa:</w:t>
      </w:r>
      <w:r>
        <w:rPr>
          <w:color w:val="1E3A8A"/>
          <w:sz w:val="20"/>
          <w:szCs w:val="20"/>
        </w:rPr>
        <w:t xml:space="preserve"> </w:t>
      </w:r>
      <w:r>
        <w:rPr>
          <w:b/>
          <w:bCs/>
          <w:color w:val="1E3A8A"/>
          <w:sz w:val="20"/>
          <w:szCs w:val="20"/>
        </w:rPr>
        <w:t xml:space="preserve">jamovi</w:t>
      </w:r>
      <w:r>
        <w:rPr>
          <w:color w:val="1E3A8A"/>
          <w:sz w:val="20"/>
          <w:szCs w:val="20"/>
        </w:rPr>
        <w:t xml:space="preserve"> es gratuito, se parece a SPSS, tiene menús en español, produce las tablas ya con formato de publicación y no requiere escribir código. Para una tesis de filología es con diferencia la opción más razonable. (jamovi.org)</w:t>
      </w:r>
    </w:p>
    <w:p>
      <w:pPr>
        <w:pStyle w:val="Heading2"/>
        <w:keepNext/>
        <w:spacing w:after="120" w:before="340" w:line="288" w:lineRule="auto"/>
      </w:pPr>
      <w:bookmarkStart w:name="h39" w:id="39"/>
      <w:r>
        <w:rPr>
          <w:rFonts w:ascii="Calibri" w:cs="Calibri" w:eastAsia="Calibri" w:hAnsi="Calibri"/>
          <w:b/>
          <w:bCs/>
          <w:color w:val="1F66F0"/>
          <w:sz w:val="24"/>
          <w:szCs w:val="24"/>
        </w:rPr>
        <w:t xml:space="preserve">11.1 Medidas de dispersión — </w:t>
      </w:r>
      <w:r>
        <w:rPr>
          <w:rFonts w:ascii="Calibri" w:cs="Calibri" w:eastAsia="Calibri" w:hAnsi="Calibri"/>
          <w:b/>
          <w:bCs/>
          <w:color w:val="1F66F0"/>
          <w:sz w:val="24"/>
          <w:szCs w:val="24"/>
        </w:rPr>
        <w:t xml:space="preserve">esto es lo más urgente</w:t>
      </w:r>
      <w:bookmarkEnd w:id="39"/>
    </w:p>
    <w:p>
      <w:pPr>
        <w:spacing w:after="150" w:line="288" w:lineRule="auto"/>
        <w:jc w:val="both"/>
      </w:pPr>
      <w:r>
        <w:rPr>
          <w:sz w:val="21"/>
          <w:szCs w:val="21"/>
        </w:rPr>
        <w:t xml:space="preserve">La aplicación da medias, pero </w:t>
      </w:r>
      <w:r>
        <w:rPr>
          <w:b/>
          <w:bCs/>
          <w:sz w:val="21"/>
          <w:szCs w:val="21"/>
        </w:rPr>
        <w:t xml:space="preserve">no da desviaciones típicas</w:t>
      </w:r>
      <w:r>
        <w:rPr>
          <w:sz w:val="21"/>
          <w:szCs w:val="21"/>
        </w:rPr>
        <w:t xml:space="preserve">. Y una media sin dispersión es una media a medias:</w:t>
      </w:r>
    </w:p>
    <w:p>
      <w:pPr>
        <w:pStyle w:val="ListParagraph"/>
        <w:numPr>
          <w:ilvl w:val="0"/>
          <w:numId w:val="3"/>
        </w:numPr>
        <w:spacing w:after="100" w:line="282" w:lineRule="auto"/>
        <w:jc w:val="left"/>
      </w:pPr>
      <w:r>
        <w:rPr>
          <w:sz w:val="21"/>
          <w:szCs w:val="21"/>
        </w:rPr>
        <w:t xml:space="preserve">Media 3,0 con todos respondiendo 3 → </w:t>
      </w:r>
      <w:r>
        <w:rPr>
          <w:b/>
          <w:bCs/>
          <w:sz w:val="21"/>
          <w:szCs w:val="21"/>
        </w:rPr>
        <w:t xml:space="preserve">hay consenso</w:t>
      </w:r>
      <w:r>
        <w:rPr>
          <w:sz w:val="21"/>
          <w:szCs w:val="21"/>
        </w:rPr>
        <w:t xml:space="preserve">.</w:t>
      </w:r>
    </w:p>
    <w:p>
      <w:pPr>
        <w:pStyle w:val="ListParagraph"/>
        <w:numPr>
          <w:ilvl w:val="0"/>
          <w:numId w:val="3"/>
        </w:numPr>
        <w:spacing w:after="100" w:line="282" w:lineRule="auto"/>
        <w:jc w:val="left"/>
      </w:pPr>
      <w:r>
        <w:rPr>
          <w:sz w:val="21"/>
          <w:szCs w:val="21"/>
        </w:rPr>
        <w:t xml:space="preserve">Media 3,0 con la mitad respondiendo 1 y la otra mitad 5 → </w:t>
      </w:r>
      <w:r>
        <w:rPr>
          <w:b/>
          <w:bCs/>
          <w:sz w:val="21"/>
          <w:szCs w:val="21"/>
        </w:rPr>
        <w:t xml:space="preserve">hay polarización</w:t>
      </w:r>
      <w:r>
        <w:rPr>
          <w:sz w:val="21"/>
          <w:szCs w:val="21"/>
        </w:rPr>
        <w:t xml:space="preserve">, que es un resultado radicalmente distinto y mucho más interesante.</w:t>
      </w:r>
    </w:p>
    <w:p>
      <w:pPr>
        <w:spacing w:after="80" w:line="240" w:lineRule="auto"/>
      </w:pPr>
      <w:r>
        <w:rPr>
          <w:sz w:val="6"/>
          <w:szCs w:val="6"/>
        </w:rPr>
        <w:t xml:space="preserve"/>
      </w:r>
    </w:p>
    <w:p>
      <w:pPr>
        <w:spacing w:after="150" w:line="288" w:lineRule="auto"/>
        <w:jc w:val="both"/>
      </w:pPr>
      <w:r>
        <w:rPr>
          <w:sz w:val="21"/>
          <w:szCs w:val="21"/>
        </w:rPr>
        <w:t xml:space="preserve">La </w:t>
      </w:r>
      <w:r>
        <w:rPr>
          <w:b/>
          <w:bCs/>
          <w:sz w:val="21"/>
          <w:szCs w:val="21"/>
        </w:rPr>
        <w:t xml:space="preserve">desviación típica</w:t>
      </w:r>
      <w:r>
        <w:rPr>
          <w:sz w:val="21"/>
          <w:szCs w:val="21"/>
        </w:rPr>
        <w:t xml:space="preserve"> (o «estándar», SD) mide cuánto se alejan las respuestas de la media, en promedio. En una escala de 1 a 5: una SD por debajo de 0,8 indica acuerdo; por encima de 1,3, desacuerdo notable.</w:t>
      </w:r>
    </w:p>
    <w:p>
      <w:pPr>
        <w:spacing w:after="150" w:line="288" w:lineRule="auto"/>
        <w:jc w:val="both"/>
      </w:pPr>
      <w:r>
        <w:rPr>
          <w:b/>
          <w:bCs/>
          <w:sz w:val="21"/>
          <w:szCs w:val="21"/>
        </w:rPr>
        <w:t xml:space="preserve">Toda tabla de medias en la tesis debe llevar su SD y su N al lado.</w:t>
      </w:r>
      <w:r>
        <w:rPr>
          <w:sz w:val="21"/>
          <w:szCs w:val="21"/>
        </w:rPr>
        <w:t xml:space="preserve"> Es obligatorio en cualquier publicación del área. Formato habitual: </w:t>
      </w:r>
      <w:r>
        <w:rPr>
          <w:i/>
          <w:iCs/>
          <w:sz w:val="21"/>
          <w:szCs w:val="21"/>
        </w:rPr>
        <w:t xml:space="preserve">M = 3,42 (DT = 0,87); n = 45</w:t>
      </w:r>
      <w:r>
        <w:rPr>
          <w:sz w:val="21"/>
          <w:szCs w:val="21"/>
        </w:rPr>
        <w:t xml:space="preserve">.</w:t>
      </w:r>
    </w:p>
    <w:p>
      <w:pPr>
        <w:pStyle w:val="Heading2"/>
        <w:keepNext/>
        <w:spacing w:after="120" w:before="340" w:line="288" w:lineRule="auto"/>
      </w:pPr>
      <w:bookmarkStart w:name="h40" w:id="40"/>
      <w:r>
        <w:rPr>
          <w:rFonts w:ascii="Calibri" w:cs="Calibri" w:eastAsia="Calibri" w:hAnsi="Calibri"/>
          <w:b/>
          <w:bCs/>
          <w:color w:val="1F66F0"/>
          <w:sz w:val="24"/>
          <w:szCs w:val="24"/>
        </w:rPr>
        <w:t xml:space="preserve">11.2 Pruebas de contraste (estadística inferencial)</w:t>
      </w:r>
      <w:bookmarkEnd w:id="40"/>
    </w:p>
    <w:p>
      <w:pPr>
        <w:spacing w:after="150" w:line="288" w:lineRule="auto"/>
        <w:jc w:val="both"/>
      </w:pPr>
      <w:r>
        <w:rPr>
          <w:sz w:val="21"/>
          <w:szCs w:val="21"/>
        </w:rPr>
        <w:t xml:space="preserve">Aquí es donde se responde a «¿esta diferencia es real o es casualidad?».</w:t>
      </w:r>
    </w:p>
    <w:p>
      <w:pPr>
        <w:spacing w:after="150" w:line="288" w:lineRule="auto"/>
        <w:jc w:val="both"/>
      </w:pPr>
      <w:r>
        <w:rPr>
          <w:b/>
          <w:bCs/>
          <w:sz w:val="21"/>
          <w:szCs w:val="21"/>
        </w:rPr>
        <w:t xml:space="preserve">El p-valor en una frase:</w:t>
      </w:r>
      <w:r>
        <w:rPr>
          <w:sz w:val="21"/>
          <w:szCs w:val="21"/>
        </w:rPr>
        <w:t xml:space="preserve"> el valor </w:t>
      </w:r>
      <w:r>
        <w:rPr>
          <w:i/>
          <w:iCs/>
          <w:sz w:val="21"/>
          <w:szCs w:val="21"/>
        </w:rPr>
        <w:t xml:space="preserve">p</w:t>
      </w:r>
      <w:r>
        <w:rPr>
          <w:sz w:val="21"/>
          <w:szCs w:val="21"/>
        </w:rPr>
        <w:t xml:space="preserve"> es la probabilidad de haber obtenido una diferencia así de grande </w:t>
      </w:r>
      <w:r>
        <w:rPr>
          <w:b/>
          <w:bCs/>
          <w:sz w:val="21"/>
          <w:szCs w:val="21"/>
        </w:rPr>
        <w:t xml:space="preserve">si en realidad no hubiera ninguna diferencia</w:t>
      </w:r>
      <w:r>
        <w:rPr>
          <w:sz w:val="21"/>
          <w:szCs w:val="21"/>
        </w:rPr>
        <w:t xml:space="preserve">. Si p &lt; 0,05, esa probabilidad es menor del 5 %, y se concluye que la diferencia es </w:t>
      </w:r>
      <w:r>
        <w:rPr>
          <w:b/>
          <w:bCs/>
          <w:sz w:val="21"/>
          <w:szCs w:val="21"/>
        </w:rPr>
        <w:t xml:space="preserve">estadísticamente significativa</w:t>
      </w:r>
      <w:r>
        <w:rPr>
          <w:sz w:val="21"/>
          <w:szCs w:val="21"/>
        </w:rPr>
        <w:t xml:space="preserve">. Se escribe </w:t>
      </w:r>
      <w:r>
        <w:rPr>
          <w:i/>
          <w:iCs/>
          <w:sz w:val="21"/>
          <w:szCs w:val="21"/>
        </w:rPr>
        <w:t xml:space="preserve">p</w:t>
      </w:r>
      <w:r>
        <w:rPr>
          <w:sz w:val="21"/>
          <w:szCs w:val="21"/>
        </w:rPr>
        <w:t xml:space="preserve"> en cursiva.</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294"/>
        <w:gridCol w:w="3294"/>
        <w:gridCol w:w="2823"/>
      </w:tblGrid>
      <w:tr>
        <w:trPr>
          <w:cantSplit/>
          <w:tblHeader/>
        </w:trPr>
        <w:tc>
          <w:tcPr>
            <w:tcW w:type="dxa" w:w="3294"/>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Qué quieres comparar</w:t>
            </w:r>
          </w:p>
        </w:tc>
        <w:tc>
          <w:tcPr>
            <w:tcW w:type="dxa" w:w="3294"/>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Prueba paramétrica</w:t>
            </w:r>
          </w:p>
        </w:tc>
        <w:tc>
          <w:tcPr>
            <w:tcW w:type="dxa" w:w="2823"/>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Alternativa no paramétrica</w:t>
            </w:r>
          </w:p>
        </w:tc>
      </w:tr>
      <w:tr>
        <w:trPr>
          <w:cantSplit/>
          <w:tblHeader w:val="false"/>
        </w:trPr>
        <w:tc>
          <w:tcPr>
            <w:tcW w:type="dxa" w:w="329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Índices de voz/persona/cultura entre </w:t>
            </w:r>
            <w:r>
              <w:rPr>
                <w:rFonts w:ascii="Calibri" w:cs="Calibri" w:eastAsia="Calibri" w:hAnsi="Calibri"/>
                <w:b/>
                <w:bCs/>
                <w:color w:val="1F2937"/>
                <w:sz w:val="18"/>
                <w:szCs w:val="18"/>
              </w:rPr>
              <w:t xml:space="preserve">2 zonas</w:t>
            </w:r>
            <w:r>
              <w:rPr>
                <w:rFonts w:ascii="Calibri" w:cs="Calibri" w:eastAsia="Calibri" w:hAnsi="Calibri"/>
                <w:color w:val="1F2937"/>
                <w:sz w:val="18"/>
                <w:szCs w:val="18"/>
              </w:rPr>
              <w:t xml:space="preserve"> (meridional vs. septentrional)</w:t>
            </w:r>
          </w:p>
        </w:tc>
        <w:tc>
          <w:tcPr>
            <w:tcW w:type="dxa" w:w="329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t de Student</w:t>
            </w:r>
            <w:r>
              <w:rPr>
                <w:rFonts w:ascii="Calibri" w:cs="Calibri" w:eastAsia="Calibri" w:hAnsi="Calibri"/>
                <w:color w:val="1F2937"/>
                <w:sz w:val="18"/>
                <w:szCs w:val="18"/>
              </w:rPr>
              <w:t xml:space="preserve"> para muestras independientes</w:t>
            </w:r>
          </w:p>
        </w:tc>
        <w:tc>
          <w:tcPr>
            <w:tcW w:type="dxa" w:w="282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U de Mann-Whitney</w:t>
            </w:r>
          </w:p>
        </w:tc>
      </w:tr>
      <w:tr>
        <w:trPr>
          <w:cantSplit/>
          <w:tblHeader w:val="false"/>
        </w:trPr>
        <w:tc>
          <w:tcPr>
            <w:tcW w:type="dxa" w:w="3294"/>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Índices entre las </w:t>
            </w:r>
            <w:r>
              <w:rPr>
                <w:rFonts w:ascii="Calibri" w:cs="Calibri" w:eastAsia="Calibri" w:hAnsi="Calibri"/>
                <w:b/>
                <w:bCs/>
                <w:color w:val="1F2937"/>
                <w:sz w:val="18"/>
                <w:szCs w:val="18"/>
              </w:rPr>
              <w:t xml:space="preserve">12 ciudades</w:t>
            </w:r>
          </w:p>
        </w:tc>
        <w:tc>
          <w:tcPr>
            <w:tcW w:type="dxa" w:w="3294"/>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ANOVA</w:t>
            </w:r>
            <w:r>
              <w:rPr>
                <w:rFonts w:ascii="Calibri" w:cs="Calibri" w:eastAsia="Calibri" w:hAnsi="Calibri"/>
                <w:color w:val="1F2937"/>
                <w:sz w:val="18"/>
                <w:szCs w:val="18"/>
              </w:rPr>
              <w:t xml:space="preserve"> de un factor + post-hoc de Bonferroni o Tukey (para saber </w:t>
            </w:r>
            <w:r>
              <w:rPr>
                <w:rFonts w:ascii="Calibri" w:cs="Calibri" w:eastAsia="Calibri" w:hAnsi="Calibri"/>
                <w:i/>
                <w:iCs/>
                <w:color w:val="1F2937"/>
                <w:sz w:val="18"/>
                <w:szCs w:val="18"/>
              </w:rPr>
              <w:t xml:space="preserve">qué</w:t>
            </w:r>
            <w:r>
              <w:rPr>
                <w:rFonts w:ascii="Calibri" w:cs="Calibri" w:eastAsia="Calibri" w:hAnsi="Calibri"/>
                <w:color w:val="1F2937"/>
                <w:sz w:val="18"/>
                <w:szCs w:val="18"/>
              </w:rPr>
              <w:t xml:space="preserve"> pares difieren)</w:t>
            </w:r>
          </w:p>
        </w:tc>
        <w:tc>
          <w:tcPr>
            <w:tcW w:type="dxa" w:w="2823"/>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Kruskal-Wallis</w:t>
            </w:r>
            <w:r>
              <w:rPr>
                <w:rFonts w:ascii="Calibri" w:cs="Calibri" w:eastAsia="Calibri" w:hAnsi="Calibri"/>
                <w:color w:val="1F2937"/>
                <w:sz w:val="18"/>
                <w:szCs w:val="18"/>
              </w:rPr>
              <w:t xml:space="preserve"> + Dunn</w:t>
            </w:r>
          </w:p>
        </w:tc>
      </w:tr>
      <w:tr>
        <w:trPr>
          <w:cantSplit/>
          <w:tblHeader w:val="false"/>
        </w:trPr>
        <w:tc>
          <w:tcPr>
            <w:tcW w:type="dxa" w:w="329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Dos variables </w:t>
            </w:r>
            <w:r>
              <w:rPr>
                <w:rFonts w:ascii="Calibri" w:cs="Calibri" w:eastAsia="Calibri" w:hAnsi="Calibri"/>
                <w:b/>
                <w:bCs/>
                <w:color w:val="1F2937"/>
                <w:sz w:val="18"/>
                <w:szCs w:val="18"/>
              </w:rPr>
              <w:t xml:space="preserve">categóricas</w:t>
            </w:r>
            <w:r>
              <w:rPr>
                <w:rFonts w:ascii="Calibri" w:cs="Calibri" w:eastAsia="Calibri" w:hAnsi="Calibri"/>
                <w:color w:val="1F2937"/>
                <w:sz w:val="18"/>
                <w:szCs w:val="18"/>
              </w:rPr>
              <w:t xml:space="preserve"> (p. ej. zona × nivel de ingresos percibido)</w:t>
            </w:r>
          </w:p>
        </w:tc>
        <w:tc>
          <w:tcPr>
            <w:tcW w:type="dxa" w:w="329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Chi-cuadrado (χ²)</w:t>
            </w:r>
            <w:r>
              <w:rPr>
                <w:rFonts w:ascii="Calibri" w:cs="Calibri" w:eastAsia="Calibri" w:hAnsi="Calibri"/>
                <w:color w:val="1F2937"/>
                <w:sz w:val="18"/>
                <w:szCs w:val="18"/>
              </w:rPr>
              <w:t xml:space="preserve"> de independencia</w:t>
            </w:r>
          </w:p>
        </w:tc>
        <w:tc>
          <w:tcPr>
            <w:tcW w:type="dxa" w:w="282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Exacta de Fisher si hay casillas con pocos casos</w:t>
            </w:r>
          </w:p>
        </w:tc>
      </w:tr>
      <w:tr>
        <w:trPr>
          <w:cantSplit/>
          <w:tblHeader w:val="false"/>
        </w:trPr>
        <w:tc>
          <w:tcPr>
            <w:tcW w:type="dxa" w:w="3294"/>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Relación entre </w:t>
            </w:r>
            <w:r>
              <w:rPr>
                <w:rFonts w:ascii="Calibri" w:cs="Calibri" w:eastAsia="Calibri" w:hAnsi="Calibri"/>
                <w:b/>
                <w:bCs/>
                <w:color w:val="1F2937"/>
                <w:sz w:val="18"/>
                <w:szCs w:val="18"/>
              </w:rPr>
              <w:t xml:space="preserve">dos variables numéricas</w:t>
            </w:r>
            <w:r>
              <w:rPr>
                <w:rFonts w:ascii="Calibri" w:cs="Calibri" w:eastAsia="Calibri" w:hAnsi="Calibri"/>
                <w:color w:val="1F2937"/>
                <w:sz w:val="18"/>
                <w:szCs w:val="18"/>
              </w:rPr>
              <w:t xml:space="preserve"> (p. ej. proximidad e índice de voz)</w:t>
            </w:r>
          </w:p>
        </w:tc>
        <w:tc>
          <w:tcPr>
            <w:tcW w:type="dxa" w:w="3294"/>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correlación de Pearson (r)</w:t>
            </w:r>
          </w:p>
        </w:tc>
        <w:tc>
          <w:tcPr>
            <w:tcW w:type="dxa" w:w="2823"/>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Spearman (ρ)</w:t>
            </w:r>
            <w:r>
              <w:rPr>
                <w:rFonts w:ascii="Calibri" w:cs="Calibri" w:eastAsia="Calibri" w:hAnsi="Calibri"/>
                <w:color w:val="1F2937"/>
                <w:sz w:val="18"/>
                <w:szCs w:val="18"/>
              </w:rPr>
              <w:t xml:space="preserve"> — más adecuada para ordinales</w:t>
            </w:r>
          </w:p>
        </w:tc>
      </w:tr>
      <w:tr>
        <w:trPr>
          <w:cantSplit/>
          <w:tblHeader w:val="false"/>
        </w:trPr>
        <w:tc>
          <w:tcPr>
            <w:tcW w:type="dxa" w:w="329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Varias VI a la vez (zona + nivel de español + género)</w:t>
            </w:r>
          </w:p>
        </w:tc>
        <w:tc>
          <w:tcPr>
            <w:tcW w:type="dxa" w:w="3294"/>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ANOVA factorial</w:t>
            </w:r>
            <w:r>
              <w:rPr>
                <w:rFonts w:ascii="Calibri" w:cs="Calibri" w:eastAsia="Calibri" w:hAnsi="Calibri"/>
                <w:color w:val="1F2937"/>
                <w:sz w:val="18"/>
                <w:szCs w:val="18"/>
              </w:rPr>
              <w:t xml:space="preserve"> o </w:t>
            </w:r>
            <w:r>
              <w:rPr>
                <w:rFonts w:ascii="Calibri" w:cs="Calibri" w:eastAsia="Calibri" w:hAnsi="Calibri"/>
                <w:b/>
                <w:bCs/>
                <w:color w:val="1F2937"/>
                <w:sz w:val="18"/>
                <w:szCs w:val="18"/>
              </w:rPr>
              <w:t xml:space="preserve">regresión lineal múltiple</w:t>
            </w:r>
          </w:p>
        </w:tc>
        <w:tc>
          <w:tcPr>
            <w:tcW w:type="dxa" w:w="2823"/>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w:t>
            </w:r>
          </w:p>
        </w:tc>
      </w:tr>
    </w:tbl>
    <w:p>
      <w:pPr>
        <w:spacing w:after="160" w:line="240" w:lineRule="auto"/>
      </w:pPr>
      <w:r>
        <w:rPr>
          <w:sz w:val="6"/>
          <w:szCs w:val="6"/>
        </w:rPr>
        <w:t xml:space="preserve"/>
      </w:r>
    </w:p>
    <w:p>
      <w:pPr>
        <w:spacing w:after="150" w:line="288" w:lineRule="auto"/>
        <w:jc w:val="both"/>
      </w:pPr>
      <w:r>
        <w:rPr>
          <w:b/>
          <w:bCs/>
          <w:sz w:val="21"/>
          <w:szCs w:val="21"/>
        </w:rPr>
        <w:t xml:space="preserve">«Paramétrica» vs. «no paramétrica», sin tecnicismos:</w:t>
      </w:r>
      <w:r>
        <w:rPr>
          <w:sz w:val="21"/>
          <w:szCs w:val="21"/>
        </w:rPr>
        <w:t xml:space="preserve"> las paramétricas asumen que los datos se distribuyen más o menos en forma de campana; las no paramétricas no asumen nada y trabajan con rangos (posiciones) en vez de con valores. Con escalas de 1-5 y muestras pequeñas, </w:t>
      </w:r>
      <w:r>
        <w:rPr>
          <w:b/>
          <w:bCs/>
          <w:sz w:val="21"/>
          <w:szCs w:val="21"/>
        </w:rPr>
        <w:t xml:space="preserve">lo más prudente es hacer las dos y comprobar que coinciden</w:t>
      </w:r>
      <w:r>
        <w:rPr>
          <w:sz w:val="21"/>
          <w:szCs w:val="21"/>
        </w:rPr>
        <w:t xml:space="preserve">: si la t de Student y la U de Mann-Whitney dan el mismo veredicto, el resultado es sólido y nadie lo va a discutir. Cuesta dos clics más y blinda el capítulo.</w:t>
      </w:r>
    </w:p>
    <w:p>
      <w:pPr>
        <w:pStyle w:val="Heading2"/>
        <w:keepNext/>
        <w:spacing w:after="120" w:before="340" w:line="288" w:lineRule="auto"/>
      </w:pPr>
      <w:bookmarkStart w:name="h41" w:id="41"/>
      <w:r>
        <w:rPr>
          <w:rFonts w:ascii="Calibri" w:cs="Calibri" w:eastAsia="Calibri" w:hAnsi="Calibri"/>
          <w:b/>
          <w:bCs/>
          <w:color w:val="1F66F0"/>
          <w:sz w:val="24"/>
          <w:szCs w:val="24"/>
        </w:rPr>
        <w:t xml:space="preserve">11.3 El tamaño del efecto — el complemento imprescindible del p-valor</w:t>
      </w:r>
      <w:bookmarkEnd w:id="41"/>
    </w:p>
    <w:p>
      <w:pPr>
        <w:spacing w:after="150" w:line="288" w:lineRule="auto"/>
        <w:jc w:val="both"/>
      </w:pPr>
      <w:r>
        <w:rPr>
          <w:sz w:val="21"/>
          <w:szCs w:val="21"/>
        </w:rPr>
        <w:t xml:space="preserve">El p-valor dice </w:t>
      </w:r>
      <w:r>
        <w:rPr>
          <w:b/>
          <w:bCs/>
          <w:sz w:val="21"/>
          <w:szCs w:val="21"/>
        </w:rPr>
        <w:t xml:space="preserve">si</w:t>
      </w:r>
      <w:r>
        <w:rPr>
          <w:sz w:val="21"/>
          <w:szCs w:val="21"/>
        </w:rPr>
        <w:t xml:space="preserve"> hay diferencia; </w:t>
      </w:r>
      <w:r>
        <w:rPr>
          <w:b/>
          <w:bCs/>
          <w:sz w:val="21"/>
          <w:szCs w:val="21"/>
        </w:rPr>
        <w:t xml:space="preserve">no dice si esa diferencia importa</w:t>
      </w:r>
      <w:r>
        <w:rPr>
          <w:sz w:val="21"/>
          <w:szCs w:val="21"/>
        </w:rPr>
        <w:t xml:space="preserve">. Con una muestra muy grande, una diferencia ridícula sale significativa.</w:t>
      </w:r>
    </w:p>
    <w:p>
      <w:pPr>
        <w:spacing w:after="150" w:line="288" w:lineRule="auto"/>
        <w:jc w:val="both"/>
      </w:pPr>
      <w:r>
        <w:rPr>
          <w:sz w:val="21"/>
          <w:szCs w:val="21"/>
        </w:rPr>
        <w:t xml:space="preserve">Por eso hay que informar del </w:t>
      </w:r>
      <w:r>
        <w:rPr>
          <w:b/>
          <w:bCs/>
          <w:sz w:val="21"/>
          <w:szCs w:val="21"/>
        </w:rPr>
        <w:t xml:space="preserve">tamaño del efecto</w:t>
      </w:r>
      <w:r>
        <w:rPr>
          <w:sz w:val="21"/>
          <w:szCs w:val="21"/>
        </w:rPr>
        <w:t xml:space="preserve">:</w:t>
      </w:r>
    </w:p>
    <w:p>
      <w:pPr>
        <w:pStyle w:val="ListParagraph"/>
        <w:numPr>
          <w:ilvl w:val="0"/>
          <w:numId w:val="3"/>
        </w:numPr>
        <w:spacing w:after="100" w:line="282" w:lineRule="auto"/>
        <w:jc w:val="left"/>
      </w:pPr>
      <w:r>
        <w:rPr>
          <w:b/>
          <w:bCs/>
          <w:sz w:val="21"/>
          <w:szCs w:val="21"/>
        </w:rPr>
        <w:t xml:space="preserve">d de Cohen</w:t>
      </w:r>
      <w:r>
        <w:rPr>
          <w:sz w:val="21"/>
          <w:szCs w:val="21"/>
        </w:rPr>
        <w:t xml:space="preserve"> para comparar dos grupos: 0,2 = pequeño · 0,5 = mediano · 0,8 = grande.</w:t>
      </w:r>
    </w:p>
    <w:p>
      <w:pPr>
        <w:pStyle w:val="ListParagraph"/>
        <w:numPr>
          <w:ilvl w:val="0"/>
          <w:numId w:val="3"/>
        </w:numPr>
        <w:spacing w:after="100" w:line="282" w:lineRule="auto"/>
        <w:jc w:val="left"/>
      </w:pPr>
      <w:r>
        <w:rPr>
          <w:b/>
          <w:bCs/>
          <w:sz w:val="21"/>
          <w:szCs w:val="21"/>
        </w:rPr>
        <w:t xml:space="preserve">eta cuadrado (η²)</w:t>
      </w:r>
      <w:r>
        <w:rPr>
          <w:sz w:val="21"/>
          <w:szCs w:val="21"/>
        </w:rPr>
        <w:t xml:space="preserve"> para ANOVA: qué porcentaje de la variación explica la VI.</w:t>
      </w:r>
    </w:p>
    <w:p>
      <w:pPr>
        <w:pStyle w:val="ListParagraph"/>
        <w:numPr>
          <w:ilvl w:val="0"/>
          <w:numId w:val="3"/>
        </w:numPr>
        <w:spacing w:after="100" w:line="282" w:lineRule="auto"/>
        <w:jc w:val="left"/>
      </w:pPr>
      <w:r>
        <w:rPr>
          <w:b/>
          <w:bCs/>
          <w:sz w:val="21"/>
          <w:szCs w:val="21"/>
        </w:rPr>
        <w:t xml:space="preserve">V de Cramer</w:t>
      </w:r>
      <w:r>
        <w:rPr>
          <w:sz w:val="21"/>
          <w:szCs w:val="21"/>
        </w:rPr>
        <w:t xml:space="preserve"> para chi-cuadrado.</w:t>
      </w:r>
    </w:p>
    <w:p>
      <w:pPr>
        <w:spacing w:after="80" w:line="240" w:lineRule="auto"/>
      </w:pPr>
      <w:r>
        <w:rPr>
          <w:sz w:val="6"/>
          <w:szCs w:val="6"/>
        </w:rPr>
        <w:t xml:space="preserve"/>
      </w:r>
    </w:p>
    <w:p>
      <w:pPr>
        <w:spacing w:after="150" w:line="288" w:lineRule="auto"/>
        <w:jc w:val="both"/>
      </w:pPr>
      <w:r>
        <w:rPr>
          <w:sz w:val="21"/>
          <w:szCs w:val="21"/>
        </w:rPr>
        <w:t xml:space="preserve">Una frase de resultados bien construida los lleva todos:</w:t>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color w:val="1E3A8A"/>
          <w:sz w:val="20"/>
          <w:szCs w:val="20"/>
        </w:rPr>
        <w:t xml:space="preserve">«Las variedades meridionales obtuvieron puntuaciones significativamente más bajas en el índice de estatus que las septentrionales (</w:t>
      </w:r>
      <w:r>
        <w:rPr>
          <w:i/>
          <w:iCs/>
          <w:color w:val="1E3A8A"/>
          <w:sz w:val="20"/>
          <w:szCs w:val="20"/>
        </w:rPr>
        <w:t xml:space="preserve">M</w:t>
      </w:r>
      <w:r>
        <w:rPr>
          <w:color w:val="1E3A8A"/>
          <w:sz w:val="20"/>
          <w:szCs w:val="20"/>
        </w:rPr>
        <w:t xml:space="preserve"> = 2,91; </w:t>
      </w:r>
      <w:r>
        <w:rPr>
          <w:i/>
          <w:iCs/>
          <w:color w:val="1E3A8A"/>
          <w:sz w:val="20"/>
          <w:szCs w:val="20"/>
        </w:rPr>
        <w:t xml:space="preserve">DT</w:t>
      </w:r>
      <w:r>
        <w:rPr>
          <w:color w:val="1E3A8A"/>
          <w:sz w:val="20"/>
          <w:szCs w:val="20"/>
        </w:rPr>
        <w:t xml:space="preserve"> = 0,74 frente a </w:t>
      </w:r>
      <w:r>
        <w:rPr>
          <w:i/>
          <w:iCs/>
          <w:color w:val="1E3A8A"/>
          <w:sz w:val="20"/>
          <w:szCs w:val="20"/>
        </w:rPr>
        <w:t xml:space="preserve">M</w:t>
      </w:r>
      <w:r>
        <w:rPr>
          <w:color w:val="1E3A8A"/>
          <w:sz w:val="20"/>
          <w:szCs w:val="20"/>
        </w:rPr>
        <w:t xml:space="preserve"> = 3,68; </w:t>
      </w:r>
      <w:r>
        <w:rPr>
          <w:i/>
          <w:iCs/>
          <w:color w:val="1E3A8A"/>
          <w:sz w:val="20"/>
          <w:szCs w:val="20"/>
        </w:rPr>
        <w:t xml:space="preserve">DT</w:t>
      </w:r>
      <w:r>
        <w:rPr>
          <w:color w:val="1E3A8A"/>
          <w:sz w:val="20"/>
          <w:szCs w:val="20"/>
        </w:rPr>
        <w:t xml:space="preserve"> = 0,69), </w:t>
      </w:r>
      <w:r>
        <w:rPr>
          <w:i/>
          <w:iCs/>
          <w:color w:val="1E3A8A"/>
          <w:sz w:val="20"/>
          <w:szCs w:val="20"/>
        </w:rPr>
        <w:t xml:space="preserve">t</w:t>
      </w:r>
      <w:r>
        <w:rPr>
          <w:color w:val="1E3A8A"/>
          <w:sz w:val="20"/>
          <w:szCs w:val="20"/>
        </w:rPr>
        <w:t xml:space="preserve">(178) = 7,12, </w:t>
      </w:r>
      <w:r>
        <w:rPr>
          <w:i/>
          <w:iCs/>
          <w:color w:val="1E3A8A"/>
          <w:sz w:val="20"/>
          <w:szCs w:val="20"/>
        </w:rPr>
        <w:t xml:space="preserve">p</w:t>
      </w:r>
      <w:r>
        <w:rPr>
          <w:color w:val="1E3A8A"/>
          <w:sz w:val="20"/>
          <w:szCs w:val="20"/>
        </w:rPr>
        <w:t xml:space="preserve"> &lt; 0,001, </w:t>
      </w:r>
      <w:r>
        <w:rPr>
          <w:i/>
          <w:iCs/>
          <w:color w:val="1E3A8A"/>
          <w:sz w:val="20"/>
          <w:szCs w:val="20"/>
        </w:rPr>
        <w:t xml:space="preserve">d</w:t>
      </w:r>
      <w:r>
        <w:rPr>
          <w:color w:val="1E3A8A"/>
          <w:sz w:val="20"/>
          <w:szCs w:val="20"/>
        </w:rPr>
        <w:t xml:space="preserve"> = 1,07, lo que constituye un efecto de magnitud elevada.»</w:t>
      </w:r>
    </w:p>
    <w:p>
      <w:pPr>
        <w:pStyle w:val="Heading2"/>
        <w:keepNext/>
        <w:spacing w:after="120" w:before="340" w:line="288" w:lineRule="auto"/>
      </w:pPr>
      <w:bookmarkStart w:name="h42" w:id="42"/>
      <w:r>
        <w:rPr>
          <w:rFonts w:ascii="Calibri" w:cs="Calibri" w:eastAsia="Calibri" w:hAnsi="Calibri"/>
          <w:b/>
          <w:bCs/>
          <w:color w:val="1F66F0"/>
          <w:sz w:val="24"/>
          <w:szCs w:val="24"/>
        </w:rPr>
        <w:t xml:space="preserve">11.4 Fiabilidad de las escalas: el alfa de Cronbach</w:t>
      </w:r>
      <w:bookmarkEnd w:id="42"/>
    </w:p>
    <w:p>
      <w:pPr>
        <w:spacing w:after="150" w:line="288" w:lineRule="auto"/>
        <w:jc w:val="both"/>
      </w:pPr>
      <w:r>
        <w:rPr>
          <w:sz w:val="21"/>
          <w:szCs w:val="21"/>
        </w:rPr>
        <w:t xml:space="preserve">Antes de promediar 11 ítems en un solo «índice de voz», hay que demostrar que esos 11 ítems </w:t>
      </w:r>
      <w:r>
        <w:rPr>
          <w:b/>
          <w:bCs/>
          <w:sz w:val="21"/>
          <w:szCs w:val="21"/>
        </w:rPr>
        <w:t xml:space="preserve">miden efectivamente lo mismo</w:t>
      </w:r>
      <w:r>
        <w:rPr>
          <w:sz w:val="21"/>
          <w:szCs w:val="21"/>
        </w:rPr>
        <w:t xml:space="preserve">. La medida estándar es el </w:t>
      </w:r>
      <w:r>
        <w:rPr>
          <w:b/>
          <w:bCs/>
          <w:sz w:val="21"/>
          <w:szCs w:val="21"/>
        </w:rPr>
        <w:t xml:space="preserve">alfa de Cronbach (α)</w:t>
      </w:r>
      <w:r>
        <w:rPr>
          <w:sz w:val="21"/>
          <w:szCs w:val="21"/>
        </w:rPr>
        <w:t xml:space="preserve">, que va de 0 a 1:</w:t>
      </w:r>
    </w:p>
    <w:p>
      <w:pPr>
        <w:pStyle w:val="ListParagraph"/>
        <w:numPr>
          <w:ilvl w:val="0"/>
          <w:numId w:val="3"/>
        </w:numPr>
        <w:spacing w:after="100" w:line="282" w:lineRule="auto"/>
        <w:jc w:val="left"/>
      </w:pPr>
      <w:r>
        <w:rPr>
          <w:sz w:val="21"/>
          <w:szCs w:val="21"/>
        </w:rPr>
        <w:t xml:space="preserve">α ≥ 0,70 → aceptable, se puede promediar</w:t>
      </w:r>
    </w:p>
    <w:p>
      <w:pPr>
        <w:pStyle w:val="ListParagraph"/>
        <w:numPr>
          <w:ilvl w:val="0"/>
          <w:numId w:val="3"/>
        </w:numPr>
        <w:spacing w:after="100" w:line="282" w:lineRule="auto"/>
        <w:jc w:val="left"/>
      </w:pPr>
      <w:r>
        <w:rPr>
          <w:sz w:val="21"/>
          <w:szCs w:val="21"/>
        </w:rPr>
        <w:t xml:space="preserve">α ≥ 0,80 → bueno</w:t>
      </w:r>
    </w:p>
    <w:p>
      <w:pPr>
        <w:pStyle w:val="ListParagraph"/>
        <w:numPr>
          <w:ilvl w:val="0"/>
          <w:numId w:val="3"/>
        </w:numPr>
        <w:spacing w:after="100" w:line="282" w:lineRule="auto"/>
        <w:jc w:val="left"/>
      </w:pPr>
      <w:r>
        <w:rPr>
          <w:sz w:val="21"/>
          <w:szCs w:val="21"/>
        </w:rPr>
        <w:t xml:space="preserve">α &lt; 0,70 → los ítems no forman un bloque coherente; hay que revisar cuáles</w:t>
      </w:r>
    </w:p>
    <w:p>
      <w:pPr>
        <w:spacing w:after="80" w:line="240" w:lineRule="auto"/>
      </w:pPr>
      <w:r>
        <w:rPr>
          <w:sz w:val="6"/>
          <w:szCs w:val="6"/>
        </w:rPr>
        <w:t xml:space="preserve"/>
      </w:r>
    </w:p>
    <w:p>
      <w:pPr>
        <w:spacing w:after="150" w:line="288" w:lineRule="auto"/>
        <w:jc w:val="both"/>
      </w:pPr>
      <w:r>
        <w:rPr>
          <w:sz w:val="21"/>
          <w:szCs w:val="21"/>
        </w:rPr>
        <w:t xml:space="preserve">Se calcula en un clic en jamovi o SPSS, y </w:t>
      </w:r>
      <w:r>
        <w:rPr>
          <w:b/>
          <w:bCs/>
          <w:sz w:val="21"/>
          <w:szCs w:val="21"/>
        </w:rPr>
        <w:t xml:space="preserve">es prácticamente obligatorio</w:t>
      </w:r>
      <w:r>
        <w:rPr>
          <w:sz w:val="21"/>
          <w:szCs w:val="21"/>
        </w:rPr>
        <w:t xml:space="preserve"> en cualquier estudio que use escalas sumadas. Una sola frase en la tesis basta: </w:t>
      </w:r>
      <w:r>
        <w:rPr>
          <w:i/>
          <w:iCs/>
          <w:sz w:val="21"/>
          <w:szCs w:val="21"/>
        </w:rPr>
        <w:t xml:space="preserve">«La consistencia interna de la escala de voz fue buena (α = 0,84)»</w:t>
      </w:r>
      <w:r>
        <w:rPr>
          <w:sz w:val="21"/>
          <w:szCs w:val="21"/>
        </w:rPr>
        <w:t xml:space="preserve">.</w:t>
      </w:r>
    </w:p>
    <w:p>
      <w:pPr>
        <w:spacing w:after="150" w:line="288" w:lineRule="auto"/>
        <w:jc w:val="both"/>
      </w:pPr>
      <w:r>
        <w:rPr>
          <w:sz w:val="21"/>
          <w:szCs w:val="21"/>
        </w:rPr>
        <w:t xml:space="preserve">Es más que probable que los tres ítems descriptivos señalados en §6.1 (Rural–Urbana, Lenta–Rápida, Tradicional–Innovadora) </w:t>
      </w:r>
      <w:r>
        <w:rPr>
          <w:b/>
          <w:bCs/>
          <w:sz w:val="21"/>
          <w:szCs w:val="21"/>
        </w:rPr>
        <w:t xml:space="preserve">bajen el alfa</w:t>
      </w:r>
      <w:r>
        <w:rPr>
          <w:sz w:val="21"/>
          <w:szCs w:val="21"/>
        </w:rPr>
        <w:t xml:space="preserve">. Si es así, el propio alfa justifica objetivamente su exclusión del índice: un argumento estadístico, no una decisión arbitraria.</w:t>
      </w:r>
    </w:p>
    <w:p>
      <w:pPr>
        <w:pStyle w:val="Heading2"/>
        <w:keepNext/>
        <w:spacing w:after="120" w:before="340" w:line="288" w:lineRule="auto"/>
      </w:pPr>
      <w:bookmarkStart w:name="h43" w:id="43"/>
      <w:r>
        <w:rPr>
          <w:rFonts w:ascii="Calibri" w:cs="Calibri" w:eastAsia="Calibri" w:hAnsi="Calibri"/>
          <w:b/>
          <w:bCs/>
          <w:color w:val="1F66F0"/>
          <w:sz w:val="24"/>
          <w:szCs w:val="24"/>
        </w:rPr>
        <w:t xml:space="preserve">11.5 Análisis factorial (opcional, pero muy vistoso)</w:t>
      </w:r>
      <w:bookmarkEnd w:id="43"/>
    </w:p>
    <w:p>
      <w:pPr>
        <w:spacing w:after="150" w:line="288" w:lineRule="auto"/>
        <w:jc w:val="both"/>
      </w:pPr>
      <w:r>
        <w:rPr>
          <w:sz w:val="21"/>
          <w:szCs w:val="21"/>
        </w:rPr>
        <w:t xml:space="preserve">El </w:t>
      </w:r>
      <w:r>
        <w:rPr>
          <w:b/>
          <w:bCs/>
          <w:sz w:val="21"/>
          <w:szCs w:val="21"/>
        </w:rPr>
        <w:t xml:space="preserve">análisis factorial exploratorio</w:t>
      </w:r>
      <w:r>
        <w:rPr>
          <w:sz w:val="21"/>
          <w:szCs w:val="21"/>
        </w:rPr>
        <w:t xml:space="preserve"> busca, de forma automática, qué ítems se agrupan entre sí. En la bibliografía clásica de actitudes lingüísticas (desde Lambert en los años 60) los adjetivos suelen agruparse en </w:t>
      </w:r>
      <w:r>
        <w:rPr>
          <w:b/>
          <w:bCs/>
          <w:sz w:val="21"/>
          <w:szCs w:val="21"/>
        </w:rPr>
        <w:t xml:space="preserve">dos grandes dimensiones</w:t>
      </w:r>
      <w:r>
        <w:rPr>
          <w:sz w:val="21"/>
          <w:szCs w:val="21"/>
        </w:rPr>
        <w:t xml:space="preserve">:</w:t>
      </w:r>
    </w:p>
    <w:p>
      <w:pPr>
        <w:pStyle w:val="ListParagraph"/>
        <w:numPr>
          <w:ilvl w:val="0"/>
          <w:numId w:val="3"/>
        </w:numPr>
        <w:spacing w:after="100" w:line="282" w:lineRule="auto"/>
        <w:jc w:val="left"/>
      </w:pPr>
      <w:r>
        <w:rPr>
          <w:b/>
          <w:bCs/>
          <w:sz w:val="21"/>
          <w:szCs w:val="21"/>
        </w:rPr>
        <w:t xml:space="preserve">Estatus / competencia:</w:t>
      </w:r>
      <w:r>
        <w:rPr>
          <w:sz w:val="21"/>
          <w:szCs w:val="21"/>
        </w:rPr>
        <w:t xml:space="preserve"> inteligente, culta, profesional, educada, clara</w:t>
      </w:r>
    </w:p>
    <w:p>
      <w:pPr>
        <w:pStyle w:val="ListParagraph"/>
        <w:numPr>
          <w:ilvl w:val="0"/>
          <w:numId w:val="3"/>
        </w:numPr>
        <w:spacing w:after="100" w:line="282" w:lineRule="auto"/>
        <w:jc w:val="left"/>
      </w:pPr>
      <w:r>
        <w:rPr>
          <w:b/>
          <w:bCs/>
          <w:sz w:val="21"/>
          <w:szCs w:val="21"/>
        </w:rPr>
        <w:t xml:space="preserve">Solidaridad / atracción social:</w:t>
      </w:r>
      <w:r>
        <w:rPr>
          <w:sz w:val="21"/>
          <w:szCs w:val="21"/>
        </w:rPr>
        <w:t xml:space="preserve"> simpática, cercana, agradable, divertida, confiable</w:t>
      </w:r>
    </w:p>
    <w:p>
      <w:pPr>
        <w:spacing w:after="80" w:line="240" w:lineRule="auto"/>
      </w:pPr>
      <w:r>
        <w:rPr>
          <w:sz w:val="6"/>
          <w:szCs w:val="6"/>
        </w:rPr>
        <w:t xml:space="preserve"/>
      </w:r>
    </w:p>
    <w:p>
      <w:pPr>
        <w:spacing w:after="150" w:line="288" w:lineRule="auto"/>
        <w:jc w:val="both"/>
      </w:pPr>
      <w:r>
        <w:rPr>
          <w:sz w:val="21"/>
          <w:szCs w:val="21"/>
        </w:rPr>
        <w:t xml:space="preserve">Y el hallazgo clásico del campo —que esta tesis está en condiciones de replicar con datos españoles— es el siguiente:</w:t>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color w:val="1E3A8A"/>
          <w:sz w:val="20"/>
          <w:szCs w:val="20"/>
        </w:rPr>
        <w:t xml:space="preserve">Las variedades no estándar (meridionales) suelen puntuar </w:t>
      </w:r>
      <w:r>
        <w:rPr>
          <w:b/>
          <w:bCs/>
          <w:color w:val="1E3A8A"/>
          <w:sz w:val="20"/>
          <w:szCs w:val="20"/>
        </w:rPr>
        <w:t xml:space="preserve">bajo en estatus pero alto en solidaridad</w:t>
      </w:r>
      <w:r>
        <w:rPr>
          <w:color w:val="1E3A8A"/>
          <w:sz w:val="20"/>
          <w:szCs w:val="20"/>
        </w:rPr>
        <w:t xml:space="preserve">: «hablan peor, pero me caen mejor».</w:t>
      </w:r>
    </w:p>
    <w:p>
      <w:pPr>
        <w:spacing w:after="150" w:line="288" w:lineRule="auto"/>
        <w:jc w:val="both"/>
      </w:pPr>
      <w:r>
        <w:rPr>
          <w:sz w:val="21"/>
          <w:szCs w:val="21"/>
        </w:rPr>
        <w:t xml:space="preserve">Si los datos reproducen ese patrón, es un resultado de primer orden y una conclusión redonda para la tesis. Y aunque no se llegue a hacer el análisis factorial formal, </w:t>
      </w:r>
      <w:r>
        <w:rPr>
          <w:b/>
          <w:bCs/>
          <w:sz w:val="21"/>
          <w:szCs w:val="21"/>
        </w:rPr>
        <w:t xml:space="preserve">agrupar los ítems en esas dos dimensiones a mano y comparar las medias de cada una</w:t>
      </w:r>
      <w:r>
        <w:rPr>
          <w:sz w:val="21"/>
          <w:szCs w:val="21"/>
        </w:rPr>
        <w:t xml:space="preserve"> ya permite contarlo.</w:t>
      </w:r>
    </w:p>
    <w:p>
      <w:pPr>
        <w:pStyle w:val="Heading2"/>
        <w:keepNext/>
        <w:spacing w:after="120" w:before="340" w:line="288" w:lineRule="auto"/>
      </w:pPr>
      <w:bookmarkStart w:name="h44" w:id="44"/>
      <w:r>
        <w:rPr>
          <w:rFonts w:ascii="Calibri" w:cs="Calibri" w:eastAsia="Calibri" w:hAnsi="Calibri"/>
          <w:b/>
          <w:bCs/>
          <w:color w:val="1F66F0"/>
          <w:sz w:val="24"/>
          <w:szCs w:val="24"/>
        </w:rPr>
        <w:t xml:space="preserve">11.6 El problema de las medidas repetidas</w:t>
      </w:r>
      <w:bookmarkEnd w:id="44"/>
    </w:p>
    <w:p>
      <w:pPr>
        <w:spacing w:after="150" w:line="288" w:lineRule="auto"/>
        <w:jc w:val="both"/>
      </w:pPr>
      <w:r>
        <w:rPr>
          <w:sz w:val="21"/>
          <w:szCs w:val="21"/>
        </w:rPr>
        <w:t xml:space="preserve">Como se explicó en §4, cada participante aporta 6 valoraciones no independientes. Lo estrictamente correcto sería usar </w:t>
      </w:r>
      <w:r>
        <w:rPr>
          <w:b/>
          <w:bCs/>
          <w:sz w:val="21"/>
          <w:szCs w:val="21"/>
        </w:rPr>
        <w:t xml:space="preserve">modelos mixtos</w:t>
      </w:r>
      <w:r>
        <w:rPr>
          <w:sz w:val="21"/>
          <w:szCs w:val="21"/>
        </w:rPr>
        <w:t xml:space="preserve"> (con el participante como efecto aleatorio) o </w:t>
      </w:r>
      <w:r>
        <w:rPr>
          <w:b/>
          <w:bCs/>
          <w:sz w:val="21"/>
          <w:szCs w:val="21"/>
        </w:rPr>
        <w:t xml:space="preserve">ANOVA de medidas repetidas</w:t>
      </w:r>
      <w:r>
        <w:rPr>
          <w:sz w:val="21"/>
          <w:szCs w:val="21"/>
        </w:rPr>
        <w:t xml:space="preserve">.</w:t>
      </w:r>
    </w:p>
    <w:p>
      <w:pPr>
        <w:spacing w:after="150" w:line="288" w:lineRule="auto"/>
        <w:jc w:val="both"/>
      </w:pPr>
      <w:r>
        <w:rPr>
          <w:sz w:val="21"/>
          <w:szCs w:val="21"/>
        </w:rPr>
        <w:t xml:space="preserve">Siendo realistas, para una tesis de filología esto puede ser desproporcionado. </w:t>
      </w:r>
      <w:r>
        <w:rPr>
          <w:b/>
          <w:bCs/>
          <w:sz w:val="21"/>
          <w:szCs w:val="21"/>
        </w:rPr>
        <w:t xml:space="preserve">La solución práctica y honesta</w:t>
      </w:r>
      <w:r>
        <w:rPr>
          <w:sz w:val="21"/>
          <w:szCs w:val="21"/>
        </w:rPr>
        <w:t xml:space="preserve">: hacer los análisis con las pruebas habituales y </w:t>
      </w:r>
      <w:r>
        <w:rPr>
          <w:b/>
          <w:bCs/>
          <w:sz w:val="21"/>
          <w:szCs w:val="21"/>
        </w:rPr>
        <w:t xml:space="preserve">declararlo explícitamente como limitación</w:t>
      </w:r>
      <w:r>
        <w:rPr>
          <w:sz w:val="21"/>
          <w:szCs w:val="21"/>
        </w:rPr>
        <w:t xml:space="preserve"> en el apartado correspondiente:</w:t>
      </w:r>
    </w:p>
    <w:p>
      <w:pPr>
        <w:pBdr>
          <w:top w:val="single" w:color="EFF4FE" w:sz="2" w:space="8"/>
          <w:left w:val="single" w:color="1F66F0" w:sz="18" w:space="10"/>
          <w:bottom w:val="single" w:color="EFF4FE" w:sz="2" w:space="8"/>
        </w:pBdr>
        <w:shd w:fill="EFF4FE" w:val="clear"/>
        <w:spacing w:after="200" w:before="140" w:line="276" w:lineRule="auto"/>
        <w:ind w:left="360" w:right="200"/>
        <w:jc w:val="left"/>
      </w:pPr>
      <w:r>
        <w:rPr>
          <w:color w:val="1E3A8A"/>
          <w:sz w:val="20"/>
          <w:szCs w:val="20"/>
        </w:rPr>
        <w:t xml:space="preserve">«Dado el diseño de bloques incompletos, cada informante valoró seis variedades, por lo que las observaciones no son plenamente independientes. Los contrastes deben interpretarse con la cautela que impone este hecho.»</w:t>
      </w:r>
    </w:p>
    <w:p>
      <w:pPr>
        <w:spacing w:after="150" w:line="288" w:lineRule="auto"/>
        <w:jc w:val="both"/>
      </w:pPr>
      <w:r>
        <w:rPr>
          <w:sz w:val="21"/>
          <w:szCs w:val="21"/>
        </w:rPr>
        <w:t xml:space="preserve">Esa frase demuestra que se conoce el problema, que es lo que un tribunal quiere ver. Alternativa sencilla si se busca todavía más rigor: </w:t>
      </w:r>
      <w:r>
        <w:rPr>
          <w:b/>
          <w:bCs/>
          <w:sz w:val="21"/>
          <w:szCs w:val="21"/>
        </w:rPr>
        <w:t xml:space="preserve">promediar por participante</w:t>
      </w:r>
      <w:r>
        <w:rPr>
          <w:sz w:val="21"/>
          <w:szCs w:val="21"/>
        </w:rPr>
        <w:t xml:space="preserve"> (una sola puntuación media para meridionales y otra para septentrionales por persona) y comparar esas dos con una </w:t>
      </w:r>
      <w:r>
        <w:rPr>
          <w:b/>
          <w:bCs/>
          <w:sz w:val="21"/>
          <w:szCs w:val="21"/>
        </w:rPr>
        <w:t xml:space="preserve">t de Student para muestras relacionadas</w:t>
      </w:r>
      <w:r>
        <w:rPr>
          <w:sz w:val="21"/>
          <w:szCs w:val="21"/>
        </w:rPr>
        <w:t xml:space="preserve"> (o Wilcoxon). Con eso cada participante aporta un solo par de datos, la independencia queda garantizada y el análisis es impecable.</w:t>
      </w:r>
    </w:p>
    <w:p>
      <w:pPr>
        <w:pStyle w:val="Heading1"/>
        <w:keepNext/>
        <w:pageBreakBefore/>
        <w:pBdr>
          <w:bottom w:val="single" w:color="1D3C8D" w:sz="8" w:space="8"/>
        </w:pBdr>
        <w:spacing w:after="80" w:before="0" w:line="300" w:lineRule="auto"/>
      </w:pPr>
      <w:bookmarkStart w:name="h45" w:id="45"/>
      <w:r>
        <w:rPr>
          <w:rFonts w:ascii="Calibri" w:cs="Calibri" w:eastAsia="Calibri" w:hAnsi="Calibri"/>
          <w:b/>
          <w:bCs/>
          <w:color w:val="1D3C8D"/>
          <w:sz w:val="30"/>
          <w:szCs w:val="30"/>
        </w:rPr>
        <w:t xml:space="preserve">12. Glosario en una línea</w:t>
      </w:r>
      <w:bookmarkEnd w:id="45"/>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061"/>
        <w:gridCol w:w="6350"/>
      </w:tblGrid>
      <w:tr>
        <w:trPr>
          <w:cantSplit/>
          <w:tblHeader/>
        </w:trPr>
        <w:tc>
          <w:tcPr>
            <w:tcW w:type="dxa" w:w="3061"/>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Término</w:t>
            </w:r>
          </w:p>
        </w:tc>
        <w:tc>
          <w:tcPr>
            <w:tcW w:type="dxa" w:w="6350"/>
            <w:tcBorders>
              <w:top w:val="single" w:color="1D3C8D" w:sz="2"/>
              <w:left w:val="single" w:color="1D3C8D" w:sz="2"/>
              <w:bottom w:val="single" w:color="1D3C8D" w:sz="2"/>
              <w:right w:val="single" w:color="1D3C8D" w:sz="2"/>
            </w:tcBorders>
            <w:shd w:fill="1D3C8D"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FFFFFF"/>
                <w:sz w:val="18"/>
                <w:szCs w:val="18"/>
              </w:rPr>
              <w:t xml:space="preserve">Significado</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Variable</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Cualquier cosa que puede tomar valores distintos en distintos casos.</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Variable independiente (VI)</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La supuesta causa; lo que agrupa o se manipula.</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Variable dependiente (VD)</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El supuesto efecto; lo que se mide.</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Variable moderadora</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La que cambia la fuerza de la relación VI→VD.</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Variable mediadora</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La que explica el mecanismo de la relación VI→VD.</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Nominal</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Categorías sin orden (género, región).</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Ordinal</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Categorías con orden pero sin distancias iguales (A1…C2, 1-5).</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Continua / de intervalo</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Números con distancias iguales (edad).</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N / n</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Número de casos. Mayúscula para el total, minúscula para un subgrupo.</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Media (M)</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Promedio aritmético.</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Mediana</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El valor central al ordenar los datos; resiste mejor los valores extremos.</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Desviación típica (DT / SD)</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Cuánto se dispersan los datos alrededor de la media.</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Frecuencia</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Cuántas veces aparece un valor.</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Distribución</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El reparto completo de frecuencias de una variable.</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Histograma</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Gráfica de la distribución de una variable continua por intervalos.</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Tabla de contingencia</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Tabla que cruza dos variables categóricas y cuenta los casos.</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Estadística descriptiva</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Resume la muestra recogida.</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Estadística inferencial</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Generaliza de la muestra a la población.</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p-valor</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Probabilidad de ver esta diferencia si en realidad no existiera. p &lt; 0,05 = significativa.</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Significativo</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Improbable por azar. </w:t>
            </w:r>
            <w:r>
              <w:rPr>
                <w:rFonts w:ascii="Calibri" w:cs="Calibri" w:eastAsia="Calibri" w:hAnsi="Calibri"/>
                <w:b/>
                <w:bCs/>
                <w:color w:val="1F2937"/>
                <w:sz w:val="18"/>
                <w:szCs w:val="18"/>
              </w:rPr>
              <w:t xml:space="preserve">No</w:t>
            </w:r>
            <w:r>
              <w:rPr>
                <w:rFonts w:ascii="Calibri" w:cs="Calibri" w:eastAsia="Calibri" w:hAnsi="Calibri"/>
                <w:color w:val="1F2937"/>
                <w:sz w:val="18"/>
                <w:szCs w:val="18"/>
              </w:rPr>
              <w:t xml:space="preserve"> quiere decir «importante».</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Tamaño del efecto</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Cuán grande es la diferencia (d de Cohen, η², V de Cramer).</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Paramétrica</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Prueba que asume distribución normal (t, ANOVA, Pearson).</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No paramétrica</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Prueba que no la asume (Mann-Whitney, Kruskal-Wallis, Spearman).</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Alfa de Cronbach (α)</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Mide si varios ítems miden lo mismo. ≥ 0,70 aceptable.</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Correlación (r, ρ)</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Grado en que dos variables numéricas suben o bajan juntas, de −1 a +1.</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Diferencial semántico</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Escala entre dos adjetivos opuestos (Osgood, 1957).</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Verbal guise</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Técnica que valora acentos reales sin revelar su procedencia.</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BIBD</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Diseño de bloques incompletos balanceados: cada informante ve solo una parte, pero todo se ve igual de veces.</w:t>
            </w:r>
          </w:p>
        </w:tc>
      </w:tr>
      <w:tr>
        <w:trPr>
          <w:cantSplit/>
          <w:tblHeader w:val="false"/>
        </w:trPr>
        <w:tc>
          <w:tcPr>
            <w:tcW w:type="dxa" w:w="3061"/>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Réplica</w:t>
            </w:r>
          </w:p>
        </w:tc>
        <w:tc>
          <w:tcPr>
            <w:tcW w:type="dxa" w:w="6350"/>
            <w:tcBorders>
              <w:top w:val="single" w:color="CBD5E1" w:sz="2"/>
              <w:left w:val="single" w:color="CBD5E1" w:sz="2"/>
              <w:bottom w:val="single" w:color="CBD5E1" w:sz="2"/>
              <w:right w:val="single" w:color="CBD5E1" w:sz="2"/>
            </w:tcBorders>
            <w:shd w:fill="FFFFFF"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Nº de veces que cada grabación aparece en el conjunto de versiones (aquí, 3).</w:t>
            </w:r>
          </w:p>
        </w:tc>
      </w:tr>
      <w:tr>
        <w:trPr>
          <w:cantSplit/>
          <w:tblHeader w:val="false"/>
        </w:trPr>
        <w:tc>
          <w:tcPr>
            <w:tcW w:type="dxa" w:w="3061"/>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b/>
                <w:bCs/>
                <w:color w:val="1F2937"/>
                <w:sz w:val="18"/>
                <w:szCs w:val="18"/>
              </w:rPr>
              <w:t xml:space="preserve">Medidas repetidas</w:t>
            </w:r>
          </w:p>
        </w:tc>
        <w:tc>
          <w:tcPr>
            <w:tcW w:type="dxa" w:w="6350"/>
            <w:tcBorders>
              <w:top w:val="single" w:color="CBD5E1" w:sz="2"/>
              <w:left w:val="single" w:color="CBD5E1" w:sz="2"/>
              <w:bottom w:val="single" w:color="CBD5E1" w:sz="2"/>
              <w:right w:val="single" w:color="CBD5E1" w:sz="2"/>
            </w:tcBorders>
            <w:shd w:fill="F1F5F9" w:val="clear"/>
            <w:tcMar>
              <w:top w:type="dxa" w:w="100"/>
              <w:left w:type="dxa" w:w="130"/>
              <w:bottom w:type="dxa" w:w="100"/>
              <w:right w:type="dxa" w:w="130"/>
            </w:tcMar>
            <w:vAlign w:val="center"/>
          </w:tcPr>
          <w:p>
            <w:pPr>
              <w:spacing w:after="0" w:line="264" w:lineRule="auto"/>
              <w:jc w:val="left"/>
            </w:pPr>
            <w:r>
              <w:rPr>
                <w:rFonts w:ascii="Calibri" w:cs="Calibri" w:eastAsia="Calibri" w:hAnsi="Calibri"/>
                <w:color w:val="1F2937"/>
                <w:sz w:val="18"/>
                <w:szCs w:val="18"/>
              </w:rPr>
              <w:t xml:space="preserve">Varias respuestas de la misma persona; no son independientes.</w:t>
            </w:r>
          </w:p>
        </w:tc>
      </w:tr>
    </w:tbl>
    <w:p>
      <w:pPr>
        <w:spacing w:after="160" w:line="240" w:lineRule="auto"/>
      </w:pPr>
      <w:r>
        <w:rPr>
          <w:sz w:val="6"/>
          <w:szCs w:val="6"/>
        </w:rPr>
        <w:t xml:space="preserve"/>
      </w:r>
    </w:p>
    <w:p>
      <w:pPr>
        <w:pStyle w:val="Heading1"/>
        <w:keepNext/>
        <w:pageBreakBefore/>
        <w:pBdr>
          <w:bottom w:val="single" w:color="1D3C8D" w:sz="8" w:space="8"/>
        </w:pBdr>
        <w:spacing w:after="80" w:before="0" w:line="300" w:lineRule="auto"/>
      </w:pPr>
      <w:bookmarkStart w:name="h46" w:id="46"/>
      <w:r>
        <w:rPr>
          <w:rFonts w:ascii="Calibri" w:cs="Calibri" w:eastAsia="Calibri" w:hAnsi="Calibri"/>
          <w:b/>
          <w:bCs/>
          <w:color w:val="1D3C8D"/>
          <w:sz w:val="30"/>
          <w:szCs w:val="30"/>
        </w:rPr>
        <w:t xml:space="preserve">13. Avisos importantes de interpretación</w:t>
      </w:r>
      <w:bookmarkEnd w:id="46"/>
    </w:p>
    <w:p>
      <w:pPr>
        <w:spacing w:after="150" w:line="288" w:lineRule="auto"/>
        <w:jc w:val="both"/>
      </w:pPr>
      <w:r>
        <w:rPr>
          <w:sz w:val="21"/>
          <w:szCs w:val="21"/>
        </w:rPr>
        <w:t xml:space="preserve">Cinco cosas que conviene tener presentes para no cometer errores que después cuesta corregir.</w:t>
      </w:r>
    </w:p>
    <w:p>
      <w:pPr>
        <w:spacing w:after="150" w:line="288" w:lineRule="auto"/>
        <w:jc w:val="both"/>
      </w:pPr>
      <w:r>
        <w:rPr>
          <w:b/>
          <w:bCs/>
          <w:sz w:val="21"/>
          <w:szCs w:val="21"/>
        </w:rPr>
        <w:t xml:space="preserve">1. Un 0 no siempre significa «cero».</w:t>
      </w:r>
      <w:r>
        <w:rPr>
          <w:sz w:val="21"/>
          <w:szCs w:val="21"/>
        </w:rPr>
        <w:t xml:space="preserve"> En las gráficas, cuando una grabación todavía no tiene ninguna valoración, la media aparece como 0. Ese 0 </w:t>
      </w:r>
      <w:r>
        <w:rPr>
          <w:b/>
          <w:bCs/>
          <w:sz w:val="21"/>
          <w:szCs w:val="21"/>
        </w:rPr>
        <w:t xml:space="preserve">no quiere decir «valoración pésima»</w:t>
      </w:r>
      <w:r>
        <w:rPr>
          <w:sz w:val="21"/>
          <w:szCs w:val="21"/>
        </w:rPr>
        <w:t xml:space="preserve">: quiere decir «sin datos». Antes de interpretar cualquier gráfica hay que mirar el </w:t>
      </w:r>
      <w:r>
        <w:rPr>
          <w:b/>
          <w:bCs/>
          <w:sz w:val="21"/>
          <w:szCs w:val="21"/>
        </w:rPr>
        <w:t xml:space="preserve">N</w:t>
      </w:r>
      <w:r>
        <w:rPr>
          <w:sz w:val="21"/>
          <w:szCs w:val="21"/>
        </w:rPr>
        <w:t xml:space="preserve"> de esa ciudad. Como norma prudente, </w:t>
      </w:r>
      <w:r>
        <w:rPr>
          <w:b/>
          <w:bCs/>
          <w:sz w:val="21"/>
          <w:szCs w:val="21"/>
        </w:rPr>
        <w:t xml:space="preserve">no interpretes ninguna media con menos de 10 valoraciones detrás</w:t>
      </w:r>
      <w:r>
        <w:rPr>
          <w:sz w:val="21"/>
          <w:szCs w:val="21"/>
        </w:rPr>
        <w:t xml:space="preserve">, y no la presentes en la tesis sin advertirlo.</w:t>
      </w:r>
    </w:p>
    <w:p>
      <w:pPr>
        <w:spacing w:after="150" w:line="288" w:lineRule="auto"/>
        <w:jc w:val="both"/>
      </w:pPr>
      <w:r>
        <w:rPr>
          <w:b/>
          <w:bCs/>
          <w:sz w:val="21"/>
          <w:szCs w:val="21"/>
        </w:rPr>
        <w:t xml:space="preserve">2. Las diferencias pequeñas no son diferencias.</w:t>
      </w:r>
      <w:r>
        <w:rPr>
          <w:sz w:val="21"/>
          <w:szCs w:val="21"/>
        </w:rPr>
        <w:t xml:space="preserve"> Que Granada tenga 3,42 y Murcia 3,39 </w:t>
      </w:r>
      <w:r>
        <w:rPr>
          <w:b/>
          <w:bCs/>
          <w:sz w:val="21"/>
          <w:szCs w:val="21"/>
        </w:rPr>
        <w:t xml:space="preserve">no significa nada</w:t>
      </w:r>
      <w:r>
        <w:rPr>
          <w:sz w:val="21"/>
          <w:szCs w:val="21"/>
        </w:rPr>
        <w:t xml:space="preserve">. Podrían invertirse mañana con dos participantes más. Solo se puede hablar de diferencia cuando una prueba estadística la respalda (§11.2). El ranking es una herramienta visual, no una conclusión.</w:t>
      </w:r>
    </w:p>
    <w:p>
      <w:pPr>
        <w:spacing w:after="150" w:line="288" w:lineRule="auto"/>
        <w:jc w:val="both"/>
      </w:pPr>
      <w:r>
        <w:rPr>
          <w:b/>
          <w:bCs/>
          <w:sz w:val="21"/>
          <w:szCs w:val="21"/>
        </w:rPr>
        <w:t xml:space="preserve">3. Cuantos más cruces se hacen, más falsos hallazgos aparecen.</w:t>
      </w:r>
      <w:r>
        <w:rPr>
          <w:sz w:val="21"/>
          <w:szCs w:val="21"/>
        </w:rPr>
        <w:t xml:space="preserve"> Si se cruzan todas las VD con todas las VI, se hacen cientos de comparaciones, y por pura casualidad </w:t>
      </w:r>
      <w:r>
        <w:rPr>
          <w:b/>
          <w:bCs/>
          <w:sz w:val="21"/>
          <w:szCs w:val="21"/>
        </w:rPr>
        <w:t xml:space="preserve">alrededor de 1 de cada 20 saldrá «significativa» sin serlo</w:t>
      </w:r>
      <w:r>
        <w:rPr>
          <w:sz w:val="21"/>
          <w:szCs w:val="21"/>
        </w:rPr>
        <w:t xml:space="preserve">. Es el problema de las comparaciones múltiples. La defensa: </w:t>
      </w:r>
      <w:r>
        <w:rPr>
          <w:b/>
          <w:bCs/>
          <w:sz w:val="21"/>
          <w:szCs w:val="21"/>
        </w:rPr>
        <w:t xml:space="preserve">decidir de antemano</w:t>
      </w:r>
      <w:r>
        <w:rPr>
          <w:sz w:val="21"/>
          <w:szCs w:val="21"/>
        </w:rPr>
        <w:t xml:space="preserve"> qué hipótesis se quieren contrastar (p. ej. tres o cuatro: zona, nivel de español, visita a España, género), contrastarlas, y presentar todo lo demás explícitamente como </w:t>
      </w:r>
      <w:r>
        <w:rPr>
          <w:b/>
          <w:bCs/>
          <w:sz w:val="21"/>
          <w:szCs w:val="21"/>
        </w:rPr>
        <w:t xml:space="preserve">exploratorio</w:t>
      </w:r>
      <w:r>
        <w:rPr>
          <w:sz w:val="21"/>
          <w:szCs w:val="21"/>
        </w:rPr>
        <w:t xml:space="preserve">.</w:t>
      </w:r>
    </w:p>
    <w:p>
      <w:pPr>
        <w:spacing w:after="150" w:line="288" w:lineRule="auto"/>
        <w:jc w:val="both"/>
      </w:pPr>
      <w:r>
        <w:rPr>
          <w:b/>
          <w:bCs/>
          <w:sz w:val="21"/>
          <w:szCs w:val="21"/>
        </w:rPr>
        <w:t xml:space="preserve">4. Los prejuicios medidos son de la muestra, no de la humanidad.</w:t>
      </w:r>
      <w:r>
        <w:rPr>
          <w:sz w:val="21"/>
          <w:szCs w:val="21"/>
        </w:rPr>
        <w:t xml:space="preserve"> Si los informantes son estudiantes de español de un país concreto, las conclusiones valen </w:t>
      </w:r>
      <w:r>
        <w:rPr>
          <w:b/>
          <w:bCs/>
          <w:sz w:val="21"/>
          <w:szCs w:val="21"/>
        </w:rPr>
        <w:t xml:space="preserve">para ese perfil</w:t>
      </w:r>
      <w:r>
        <w:rPr>
          <w:sz w:val="21"/>
          <w:szCs w:val="21"/>
        </w:rPr>
        <w:t xml:space="preserve">. La frase correcta en la tesis es «los informantes de este estudio asociaron…», no «se percibe que…». Esto se llama </w:t>
      </w:r>
      <w:r>
        <w:rPr>
          <w:b/>
          <w:bCs/>
          <w:sz w:val="21"/>
          <w:szCs w:val="21"/>
        </w:rPr>
        <w:t xml:space="preserve">validez externa</w:t>
      </w:r>
      <w:r>
        <w:rPr>
          <w:sz w:val="21"/>
          <w:szCs w:val="21"/>
        </w:rPr>
        <w:t xml:space="preserve"> y es la limitación más habitual —y más perdonable— de un estudio de este tipo, siempre que se declare.</w:t>
      </w:r>
    </w:p>
    <w:p>
      <w:pPr>
        <w:spacing w:after="150" w:line="288" w:lineRule="auto"/>
        <w:jc w:val="both"/>
      </w:pPr>
      <w:r>
        <w:rPr>
          <w:b/>
          <w:bCs/>
          <w:sz w:val="21"/>
          <w:szCs w:val="21"/>
        </w:rPr>
        <w:t xml:space="preserve">5. Percibir no es ser.</w:t>
      </w:r>
      <w:r>
        <w:rPr>
          <w:sz w:val="21"/>
          <w:szCs w:val="21"/>
        </w:rPr>
        <w:t xml:space="preserve"> El estudio mide </w:t>
      </w:r>
      <w:r>
        <w:rPr>
          <w:b/>
          <w:bCs/>
          <w:sz w:val="21"/>
          <w:szCs w:val="21"/>
        </w:rPr>
        <w:t xml:space="preserve">percepciones</w:t>
      </w:r>
      <w:r>
        <w:rPr>
          <w:sz w:val="21"/>
          <w:szCs w:val="21"/>
        </w:rPr>
        <w:t xml:space="preserve">: qué nivel de estudios </w:t>
      </w:r>
      <w:r>
        <w:rPr>
          <w:i/>
          <w:iCs/>
          <w:sz w:val="21"/>
          <w:szCs w:val="21"/>
        </w:rPr>
        <w:t xml:space="preserve">atribuye</w:t>
      </w:r>
      <w:r>
        <w:rPr>
          <w:sz w:val="21"/>
          <w:szCs w:val="21"/>
        </w:rPr>
        <w:t xml:space="preserve"> el oyente, qué región </w:t>
      </w:r>
      <w:r>
        <w:rPr>
          <w:i/>
          <w:iCs/>
          <w:sz w:val="21"/>
          <w:szCs w:val="21"/>
        </w:rPr>
        <w:t xml:space="preserve">cree</w:t>
      </w:r>
      <w:r>
        <w:rPr>
          <w:sz w:val="21"/>
          <w:szCs w:val="21"/>
        </w:rPr>
        <w:t xml:space="preserve"> reconocer. No mide ninguna propiedad real de quien habla. Toda la redacción de resultados debe mantener ese verbo: </w:t>
      </w:r>
      <w:r>
        <w:rPr>
          <w:i/>
          <w:iCs/>
          <w:sz w:val="21"/>
          <w:szCs w:val="21"/>
        </w:rPr>
        <w:t xml:space="preserve">percibido</w:t>
      </w:r>
      <w:r>
        <w:rPr>
          <w:sz w:val="21"/>
          <w:szCs w:val="21"/>
        </w:rPr>
        <w:t xml:space="preserve">, </w:t>
      </w:r>
      <w:r>
        <w:rPr>
          <w:i/>
          <w:iCs/>
          <w:sz w:val="21"/>
          <w:szCs w:val="21"/>
        </w:rPr>
        <w:t xml:space="preserve">atribuido</w:t>
      </w:r>
      <w:r>
        <w:rPr>
          <w:sz w:val="21"/>
          <w:szCs w:val="21"/>
        </w:rPr>
        <w:t xml:space="preserve">, </w:t>
      </w:r>
      <w:r>
        <w:rPr>
          <w:i/>
          <w:iCs/>
          <w:sz w:val="21"/>
          <w:szCs w:val="21"/>
        </w:rPr>
        <w:t xml:space="preserve">asociado</w:t>
      </w:r>
      <w:r>
        <w:rPr>
          <w:sz w:val="21"/>
          <w:szCs w:val="21"/>
        </w:rPr>
        <w:t xml:space="preserve">. Precisamente ahí está el valor del trabajo: </w:t>
      </w:r>
      <w:r>
        <w:rPr>
          <w:b/>
          <w:bCs/>
          <w:sz w:val="21"/>
          <w:szCs w:val="21"/>
        </w:rPr>
        <w:t xml:space="preserve">documentar el prejuicio, no confirmarlo</w:t>
      </w:r>
      <w:r>
        <w:rPr>
          <w:sz w:val="21"/>
          <w:szCs w:val="21"/>
        </w:rPr>
        <w:t xml:space="preserve">.</w:t>
      </w:r>
    </w:p>
    <w:p>
      <w:pPr>
        <w:pStyle w:val="Heading2"/>
        <w:keepNext/>
        <w:spacing w:after="120" w:before="340" w:line="288" w:lineRule="auto"/>
      </w:pPr>
      <w:bookmarkStart w:name="h47" w:id="47"/>
      <w:r>
        <w:rPr>
          <w:rFonts w:ascii="Calibri" w:cs="Calibri" w:eastAsia="Calibri" w:hAnsi="Calibri"/>
          <w:b/>
          <w:bCs/>
          <w:color w:val="1F66F0"/>
          <w:sz w:val="24"/>
          <w:szCs w:val="24"/>
        </w:rPr>
        <w:t xml:space="preserve">Resumen en cinco líneas</w:t>
      </w:r>
      <w:bookmarkEnd w:id="47"/>
    </w:p>
    <w:p>
      <w:pPr>
        <w:pStyle w:val="ListParagraph"/>
        <w:numPr>
          <w:ilvl w:val="0"/>
          <w:numId w:val="3"/>
        </w:numPr>
        <w:spacing w:after="100" w:line="282" w:lineRule="auto"/>
        <w:jc w:val="left"/>
      </w:pPr>
      <w:r>
        <w:rPr>
          <w:sz w:val="21"/>
          <w:szCs w:val="21"/>
        </w:rPr>
        <w:t xml:space="preserve">La </w:t>
      </w:r>
      <w:r>
        <w:rPr>
          <w:b/>
          <w:bCs/>
          <w:sz w:val="21"/>
          <w:szCs w:val="21"/>
        </w:rPr>
        <w:t xml:space="preserve">variable independiente</w:t>
      </w:r>
      <w:r>
        <w:rPr>
          <w:sz w:val="21"/>
          <w:szCs w:val="21"/>
        </w:rPr>
        <w:t xml:space="preserve"> principal es el </w:t>
      </w:r>
      <w:r>
        <w:rPr>
          <w:b/>
          <w:bCs/>
          <w:sz w:val="21"/>
          <w:szCs w:val="21"/>
        </w:rPr>
        <w:t xml:space="preserve">acento</w:t>
      </w:r>
      <w:r>
        <w:rPr>
          <w:sz w:val="21"/>
          <w:szCs w:val="21"/>
        </w:rPr>
        <w:t xml:space="preserve"> (12 ciudades, agrupadas en 2 zonas dialectales); secundariamente, las características del participante.</w:t>
      </w:r>
    </w:p>
    <w:p>
      <w:pPr>
        <w:pStyle w:val="ListParagraph"/>
        <w:numPr>
          <w:ilvl w:val="0"/>
          <w:numId w:val="3"/>
        </w:numPr>
        <w:spacing w:after="100" w:line="282" w:lineRule="auto"/>
        <w:jc w:val="left"/>
      </w:pPr>
      <w:r>
        <w:rPr>
          <w:sz w:val="21"/>
          <w:szCs w:val="21"/>
        </w:rPr>
        <w:t xml:space="preserve">Las </w:t>
      </w:r>
      <w:r>
        <w:rPr>
          <w:b/>
          <w:bCs/>
          <w:sz w:val="21"/>
          <w:szCs w:val="21"/>
        </w:rPr>
        <w:t xml:space="preserve">variables dependientes</w:t>
      </w:r>
      <w:r>
        <w:rPr>
          <w:sz w:val="21"/>
          <w:szCs w:val="21"/>
        </w:rPr>
        <w:t xml:space="preserve"> son las </w:t>
      </w:r>
      <w:r>
        <w:rPr>
          <w:b/>
          <w:bCs/>
          <w:sz w:val="21"/>
          <w:szCs w:val="21"/>
        </w:rPr>
        <w:t xml:space="preserve">23 escalas de 1 a 5</w:t>
      </w:r>
      <w:r>
        <w:rPr>
          <w:sz w:val="21"/>
          <w:szCs w:val="21"/>
        </w:rPr>
        <w:t xml:space="preserve">, la proximidad, el estatus percibido (estudios e ingresos), la región percibida y las dos preguntas sobre género.</w:t>
      </w:r>
    </w:p>
    <w:p>
      <w:pPr>
        <w:pStyle w:val="ListParagraph"/>
        <w:numPr>
          <w:ilvl w:val="0"/>
          <w:numId w:val="3"/>
        </w:numPr>
        <w:spacing w:after="100" w:line="282" w:lineRule="auto"/>
        <w:jc w:val="left"/>
      </w:pPr>
      <w:r>
        <w:rPr>
          <w:sz w:val="21"/>
          <w:szCs w:val="21"/>
        </w:rPr>
        <w:t xml:space="preserve">La aplicación calcula hoy </w:t>
      </w:r>
      <w:r>
        <w:rPr>
          <w:b/>
          <w:bCs/>
          <w:sz w:val="21"/>
          <w:szCs w:val="21"/>
        </w:rPr>
        <w:t xml:space="preserve">estadística descriptiva</w:t>
      </w:r>
      <w:r>
        <w:rPr>
          <w:sz w:val="21"/>
          <w:szCs w:val="21"/>
        </w:rPr>
        <w:t xml:space="preserve">: medias, frecuencias, porcentajes, aciertos, ranking y control del equilibrio del muestreo.</w:t>
      </w:r>
    </w:p>
    <w:p>
      <w:pPr>
        <w:pStyle w:val="ListParagraph"/>
        <w:numPr>
          <w:ilvl w:val="0"/>
          <w:numId w:val="3"/>
        </w:numPr>
        <w:spacing w:after="100" w:line="282" w:lineRule="auto"/>
        <w:jc w:val="left"/>
      </w:pPr>
      <w:r>
        <w:rPr>
          <w:sz w:val="21"/>
          <w:szCs w:val="21"/>
        </w:rPr>
        <w:t xml:space="preserve">Falta la </w:t>
      </w:r>
      <w:r>
        <w:rPr>
          <w:b/>
          <w:bCs/>
          <w:sz w:val="21"/>
          <w:szCs w:val="21"/>
        </w:rPr>
        <w:t xml:space="preserve">estadística inferencial</w:t>
      </w:r>
      <w:r>
        <w:rPr>
          <w:sz w:val="21"/>
          <w:szCs w:val="21"/>
        </w:rPr>
        <w:t xml:space="preserve">, que se hace con el CSV exportado en jamovi o SPSS: desviaciones típicas, t/ANOVA (o sus equivalentes no paramétricos), chi-cuadrado, correlaciones, tamaños del efecto y alfa de Cronbach.</w:t>
      </w:r>
    </w:p>
    <w:p>
      <w:pPr>
        <w:pStyle w:val="ListParagraph"/>
        <w:numPr>
          <w:ilvl w:val="0"/>
          <w:numId w:val="3"/>
        </w:numPr>
        <w:spacing w:after="100" w:line="282" w:lineRule="auto"/>
        <w:jc w:val="left"/>
      </w:pPr>
      <w:r>
        <w:rPr>
          <w:sz w:val="21"/>
          <w:szCs w:val="21"/>
        </w:rPr>
        <w:t xml:space="preserve">El </w:t>
      </w:r>
      <w:r>
        <w:rPr>
          <w:b/>
          <w:bCs/>
          <w:sz w:val="21"/>
          <w:szCs w:val="21"/>
        </w:rPr>
        <w:t xml:space="preserve">diseño BIBD</w:t>
      </w:r>
      <w:r>
        <w:rPr>
          <w:sz w:val="21"/>
          <w:szCs w:val="21"/>
        </w:rPr>
        <w:t xml:space="preserve"> no es una limitación, es un punto fuerte: hay que explicarlo en metodología con su réplica de 3 y su asignación autoequilibrante.</w:t>
      </w:r>
    </w:p>
    <w:p>
      <w:pPr>
        <w:spacing w:after="80" w:line="240" w:lineRule="auto"/>
      </w:pPr>
      <w:r>
        <w:rPr>
          <w:sz w:val="6"/>
          <w:szCs w:val="6"/>
        </w:rPr>
        <w:t xml:space="preserve"/>
      </w:r>
    </w:p>
    <w:sectPr>
      <w:footerReference w:type="default" r:id="rId7"/>
      <w:footerReference w:type="first" r:id="rId8"/>
      <w:pgSz w:w="11906" w:h="16838" w:orient="portrait"/>
      <w:pgMar w:top="1360" w:right="1247" w:bottom="1133"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8"/>
      </w:pBdr>
      <w:tabs>
        <w:tab w:val="right" w:pos="9411"/>
      </w:tabs>
      <w:spacing w:after="0" w:before="120" w:line="240" w:lineRule="auto"/>
    </w:pPr>
    <w:r>
      <w:rPr>
        <w:rFonts w:ascii="Calibri" w:cs="Calibri" w:eastAsia="Calibri" w:hAnsi="Calibri"/>
        <w:color w:val="8FA0B5"/>
        <w:sz w:val="16"/>
        <w:szCs w:val="16"/>
      </w:rPr>
      <w:t xml:space="preserve">Guía estadística del estudio</w:t>
    </w:r>
    <w:r>
      <w:rPr>
        <w:sz w:val="16"/>
        <w:szCs w:val="16"/>
      </w:rPr>
      <w:t xml:space="preserve">	</w:t>
    </w:r>
    <w:r>
      <w:rPr>
        <w:rFonts w:ascii="Calibri" w:cs="Calibri" w:eastAsia="Calibri" w:hAnsi="Calibri"/>
        <w:color w:val="8FA0B5"/>
        <w:sz w:val="16"/>
        <w:szCs w:val="16"/>
      </w:rPr>
      <w:t xml:space="preserve">Página </w:t>
    </w:r>
    <w:r>
      <w:rPr>
        <w:rFonts w:ascii="Calibri" w:cs="Calibri" w:eastAsia="Calibri" w:hAnsi="Calibri"/>
        <w:b/>
        <w:bCs/>
        <w:color w:val="475569"/>
        <w:sz w:val="16"/>
        <w:szCs w:val="16"/>
      </w:rPr>
      <w:fldChar w:fldCharType="begin"/>
      <w:instrText xml:space="preserve">PAGE</w:instrText>
      <w:fldChar w:fldCharType="separate"/>
      <w:fldChar w:fldCharType="end"/>
    </w:r>
    <w:r>
      <w:rPr>
        <w:rFonts w:ascii="Calibri" w:cs="Calibri" w:eastAsia="Calibri" w:hAnsi="Calibri"/>
        <w:color w:val="8FA0B5"/>
        <w:sz w:val="16"/>
        <w:szCs w:val="16"/>
      </w:rPr>
      <w:t xml:space="preserve"> de </w:t>
    </w:r>
    <w:r>
      <w:rPr>
        <w:rFonts w:ascii="Calibri" w:cs="Calibri" w:eastAsia="Calibri" w:hAnsi="Calibri"/>
        <w:color w:val="8FA0B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2"/>
        <w:szCs w:val="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Calibri" w:cs="Calibri" w:eastAsia="Calibri" w:hAnsi="Calibri"/>
        <w:color w:val="1F66F0"/>
      </w:rPr>
    </w:lvl>
  </w:abstractNum>
  <w:abstractNum w:abstractNumId="3" w15:restartNumberingAfterBreak="0">
    <w:multiLevelType w:val="hybridMultilevel"/>
    <w:lvl w:ilvl="0" w15:tentative="1">
      <w:start w:val="1"/>
      <w:numFmt w:val="decimal"/>
      <w:lvlText w:val="%1."/>
      <w:lvlJc w:val="left"/>
      <w:pPr>
        <w:ind w:left="560" w:hanging="320"/>
      </w:pPr>
      <w:rPr>
        <w:rFonts w:ascii="Calibri" w:cs="Calibri" w:eastAsia="Calibri" w:hAnsi="Calibri"/>
        <w:b/>
        <w:bCs/>
        <w:color w:val="1F66F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937"/>
        <w:sz w:val="21"/>
        <w:szCs w:val="21"/>
      </w:rPr>
    </w:rPrDefault>
    <w:pPrDefault>
      <w:pPr>
        <w:spacing w:after="150"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300" w:lineRule="auto"/>
    </w:pPr>
    <w:rPr>
      <w:rFonts w:ascii="Calibri" w:cs="Calibri" w:eastAsia="Calibri" w:hAnsi="Calibri"/>
      <w:b/>
      <w:bCs/>
      <w:color w:val="1D3C8D"/>
      <w:sz w:val="30"/>
      <w:szCs w:val="30"/>
    </w:rPr>
  </w:style>
  <w:style w:type="paragraph" w:styleId="Heading2">
    <w:name w:val="Heading 2"/>
    <w:basedOn w:val="Normal"/>
    <w:next w:val="Normal"/>
    <w:qFormat/>
    <w:pPr>
      <w:spacing w:line="288" w:lineRule="auto"/>
    </w:pPr>
    <w:rPr>
      <w:rFonts w:ascii="Calibri" w:cs="Calibri" w:eastAsia="Calibri" w:hAnsi="Calibri"/>
      <w:b/>
      <w:bCs/>
      <w:color w:val="1F66F0"/>
      <w:sz w:val="24"/>
      <w:szCs w:val="24"/>
    </w:rPr>
  </w:style>
  <w:style w:type="paragraph" w:styleId="Heading3">
    <w:name w:val="Heading 3"/>
    <w:basedOn w:val="Normal"/>
    <w:next w:val="Normal"/>
    <w:qFormat/>
    <w:pPr>
      <w:spacing w:line="288" w:lineRule="auto"/>
    </w:pPr>
    <w:rPr>
      <w:rFonts w:ascii="Calibri" w:cs="Calibri" w:eastAsia="Calibri" w:hAnsi="Calibri"/>
      <w:b/>
      <w:bCs/>
      <w:color w:val="3341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1F66F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estadística del estudio</dc:title>
  <dc:creator>Estudio sociolingüístico</dc:creator>
  <dc:description>Variables dependientes e independientes y herramientas estadísticas del estudio de actitudes lingüísticas</dc:description>
  <cp:lastModifiedBy>Un-named</cp:lastModifiedBy>
  <cp:revision>1</cp:revision>
  <dcterms:created xsi:type="dcterms:W3CDTF">2026-09-18T08:47:14.144Z</dcterms:created>
  <dcterms:modified xsi:type="dcterms:W3CDTF">2026-09-18T08:47:14.144Z</dcterms:modified>
</cp:coreProperties>
</file>

<file path=docProps/custom.xml><?xml version="1.0" encoding="utf-8"?>
<Properties xmlns="http://schemas.openxmlformats.org/officeDocument/2006/custom-properties" xmlns:vt="http://schemas.openxmlformats.org/officeDocument/2006/docPropsVTypes"/>
</file>