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57E1E78" wp14:textId="77777777">
      <w:pPr>
        <w:spacing w:after="20"/>
      </w:pPr>
      <w:r>
        <w:rPr>
          <w:rFonts w:ascii="Calibri" w:hAnsi="Calibri" w:eastAsia="Calibri" w:cs="Calibri"/>
          <w:b/>
          <w:bCs/>
          <w:i w:val="false"/>
          <w:iCs w:val="false"/>
          <w:color w:val="0350A1"/>
          <w:sz w:val="31"/>
          <w:szCs w:val="31"/>
        </w:rPr>
        <w:t xml:space="preserve">CONTEXTO, MEMORIA Y ACCIONES DEL ASISTENTE</w:t>
      </w:r>
    </w:p>
    <w:p xmlns:wp14="http://schemas.microsoft.com/office/word/2010/wordml" w:rsidP="436224F3" w14:paraId="19066E65" wp14:textId="77777777">
      <w:pPr>
        <w:pBdr>
          <w:bottom w:val="single" w:color="0350A1" w:sz="12" w:space="0"/>
        </w:pBdr>
        <w:spacing w:after="150"/>
      </w:pPr>
      <w:r w:rsidRPr="436224F3" w:rsidR="436224F3">
        <w:rPr>
          <w:rFonts w:ascii="Calibri" w:hAnsi="Calibri" w:eastAsia="Calibri" w:cs="Calibri"/>
          <w:b w:val="0"/>
          <w:bCs w:val="0"/>
          <w:i w:val="0"/>
          <w:iCs w:val="0"/>
          <w:color w:val="6A737D"/>
          <w:sz w:val="19"/>
          <w:szCs w:val="19"/>
          <w:lang w:val="en-US"/>
        </w:rPr>
        <w:t>Construye 3 · Diseño e implementación de sistemas agénticos · Tecnológico de Monterrey</w:t>
      </w:r>
    </w:p>
    <w:p xmlns:wp14="http://schemas.microsoft.com/office/word/2010/wordml" w14:paraId="19D78F95" wp14:textId="77777777">
      <w:pPr>
        <w:spacing w:before="0" w:after="90" w:line="262" w:lineRule="auto"/>
      </w:pPr>
      <w:r w:rsidRPr="436224F3" w:rsidR="436224F3">
        <w:rPr>
          <w:rFonts w:ascii="Calibri" w:hAnsi="Calibri" w:eastAsia="Calibri" w:cs="Calibri"/>
          <w:b w:val="0"/>
          <w:bCs w:val="0"/>
          <w:i w:val="0"/>
          <w:iCs w:val="0"/>
          <w:color w:val="6A737D"/>
          <w:sz w:val="19"/>
          <w:szCs w:val="19"/>
          <w:lang w:val="en-US"/>
        </w:rPr>
        <w:t>Equipo. Actividad: 9 % del curso; rúbrica: 100 puntos. Máximo tres páginas de cuerpo más tablas y apéndices, con las evidencias de ejecución incorporadas en el PDF. Una sola entrega por equipo, en PDF; la fecha de cierre está configurada en Canvas.</w:t>
      </w:r>
    </w:p>
    <w:p xmlns:wp14="http://schemas.microsoft.com/office/word/2010/wordml" w14:paraId="5ECCE7E5" wp14:textId="77777777">
      <w:pPr>
        <w:spacing w:before="0" w:after="15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19"/>
          <w:szCs w:val="19"/>
          <w:lang w:val="en-US"/>
        </w:rPr>
        <w:t xml:space="preserve">Cómo usar esta plantilla. </w:t>
      </w:r>
      <w:r w:rsidRPr="436224F3" w:rsidR="436224F3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19"/>
          <w:szCs w:val="19"/>
          <w:lang w:val="en-US"/>
        </w:rPr>
        <w:t>Completa los campos y elimina las guías al entregar. Usa el conjunto común del ZIP y elige sin_api o luna_api; ambas modalidades tienen la misma rúbrica. El presupuesto de tokens es de diseño, no consumo real. Contrasta tus decisiones con los resultados del notebook y distingue las políticas no implementadas. No incluyas claves API en el PDF.</w:t>
      </w:r>
    </w:p>
    <w:tbl>
      <w:tblPr>
        <w:tblW w:w="972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 xmlns:wp14="http://schemas.microsoft.com/office/word/2010/wordml" w:rsidTr="436224F3" w14:paraId="09422891" wp14:textId="77777777">
        <w:trPr>
          <w:cantSplit/>
          <w:tblHeader/>
        </w:trPr>
        <w:tc>
          <w:tcPr>
            <w:tcW w:w="324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54BDAE1F" wp14:textId="77777777">
            <w:pPr>
              <w:spacing w:before="0" w:after="20" w:line="26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Equipo</w:t>
            </w:r>
          </w:p>
        </w:tc>
        <w:tc>
          <w:tcPr>
            <w:tcW w:w="324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196255F0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Modalidad elegida</w:t>
            </w:r>
          </w:p>
        </w:tc>
        <w:tc>
          <w:tcPr>
            <w:tcW w:w="324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48FF8E3E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Fecha</w:t>
            </w:r>
          </w:p>
        </w:tc>
      </w:tr>
      <w:tr xmlns:wp14="http://schemas.microsoft.com/office/word/2010/wordml" w:rsidTr="436224F3" w14:paraId="562D1646" wp14:textId="77777777">
        <w:trPr>
          <w:cantSplit/>
        </w:trPr>
        <w:tc>
          <w:tcPr>
            <w:tcW w:w="324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3B92BC13" wp14:textId="33087890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Equipo 24</w:t>
            </w:r>
          </w:p>
        </w:tc>
        <w:tc>
          <w:tcPr>
            <w:tcW w:w="324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P="436224F3" w14:paraId="27898BE0" wp14:textId="30B74255">
            <w:pPr>
              <w:spacing w:before="0" w:after="20" w:line="262" w:lineRule="auto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</w:pPr>
            <w:r w:rsidRPr="436224F3" w:rsidR="09D3623F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luna_api</w:t>
            </w:r>
          </w:p>
        </w:tc>
        <w:tc>
          <w:tcPr>
            <w:tcW w:w="324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:rsidP="436224F3" w14:paraId="34BD57AB" wp14:textId="4065DD7A">
            <w:pPr>
              <w:pStyle w:val="Normal"/>
              <w:suppressLineNumbers w:val="0"/>
              <w:bidi w:val="0"/>
              <w:spacing w:before="0" w:beforeAutospacing="off" w:after="20" w:afterAutospacing="off" w:line="262" w:lineRule="auto"/>
              <w:ind w:left="0" w:right="0"/>
              <w:jc w:val="left"/>
            </w:pPr>
            <w:r w:rsidRPr="436224F3" w:rsidR="09D3623F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23/</w:t>
            </w:r>
            <w:r w:rsidRPr="436224F3" w:rsidR="09D3623F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Octubre</w:t>
            </w:r>
            <w:r w:rsidRPr="436224F3" w:rsidR="09D3623F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/2026</w:t>
            </w:r>
          </w:p>
        </w:tc>
      </w:tr>
    </w:tbl>
    <w:p xmlns:wp14="http://schemas.microsoft.com/office/word/2010/wordml" w14:paraId="29D6B04F" wp14:textId="77777777">
      <w:pPr>
        <w:spacing w:before="0" w:after="60" w:line="262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> </w:t>
      </w:r>
    </w:p>
    <w:p xmlns:wp14="http://schemas.microsoft.com/office/word/2010/wordml" w:rsidP="436224F3" w14:paraId="175D1B64" wp14:textId="77777777">
      <w:pPr>
        <w:keepNext w:val="1"/>
        <w:pBdr>
          <w:bottom w:val="single" w:color="0350A1" w:sz="8" w:space="0"/>
        </w:pBdr>
        <w:spacing w:before="300" w:after="70"/>
        <w:keepNext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5"/>
          <w:szCs w:val="25"/>
          <w:lang w:val="en-US"/>
        </w:rPr>
        <w:t>1. Diseño del paquete de contexto (lecciones 4.1 y 4.3)</w:t>
      </w:r>
    </w:p>
    <w:p xmlns:wp14="http://schemas.microsoft.com/office/word/2010/wordml" w14:paraId="1BA4EB06" wp14:textId="77777777">
      <w:pPr>
        <w:spacing w:before="0" w:after="9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lang w:val="en-US"/>
        </w:rPr>
        <w:t xml:space="preserve">Guía (elimina al entregar): </w:t>
      </w: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lang w:val="en-US"/>
        </w:rPr>
        <w:t>el contexto es la mesa de trabajo del modelo: lo que no está sobre la mesa no existe para él, y lo que sobra estorba y cuesta. Esta sección demuestra que tu equipo decide qué entra, cuánto ocupa, cómo se aísla y cómo se cita — la regla de oro del módulo: seleccionar, comprimir, aislar, citar. Todo con números del conjunto común, no con proporciones genéricas.</w:t>
      </w:r>
    </w:p>
    <w:p xmlns:wp14="http://schemas.microsoft.com/office/word/2010/wordml" w:rsidP="436224F3" w14:paraId="5FD036DA" wp14:textId="77777777">
      <w:pPr>
        <w:keepNext w:val="1"/>
        <w:spacing w:before="170" w:after="50" w:line="262" w:lineRule="auto"/>
        <w:keepNext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1.1 Presupuesto de mesa por procedencia</w:t>
      </w:r>
    </w:p>
    <w:p xmlns:wp14="http://schemas.microsoft.com/office/word/2010/wordml" w14:paraId="42169DDD" wp14:textId="77777777">
      <w:pPr>
        <w:spacing w:before="0" w:after="9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lang w:val="en-US"/>
        </w:rPr>
        <w:t xml:space="preserve">Guía (elimina al entregar): </w:t>
      </w: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lang w:val="en-US"/>
        </w:rPr>
        <w:t>reparte el presupuesto total de tokens entre lo que el agente necesita ver en cada llamada. Justifica cada tamaño: por qué esa fuente merece ese espacio en este caso.</w:t>
      </w:r>
    </w:p>
    <w:tbl>
      <w:tblPr>
        <w:tblW w:w="972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1800"/>
        <w:gridCol w:w="2620"/>
      </w:tblGrid>
      <w:tr xmlns:wp14="http://schemas.microsoft.com/office/word/2010/wordml" w:rsidTr="436224F3" w14:paraId="254A8363" wp14:textId="77777777">
        <w:trPr>
          <w:cantSplit/>
          <w:tblHeader/>
        </w:trPr>
        <w:tc>
          <w:tcPr>
            <w:tcW w:w="2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675B9645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Procedencia</w:t>
            </w:r>
          </w:p>
        </w:tc>
        <w:tc>
          <w:tcPr>
            <w:tcW w:w="3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682D7E60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Qué contiene exactamente</w:t>
            </w:r>
          </w:p>
        </w:tc>
        <w:tc>
          <w:tcPr>
            <w:tcW w:w="1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402B3DBC" wp14:textId="77777777">
            <w:pPr>
              <w:spacing w:before="0" w:after="20" w:line="26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Tokens y %</w:t>
            </w:r>
          </w:p>
        </w:tc>
        <w:tc>
          <w:tcPr>
            <w:tcW w:w="26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4A661F4B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Por qué ese tamaño</w:t>
            </w:r>
          </w:p>
        </w:tc>
      </w:tr>
      <w:tr xmlns:wp14="http://schemas.microsoft.com/office/word/2010/wordml" w:rsidTr="436224F3" w14:paraId="2BDFB382" wp14:textId="77777777">
        <w:trPr>
          <w:cantSplit/>
        </w:trPr>
        <w:tc>
          <w:tcPr>
            <w:tcW w:w="2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6514A4CE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>Instrucciones de la tarea</w:t>
            </w:r>
          </w:p>
        </w:tc>
        <w:tc>
          <w:tcPr>
            <w:tcW w:w="3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05F94881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1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E57D614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6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0CEBB0FC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436224F3" w14:paraId="201BF1B1" wp14:textId="77777777">
        <w:trPr>
          <w:cantSplit/>
        </w:trPr>
        <w:tc>
          <w:tcPr>
            <w:tcW w:w="2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1347CD2C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>Evidencia del caso (por fuente)</w:t>
            </w:r>
          </w:p>
        </w:tc>
        <w:tc>
          <w:tcPr>
            <w:tcW w:w="3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13028C30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1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554311D6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6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5F523479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436224F3" w14:paraId="30CE2165" wp14:textId="77777777">
        <w:trPr>
          <w:cantSplit/>
        </w:trPr>
        <w:tc>
          <w:tcPr>
            <w:tcW w:w="2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0BE9F904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>Espacio de respuesta</w:t>
            </w:r>
          </w:p>
        </w:tc>
        <w:tc>
          <w:tcPr>
            <w:tcW w:w="3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6F42D61C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1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3FACCAC4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6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071DBE7D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436224F3" w14:paraId="4F871748" wp14:textId="77777777">
        <w:trPr>
          <w:cantSplit/>
        </w:trPr>
        <w:tc>
          <w:tcPr>
            <w:tcW w:w="2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6FE0C09" wp14:textId="77777777">
            <w:pPr>
              <w:spacing w:before="0" w:after="20" w:line="26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Total</w:t>
            </w:r>
          </w:p>
        </w:tc>
        <w:tc>
          <w:tcPr>
            <w:tcW w:w="3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047F2678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1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0DDB5EA0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6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5F2078D3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</w:tbl>
    <w:p xmlns:wp14="http://schemas.microsoft.com/office/word/2010/wordml" w14:paraId="6FD1F57D" wp14:textId="77777777">
      <w:pPr>
        <w:spacing w:before="0" w:after="13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1A7F37"/>
          <w:sz w:val="19"/>
          <w:szCs w:val="19"/>
          <w:lang w:val="en-US"/>
        </w:rPr>
        <w:t xml:space="preserve">Sobresaliente: </w:t>
      </w: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1A7F37"/>
          <w:sz w:val="19"/>
          <w:szCs w:val="19"/>
          <w:lang w:val="en-US"/>
        </w:rPr>
        <w:t>números y porcentajes por procedencia con justificación de negocio; el total coincide con el presupuesto de diseño del notebook.</w:t>
      </w:r>
    </w:p>
    <w:p xmlns:wp14="http://schemas.microsoft.com/office/word/2010/wordml" w:rsidP="436224F3" w14:paraId="0874A084" wp14:textId="77777777">
      <w:pPr>
        <w:keepNext w:val="1"/>
        <w:spacing w:before="170" w:after="50" w:line="262" w:lineRule="auto"/>
        <w:keepNext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1.2 Reglas de selección y compresión</w:t>
      </w:r>
    </w:p>
    <w:p xmlns:wp14="http://schemas.microsoft.com/office/word/2010/wordml" w14:paraId="213643CC" wp14:textId="77777777">
      <w:pPr>
        <w:spacing w:before="0" w:after="9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lang w:val="en-US"/>
        </w:rPr>
        <w:t xml:space="preserve">Guía (elimina al entregar): </w:t>
      </w: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lang w:val="en-US"/>
        </w:rPr>
        <w:t>indica qué datos seleccionas, agregas o descartas y qué información se pierde. Añade un ejemplo breve de antes y después con su fuente. Se evalúa el diseño razonado; no se pide programar un compresor adicional.</w:t>
      </w:r>
    </w:p>
    <w:p xmlns:wp14="http://schemas.microsoft.com/office/word/2010/wordml" w:rsidP="436224F3" w14:paraId="16BB6A1A" wp14:textId="77777777">
      <w:pPr>
        <w:pBdr>
          <w:top w:val="single" w:color="DDDDDD" w:sz="4" w:space="0"/>
          <w:left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8F9FB"/>
        <w:spacing w:after="200"/>
      </w:pP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:rsidP="436224F3" w14:paraId="23734C53" wp14:textId="77777777">
      <w:pPr>
        <w:keepNext w:val="1"/>
        <w:spacing w:before="170" w:after="50" w:line="262" w:lineRule="auto"/>
        <w:keepNext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1.3 Aislamiento de datos e instrucciones</w:t>
      </w:r>
    </w:p>
    <w:p xmlns:wp14="http://schemas.microsoft.com/office/word/2010/wordml" w14:paraId="2B432747" wp14:textId="77777777">
      <w:pPr>
        <w:spacing w:before="0" w:after="9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lang w:val="en-US"/>
        </w:rPr>
        <w:t xml:space="preserve">Guía (elimina al entregar): </w:t>
      </w: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lang w:val="en-US"/>
        </w:rPr>
        <w:t>el texto que viene de fuera (comentarios, portales, correos) entra como datos en un bloque marcado, nunca como instrucciones. Declara qué fuentes son texto libre externo, cómo se marcan, y qué riesgo reduce y qué límites conserva frente a instrucciones inyectadas (condiciones y límites de la lección 4.3).</w:t>
      </w:r>
    </w:p>
    <w:p xmlns:wp14="http://schemas.microsoft.com/office/word/2010/wordml" w:rsidP="436224F3" w14:paraId="768AD03C" wp14:textId="77777777">
      <w:pPr>
        <w:pBdr>
          <w:top w:val="single" w:color="DDDDDD" w:sz="4" w:space="0"/>
          <w:left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8F9FB"/>
        <w:spacing w:after="200"/>
      </w:pP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:rsidP="436224F3" w14:paraId="6C6DDF9D" wp14:textId="77777777">
      <w:pPr>
        <w:keepNext w:val="1"/>
        <w:spacing w:before="170" w:after="50" w:line="262" w:lineRule="auto"/>
        <w:keepNext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1.4 Vigencia y cita por fuente</w:t>
      </w:r>
    </w:p>
    <w:p xmlns:wp14="http://schemas.microsoft.com/office/word/2010/wordml" w14:paraId="4E785B8F" wp14:textId="77777777">
      <w:pPr>
        <w:spacing w:before="0" w:after="9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lang w:val="en-US"/>
        </w:rPr>
        <w:t xml:space="preserve">Guía (elimina al entregar): </w:t>
      </w: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lang w:val="en-US"/>
        </w:rPr>
        <w:t>cada evidencia se cita con su fecha y cada fuente tiene una ventana de vigencia. Define qué pasa cuando la evidencia caduca a media corrida: se recalcula, se degrada declarando, o se escala.</w:t>
      </w:r>
    </w:p>
    <w:tbl>
      <w:tblPr>
        <w:tblW w:w="972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00"/>
        <w:gridCol w:w="2620"/>
      </w:tblGrid>
      <w:tr xmlns:wp14="http://schemas.microsoft.com/office/word/2010/wordml" w:rsidTr="436224F3" w14:paraId="0B7703DC" wp14:textId="77777777">
        <w:trPr>
          <w:cantSplit/>
          <w:tblHeader/>
        </w:trPr>
        <w:tc>
          <w:tcPr>
            <w:tcW w:w="2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2E63A16D" wp14:textId="77777777">
            <w:pPr>
              <w:spacing w:before="0" w:after="20" w:line="26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w="2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772A64D4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Ventana de vigencia</w:t>
            </w:r>
          </w:p>
        </w:tc>
        <w:tc>
          <w:tcPr>
            <w:tcW w:w="2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0C2B84E0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Formato de cita</w:t>
            </w:r>
          </w:p>
        </w:tc>
        <w:tc>
          <w:tcPr>
            <w:tcW w:w="26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106F2D89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Qué pasa al caducar</w:t>
            </w:r>
          </w:p>
        </w:tc>
      </w:tr>
      <w:tr xmlns:wp14="http://schemas.microsoft.com/office/word/2010/wordml" w:rsidTr="436224F3" w14:paraId="37D0EFF7" wp14:textId="77777777">
        <w:trPr>
          <w:cantSplit/>
        </w:trPr>
        <w:tc>
          <w:tcPr>
            <w:tcW w:w="2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347D535B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11C89389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2D6E9B39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6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3FAC5DA8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436224F3" w14:paraId="48726E3E" wp14:textId="77777777">
        <w:trPr>
          <w:cantSplit/>
        </w:trPr>
        <w:tc>
          <w:tcPr>
            <w:tcW w:w="2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E9C35DB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20580CC0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2A14D250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6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0342DC0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436224F3" w14:paraId="5D9DD8FD" wp14:textId="77777777">
        <w:trPr>
          <w:cantSplit/>
        </w:trPr>
        <w:tc>
          <w:tcPr>
            <w:tcW w:w="2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2E8332A7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6454E809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079B174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6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74B722DF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</w:tbl>
    <w:p xmlns:wp14="http://schemas.microsoft.com/office/word/2010/wordml" w:rsidP="436224F3" w14:paraId="0693D3A9" wp14:textId="77777777">
      <w:pPr>
        <w:keepNext w:val="1"/>
        <w:spacing w:before="170" w:after="50" w:line="262" w:lineRule="auto"/>
        <w:keepNext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1.5 Aplicación a las dos consultas centrales del caso</w:t>
      </w:r>
    </w:p>
    <w:p xmlns:wp14="http://schemas.microsoft.com/office/word/2010/wordml" w14:paraId="2D611717" wp14:textId="77777777">
      <w:pPr>
        <w:spacing w:before="0" w:after="9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lang w:val="en-US"/>
        </w:rPr>
        <w:t xml:space="preserve">Guía (elimina al entregar): </w:t>
      </w: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lang w:val="en-US"/>
        </w:rPr>
        <w:t>para las consultas de campo y resumen nocturno del caso común, describe qué información incluirías, el presupuesto y las citas. Esta comparación es de diseño; el notebook demuestra un caso de inventario, no implementa ambas consultas completas.</w:t>
      </w:r>
    </w:p>
    <w:p xmlns:wp14="http://schemas.microsoft.com/office/word/2010/wordml" w14:paraId="2BE9A309" wp14:textId="77777777">
      <w:pPr>
        <w:spacing w:before="0" w:after="40" w:line="262"/>
      </w:pPr>
      <w:r>
        <w:rPr>
          <w:rFonts w:ascii="Calibri" w:hAnsi="Calibri" w:eastAsia="Calibri" w:cs="Calibri"/>
          <w:b/>
          <w:bCs/>
          <w:i w:val="false"/>
          <w:iCs w:val="false"/>
          <w:color w:val="1A1A1A"/>
          <w:sz w:val="21"/>
          <w:szCs w:val="21"/>
        </w:rPr>
        <w:t xml:space="preserve">Consulta A:</w:t>
      </w:r>
    </w:p>
    <w:p xmlns:wp14="http://schemas.microsoft.com/office/word/2010/wordml" w:rsidP="436224F3" w14:paraId="57D079DD" wp14:textId="77777777">
      <w:pPr>
        <w:pBdr>
          <w:top w:val="single" w:color="DDDDDD" w:sz="4" w:space="0"/>
          <w:left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8F9FB"/>
        <w:spacing w:after="130"/>
      </w:pP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14:paraId="1E4E6E60" wp14:textId="77777777">
      <w:pPr>
        <w:spacing w:before="0" w:after="40" w:line="262"/>
      </w:pPr>
      <w:r>
        <w:rPr>
          <w:rFonts w:ascii="Calibri" w:hAnsi="Calibri" w:eastAsia="Calibri" w:cs="Calibri"/>
          <w:b/>
          <w:bCs/>
          <w:i w:val="false"/>
          <w:iCs w:val="false"/>
          <w:color w:val="1A1A1A"/>
          <w:sz w:val="21"/>
          <w:szCs w:val="21"/>
        </w:rPr>
        <w:t xml:space="preserve">Consulta B:</w:t>
      </w:r>
    </w:p>
    <w:p xmlns:wp14="http://schemas.microsoft.com/office/word/2010/wordml" w:rsidP="436224F3" w14:paraId="3AA0B33B" wp14:textId="77777777">
      <w:pPr>
        <w:pBdr>
          <w:top w:val="single" w:color="DDDDDD" w:sz="4" w:space="0"/>
          <w:left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8F9FB"/>
        <w:spacing w:after="200"/>
      </w:pP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:rsidP="436224F3" w14:paraId="380C461A" wp14:textId="77777777">
      <w:pPr>
        <w:keepNext w:val="1"/>
        <w:pBdr>
          <w:bottom w:val="single" w:color="0350A1" w:sz="8" w:space="0"/>
        </w:pBdr>
        <w:spacing w:before="300" w:after="70"/>
        <w:keepNext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5"/>
          <w:szCs w:val="25"/>
          <w:lang w:val="en-US"/>
        </w:rPr>
        <w:t>2. Política de memoria (lección 4.2)</w:t>
      </w:r>
    </w:p>
    <w:p xmlns:wp14="http://schemas.microsoft.com/office/word/2010/wordml" w14:paraId="7164600E" wp14:textId="77777777">
      <w:pPr>
        <w:spacing w:before="0" w:after="9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lang w:val="en-US"/>
        </w:rPr>
        <w:t xml:space="preserve">Guía (elimina al entregar): </w:t>
      </w: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lang w:val="en-US"/>
        </w:rPr>
        <w:t>describe qué conservarías en cada tipo de memoria, con su retención y forma de recuperación. El notebook implementa la memoria episódica; las otras políticas se documentan como diseño. La memoria de trabajo se describe en la sección 1; esta tabla cubre las otras tres. No se requieren bases separadas. El portal bajo convenio es el del proveedor ficticio, no Aula Gateway; sus datos no deben persistir.</w:t>
      </w:r>
    </w:p>
    <w:p xmlns:wp14="http://schemas.microsoft.com/office/word/2010/wordml" w:rsidP="436224F3" w14:paraId="37754523" wp14:textId="77777777">
      <w:pPr>
        <w:keepNext w:val="1"/>
        <w:spacing w:before="170" w:after="50" w:line="262" w:lineRule="auto"/>
        <w:keepNext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2.1 Qué escribe cada almacén</w:t>
      </w:r>
    </w:p>
    <w:tbl>
      <w:tblPr>
        <w:tblW w:w="972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2560"/>
        <w:gridCol w:w="2560"/>
      </w:tblGrid>
      <w:tr xmlns:wp14="http://schemas.microsoft.com/office/word/2010/wordml" w:rsidTr="436224F3" w14:paraId="63E76564" wp14:textId="77777777">
        <w:trPr>
          <w:cantSplit/>
          <w:tblHeader/>
        </w:trPr>
        <w:tc>
          <w:tcPr>
            <w:tcW w:w="1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05981D03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Almacén</w:t>
            </w:r>
          </w:p>
        </w:tc>
        <w:tc>
          <w:tcPr>
            <w:tcW w:w="2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23AC1879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Qué escribe (y qué no)</w:t>
            </w:r>
          </w:p>
        </w:tc>
        <w:tc>
          <w:tcPr>
            <w:tcW w:w="25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797FA820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Cuánto persiste y por qué</w:t>
            </w:r>
          </w:p>
        </w:tc>
        <w:tc>
          <w:tcPr>
            <w:tcW w:w="25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2E0DF265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Cómo se recupera y se cita</w:t>
            </w:r>
          </w:p>
        </w:tc>
      </w:tr>
      <w:tr xmlns:wp14="http://schemas.microsoft.com/office/word/2010/wordml" w:rsidTr="436224F3" w14:paraId="377567B4" wp14:textId="77777777">
        <w:trPr>
          <w:cantSplit/>
        </w:trPr>
        <w:tc>
          <w:tcPr>
            <w:tcW w:w="1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16416994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>Episódica</w:t>
            </w:r>
          </w:p>
        </w:tc>
        <w:tc>
          <w:tcPr>
            <w:tcW w:w="2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69E5F631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5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39FCBF0D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5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1344F9A7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436224F3" w14:paraId="695359CB" wp14:textId="77777777">
        <w:trPr>
          <w:cantSplit/>
        </w:trPr>
        <w:tc>
          <w:tcPr>
            <w:tcW w:w="1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73EBD6C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>Semántica</w:t>
            </w:r>
          </w:p>
        </w:tc>
        <w:tc>
          <w:tcPr>
            <w:tcW w:w="2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124C9F98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5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1DFBA1A5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5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3F328EE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436224F3" w14:paraId="3EFD5DD2" wp14:textId="77777777">
        <w:trPr>
          <w:cantSplit/>
        </w:trPr>
        <w:tc>
          <w:tcPr>
            <w:tcW w:w="1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32158160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>Procedimental</w:t>
            </w:r>
          </w:p>
        </w:tc>
        <w:tc>
          <w:tcPr>
            <w:tcW w:w="2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79B82DDF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5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1A8BAE1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56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F4CFF5F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</w:tbl>
    <w:p xmlns:wp14="http://schemas.microsoft.com/office/word/2010/wordml" w:rsidP="436224F3" w14:paraId="3AD18AD7" wp14:textId="77777777">
      <w:pPr>
        <w:keepNext w:val="1"/>
        <w:spacing w:before="170" w:after="50" w:line="262" w:lineRule="auto"/>
        <w:keepNext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2.2 Política de olvido y confidencialidad</w:t>
      </w:r>
    </w:p>
    <w:p xmlns:wp14="http://schemas.microsoft.com/office/word/2010/wordml" w14:paraId="7F646B87" wp14:textId="77777777">
      <w:pPr>
        <w:spacing w:before="0" w:after="9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lang w:val="en-US"/>
        </w:rPr>
        <w:t xml:space="preserve">Guía (elimina al entregar): </w:t>
      </w: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lang w:val="en-US"/>
        </w:rPr>
        <w:t>cada dato retenido tiene su porqué de negocio; cada olvido, su disparador (una fecha, un evento, un vencimiento). Trata explícitamente los datos bajo convenio: qué se usa en la corrida y se descarta, qué jamás entra.</w:t>
      </w:r>
    </w:p>
    <w:p xmlns:wp14="http://schemas.microsoft.com/office/word/2010/wordml" w:rsidP="436224F3" w14:paraId="545CD86A" wp14:textId="77777777">
      <w:pPr>
        <w:pBdr>
          <w:top w:val="single" w:color="DDDDDD" w:sz="4" w:space="0"/>
          <w:left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8F9FB"/>
        <w:spacing w:after="200"/>
      </w:pP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14:paraId="754FC116" wp14:textId="77777777">
      <w:pPr>
        <w:spacing w:before="0" w:after="13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1A7F37"/>
          <w:sz w:val="19"/>
          <w:szCs w:val="19"/>
          <w:lang w:val="en-US"/>
        </w:rPr>
        <w:t xml:space="preserve">Sobresaliente: </w:t>
      </w: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1A7F37"/>
          <w:sz w:val="19"/>
          <w:szCs w:val="19"/>
          <w:lang w:val="en-US"/>
        </w:rPr>
        <w:t>cada retención tiene un porqué de negocio y cada olvido un disparador verificable; el tratamiento de datos bajo convenio resistiría la revisión del comité del caso.</w:t>
      </w:r>
    </w:p>
    <w:p xmlns:wp14="http://schemas.microsoft.com/office/word/2010/wordml" w:rsidP="436224F3" w14:paraId="13BAAA4A" wp14:textId="77777777">
      <w:pPr>
        <w:keepNext w:val="1"/>
        <w:pBdr>
          <w:bottom w:val="single" w:color="0350A1" w:sz="8" w:space="0"/>
        </w:pBdr>
        <w:spacing w:before="300" w:after="70"/>
        <w:keepNext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5"/>
          <w:szCs w:val="25"/>
          <w:lang w:val="en-US"/>
        </w:rPr>
        <w:t>3. Catálogo de herramientas, versión 2 (lección 4.4)</w:t>
      </w:r>
    </w:p>
    <w:p xmlns:wp14="http://schemas.microsoft.com/office/word/2010/wordml" w14:paraId="764C6128" wp14:textId="77777777">
      <w:pPr>
        <w:spacing w:before="0" w:after="9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lang w:val="en-US"/>
        </w:rPr>
        <w:t xml:space="preserve">Guía (elimina al entregar): </w:t>
      </w: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lang w:val="en-US"/>
        </w:rPr>
        <w:t>cada herramienta es un contrato: qué exige antes de ejecutarse, qué efecto produce, qué tan reversible es ese efecto y de qué formas puede fallar. Los permisos se alinean al poder otorgado en el contrato de M1 — mínimo necesario: todo acceso que no se justifica, se elimina. La clase de reversibilidad decide la protección; la acción irreversible del dominio ni siquiera se expone como herramienta.</w:t>
      </w:r>
    </w:p>
    <w:p xmlns:wp14="http://schemas.microsoft.com/office/word/2010/wordml" w:rsidP="436224F3" w14:paraId="6557BE03" wp14:textId="77777777">
      <w:pPr>
        <w:keepNext w:val="1"/>
        <w:spacing w:before="170" w:after="50" w:line="262" w:lineRule="auto"/>
        <w:keepNext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3.1 Contratos de herramienta</w:t>
      </w:r>
    </w:p>
    <w:tbl>
      <w:tblPr>
        <w:tblW w:w="972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100"/>
        <w:gridCol w:w="1800"/>
        <w:gridCol w:w="1620"/>
      </w:tblGrid>
      <w:tr xmlns:wp14="http://schemas.microsoft.com/office/word/2010/wordml" w:rsidTr="436224F3" w14:paraId="77C6733B" wp14:textId="77777777">
        <w:trPr>
          <w:cantSplit/>
          <w:tblHeader/>
        </w:trPr>
        <w:tc>
          <w:tcPr>
            <w:tcW w:w="1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34270DFB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Herramienta</w:t>
            </w:r>
          </w:p>
        </w:tc>
        <w:tc>
          <w:tcPr>
            <w:tcW w:w="2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6FD1BA97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Precondición</w:t>
            </w:r>
          </w:p>
        </w:tc>
        <w:tc>
          <w:tcPr>
            <w:tcW w:w="2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684F171B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Efecto</w:t>
            </w:r>
          </w:p>
        </w:tc>
        <w:tc>
          <w:tcPr>
            <w:tcW w:w="1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2DC2E9A0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Clase de reversibilidad</w:t>
            </w:r>
          </w:p>
        </w:tc>
        <w:tc>
          <w:tcPr>
            <w:tcW w:w="16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1BED17B3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Modos de fallo</w:t>
            </w:r>
          </w:p>
        </w:tc>
      </w:tr>
      <w:tr xmlns:wp14="http://schemas.microsoft.com/office/word/2010/wordml" w:rsidTr="436224F3" w14:paraId="503A554F" wp14:textId="77777777">
        <w:trPr>
          <w:cantSplit/>
        </w:trPr>
        <w:tc>
          <w:tcPr>
            <w:tcW w:w="1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15B5F632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24FF3CCF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750F5B43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1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60BA9F9E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16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0807FD8F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436224F3" w14:paraId="76A48DE9" wp14:textId="77777777">
        <w:trPr>
          <w:cantSplit/>
        </w:trPr>
        <w:tc>
          <w:tcPr>
            <w:tcW w:w="1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0B7FE2E9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5CFE68DE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5B72F211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1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5B15E19C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16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1DA98331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436224F3" w14:paraId="01F146F6" wp14:textId="77777777">
        <w:trPr>
          <w:cantSplit/>
        </w:trPr>
        <w:tc>
          <w:tcPr>
            <w:tcW w:w="1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649C5397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70FB5625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781CB465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1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19008485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16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78A0DB15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436224F3" w14:paraId="70AE0FD6" wp14:textId="77777777">
        <w:trPr>
          <w:cantSplit/>
        </w:trPr>
        <w:tc>
          <w:tcPr>
            <w:tcW w:w="19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5B6A4EA7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244DA85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1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68C4DCA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18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27EDAAA8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16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3E41C7F3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</w:tbl>
    <w:p xmlns:wp14="http://schemas.microsoft.com/office/word/2010/wordml" w:rsidP="436224F3" w14:paraId="62AF8A26" wp14:textId="77777777">
      <w:pPr>
        <w:keepNext w:val="1"/>
        <w:spacing w:before="170" w:after="50" w:line="262" w:lineRule="auto"/>
        <w:keepNext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3.2 La acción de mayor consecuencia y su protección</w:t>
      </w:r>
    </w:p>
    <w:p xmlns:wp14="http://schemas.microsoft.com/office/word/2010/wordml" w14:paraId="2CA5B76A" wp14:textId="77777777">
      <w:pPr>
        <w:spacing w:before="0" w:after="9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lang w:val="en-US"/>
        </w:rPr>
        <w:t xml:space="preserve">Guía (elimina al entregar): </w:t>
      </w: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lang w:val="en-US"/>
        </w:rPr>
        <w:t>identifica la acción de mayor consecuencia que el agente sí ejecuta y describe su protección graduada: registro, vigencia, compensación, aprobación.</w:t>
      </w:r>
    </w:p>
    <w:p xmlns:wp14="http://schemas.microsoft.com/office/word/2010/wordml" w:rsidP="436224F3" w14:paraId="3E6BA6F5" wp14:textId="77777777">
      <w:pPr>
        <w:pBdr>
          <w:top w:val="single" w:color="DDDDDD" w:sz="4" w:space="0"/>
          <w:left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8F9FB"/>
        <w:spacing w:after="200"/>
      </w:pP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14:paraId="76B464A6" wp14:textId="77777777">
      <w:pPr>
        <w:spacing w:before="0" w:after="13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1A7F37"/>
          <w:sz w:val="19"/>
          <w:szCs w:val="19"/>
          <w:lang w:val="en-US"/>
        </w:rPr>
        <w:t xml:space="preserve">Sobresaliente: </w:t>
      </w: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1A7F37"/>
          <w:sz w:val="19"/>
          <w:szCs w:val="19"/>
          <w:lang w:val="en-US"/>
        </w:rPr>
        <w:t>la clase decide la protección; hay al menos una acción del dominio que deliberadamente no existe como herramienta, con su porqué.</w:t>
      </w:r>
    </w:p>
    <w:p xmlns:wp14="http://schemas.microsoft.com/office/word/2010/wordml" w:rsidP="436224F3" w14:paraId="17C491C2" wp14:textId="77777777">
      <w:pPr>
        <w:keepNext w:val="1"/>
        <w:pBdr>
          <w:bottom w:val="single" w:color="0350A1" w:sz="8" w:space="0"/>
        </w:pBdr>
        <w:spacing w:before="300" w:after="70"/>
        <w:keepNext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5"/>
          <w:szCs w:val="25"/>
          <w:lang w:val="en-US"/>
        </w:rPr>
        <w:t>4. Errores, reintentos y escalamiento (lección 4.5)</w:t>
      </w:r>
    </w:p>
    <w:p xmlns:wp14="http://schemas.microsoft.com/office/word/2010/wordml" w14:paraId="612A611A" wp14:textId="77777777">
      <w:pPr>
        <w:spacing w:before="0" w:after="9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lang w:val="en-US"/>
        </w:rPr>
        <w:t xml:space="preserve">Guía (elimina al entregar): </w:t>
      </w: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lang w:val="en-US"/>
        </w:rPr>
        <w:t>un agente de nivel profesional no tiene un manejo de errores: tiene un repertorio. Cada tipo de error conoce su respuesta (reintentar, degradar declarando, detener, escalar), su límite y a quién escala con qué paquete de contexto. Nada se resuelve en silencio.</w:t>
      </w:r>
    </w:p>
    <w:p xmlns:wp14="http://schemas.microsoft.com/office/word/2010/wordml" w:rsidP="436224F3" w14:paraId="7D2F2B22" wp14:textId="77777777">
      <w:pPr>
        <w:keepNext w:val="1"/>
        <w:spacing w:before="170" w:after="50" w:line="262" w:lineRule="auto"/>
        <w:keepNext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4.1 Repertorio de respuestas al error</w:t>
      </w:r>
    </w:p>
    <w:tbl>
      <w:tblPr>
        <w:tblW w:w="972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1500"/>
        <w:gridCol w:w="3220"/>
      </w:tblGrid>
      <w:tr xmlns:wp14="http://schemas.microsoft.com/office/word/2010/wordml" w:rsidTr="436224F3" w14:paraId="62BEE460" wp14:textId="77777777">
        <w:trPr>
          <w:cantSplit/>
          <w:tblHeader/>
        </w:trPr>
        <w:tc>
          <w:tcPr>
            <w:tcW w:w="2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4F95A4C7" wp14:textId="77777777">
            <w:pPr>
              <w:spacing w:before="0" w:after="20" w:line="26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Tipo de error</w:t>
            </w:r>
          </w:p>
        </w:tc>
        <w:tc>
          <w:tcPr>
            <w:tcW w:w="2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7D854840" wp14:textId="77777777">
            <w:pPr>
              <w:spacing w:before="0" w:after="20" w:line="26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Respuesta</w:t>
            </w:r>
          </w:p>
        </w:tc>
        <w:tc>
          <w:tcPr>
            <w:tcW w:w="1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33915C45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Límite de reintentos</w:t>
            </w:r>
          </w:p>
        </w:tc>
        <w:tc>
          <w:tcPr>
            <w:tcW w:w="32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3AD85403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Escala a quién y con qué contexto</w:t>
            </w:r>
          </w:p>
        </w:tc>
      </w:tr>
      <w:tr xmlns:wp14="http://schemas.microsoft.com/office/word/2010/wordml" w:rsidTr="436224F3" w14:paraId="5224749C" wp14:textId="77777777">
        <w:trPr>
          <w:cantSplit/>
        </w:trPr>
        <w:tc>
          <w:tcPr>
            <w:tcW w:w="2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3C33E218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7DD12CFE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1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9149276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2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6EF968A4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436224F3" w14:paraId="44B64DEB" wp14:textId="77777777">
        <w:trPr>
          <w:cantSplit/>
        </w:trPr>
        <w:tc>
          <w:tcPr>
            <w:tcW w:w="2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59F34432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E832D12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1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776CAC7D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2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C459816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436224F3" w14:paraId="5A50DA0B" wp14:textId="77777777">
        <w:trPr>
          <w:cantSplit/>
        </w:trPr>
        <w:tc>
          <w:tcPr>
            <w:tcW w:w="2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7C45BC99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1C628BDA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1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5AEC0E87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2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03C92678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436224F3" w14:paraId="4F1B7C73" wp14:textId="77777777">
        <w:trPr>
          <w:cantSplit/>
        </w:trPr>
        <w:tc>
          <w:tcPr>
            <w:tcW w:w="2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62BE16ED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27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2310AE73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15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3EA80672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2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58D17DDB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</w:tbl>
    <w:p xmlns:wp14="http://schemas.microsoft.com/office/word/2010/wordml" w:rsidP="436224F3" w14:paraId="7067997B" wp14:textId="77777777">
      <w:pPr>
        <w:keepNext w:val="1"/>
        <w:spacing w:before="170" w:after="50" w:line="262" w:lineRule="auto"/>
        <w:keepNext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4.2 Política de silla vacía</w:t>
      </w:r>
    </w:p>
    <w:p xmlns:wp14="http://schemas.microsoft.com/office/word/2010/wordml" w14:paraId="7F14F7C3" wp14:textId="77777777">
      <w:pPr>
        <w:spacing w:before="0" w:after="9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lang w:val="en-US"/>
        </w:rPr>
        <w:t xml:space="preserve">Guía (elimina al entregar): </w:t>
      </w: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lang w:val="en-US"/>
        </w:rPr>
        <w:t>qué pasa cuando el humano que debe decidir no responde: tiempos, recordatorios, a quién se eleva y cuál es el estado seguro por defecto. El estado por defecto no permite acciones irreversibles.</w:t>
      </w:r>
    </w:p>
    <w:p xmlns:wp14="http://schemas.microsoft.com/office/word/2010/wordml" w:rsidP="436224F3" w14:paraId="4D7F0935" wp14:textId="77777777">
      <w:pPr>
        <w:pBdr>
          <w:top w:val="single" w:color="DDDDDD" w:sz="4" w:space="0"/>
          <w:left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8F9FB"/>
        <w:spacing w:after="200"/>
      </w:pP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:rsidP="436224F3" w14:paraId="35D1EBCC" wp14:textId="77777777">
      <w:pPr>
        <w:keepNext w:val="1"/>
        <w:spacing w:before="170" w:after="50" w:line="262" w:lineRule="auto"/>
        <w:keepNext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4.3 Dos casos obligatorios</w:t>
      </w:r>
    </w:p>
    <w:p xmlns:wp14="http://schemas.microsoft.com/office/word/2010/wordml" w14:paraId="1618A43E" wp14:textId="77777777">
      <w:pPr>
        <w:spacing w:before="0" w:after="4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1"/>
          <w:szCs w:val="21"/>
          <w:lang w:val="en-US"/>
        </w:rPr>
        <w:t xml:space="preserve">El duplicado </w:t>
      </w:r>
      <w:r w:rsidRPr="436224F3" w:rsidR="436224F3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(se rechaza antes de crear otro borrador; no se ejecuta una compensación):</w:t>
      </w:r>
    </w:p>
    <w:p xmlns:wp14="http://schemas.microsoft.com/office/word/2010/wordml" w:rsidP="436224F3" w14:paraId="7CCCF98B" wp14:textId="77777777">
      <w:pPr>
        <w:pBdr>
          <w:top w:val="single" w:color="DDDDDD" w:sz="4" w:space="0"/>
          <w:left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8F9FB"/>
        <w:spacing w:after="130"/>
      </w:pP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14:paraId="1F68FD55" wp14:textId="77777777">
      <w:pPr>
        <w:spacing w:before="0" w:after="4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1"/>
          <w:szCs w:val="21"/>
          <w:lang w:val="en-US"/>
        </w:rPr>
        <w:t xml:space="preserve">El conflicto </w:t>
      </w:r>
      <w:r w:rsidRPr="436224F3" w:rsidR="436224F3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(dos evidencias vigentes se contradicen; el notebook simula esta condición con conflicto=True, no la detecta entre los CSV):</w:t>
      </w:r>
    </w:p>
    <w:p xmlns:wp14="http://schemas.microsoft.com/office/word/2010/wordml" w:rsidP="436224F3" w14:paraId="52E2E2BC" wp14:textId="77777777">
      <w:pPr>
        <w:pBdr>
          <w:top w:val="single" w:color="DDDDDD" w:sz="4" w:space="0"/>
          <w:left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8F9FB"/>
        <w:spacing w:after="200"/>
      </w:pP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:rsidP="436224F3" w14:paraId="49B08609" wp14:textId="77777777">
      <w:pPr>
        <w:keepNext w:val="1"/>
        <w:pBdr>
          <w:bottom w:val="single" w:color="0350A1" w:sz="8" w:space="0"/>
        </w:pBdr>
        <w:spacing w:before="300" w:after="70"/>
        <w:keepNext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5"/>
          <w:szCs w:val="25"/>
          <w:lang w:val="en-US"/>
        </w:rPr>
        <w:t>5. Evidencia de ejecución</w:t>
      </w:r>
    </w:p>
    <w:p xmlns:wp14="http://schemas.microsoft.com/office/word/2010/wordml" w14:paraId="48EB35A2" wp14:textId="77777777">
      <w:pPr>
        <w:spacing w:before="0" w:after="9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lang w:val="en-US"/>
        </w:rPr>
        <w:t xml:space="preserve">Guía (elimina al entregar): </w:t>
      </w: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lang w:val="en-US"/>
        </w:rPr>
        <w:t>incorpora los cuatro registros legibles del notebook y explica qué comprueba cada uno. Identifica la modalidad elegida. Si usaste Luna, reporta su respuesta validada y consumo; no incluyas tu clave. Las explicaciones pueden variar, pero los controles esperados son los mismos.</w:t>
      </w:r>
    </w:p>
    <w:p xmlns:wp14="http://schemas.microsoft.com/office/word/2010/wordml" w14:paraId="34479704" wp14:textId="77777777">
      <w:pPr>
        <w:spacing w:before="0" w:after="4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1"/>
          <w:szCs w:val="21"/>
          <w:lang w:val="en-US"/>
        </w:rPr>
        <w:t>Evidencias de ejecución en el PDF:</w:t>
      </w:r>
    </w:p>
    <w:p xmlns:wp14="http://schemas.microsoft.com/office/word/2010/wordml" w:rsidP="436224F3" w14:paraId="2C16B45B" wp14:textId="77777777">
      <w:pPr>
        <w:pBdr>
          <w:top w:val="single" w:color="DDDDDD" w:sz="4" w:space="0"/>
          <w:left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8F9FB"/>
        <w:spacing w:after="130"/>
      </w:pP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14:paraId="510E9ABE" wp14:textId="77777777">
      <w:pPr>
        <w:spacing w:before="0" w:after="4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0"/>
          <w:szCs w:val="20"/>
          <w:lang w:val="en-US"/>
        </w:rPr>
        <w:t>Registro 1 — presupuesto, vigencia, fuente con fecha, episodio guardado y borrador local:</w:t>
      </w:r>
    </w:p>
    <w:p xmlns:wp14="http://schemas.microsoft.com/office/word/2010/wordml" w:rsidP="436224F3" w14:paraId="27744256" wp14:textId="77777777">
      <w:pPr>
        <w:pBdr>
          <w:top w:val="single" w:color="DDDDDD" w:sz="4" w:space="0"/>
          <w:left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8F9FB"/>
        <w:spacing w:after="130"/>
      </w:pP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14:paraId="4D7550DA" wp14:textId="77777777">
      <w:pPr>
        <w:spacing w:before="0" w:after="4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0"/>
          <w:szCs w:val="20"/>
          <w:lang w:val="en-US"/>
        </w:rPr>
        <w:t>Registro 2 — episodio recuperado, rechazo por duplicado y conflicto escalado:</w:t>
      </w:r>
    </w:p>
    <w:p xmlns:wp14="http://schemas.microsoft.com/office/word/2010/wordml" w:rsidP="436224F3" w14:paraId="22A8CAEB" wp14:textId="77777777">
      <w:pPr>
        <w:pBdr>
          <w:top w:val="single" w:color="DDDDDD" w:sz="4" w:space="0"/>
          <w:left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8F9FB"/>
        <w:spacing w:after="130"/>
      </w:pP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14:paraId="2F39925E" wp14:textId="77777777">
      <w:pPr>
        <w:spacing w:before="0" w:after="4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0"/>
          <w:szCs w:val="20"/>
          <w:lang w:val="en-US"/>
        </w:rPr>
        <w:t>Registros 3 y 4 — caso adversarial y exclusión del portal; reintentos y silla vacía simulados:</w:t>
      </w:r>
    </w:p>
    <w:p xmlns:wp14="http://schemas.microsoft.com/office/word/2010/wordml" w:rsidP="436224F3" w14:paraId="008B6F58" wp14:textId="77777777">
      <w:pPr>
        <w:pBdr>
          <w:top w:val="single" w:color="DDDDDD" w:sz="4" w:space="0"/>
          <w:left w:val="single" w:color="DDDDDD" w:sz="4" w:space="0"/>
          <w:bottom w:val="single" w:color="DDDDDD" w:sz="4" w:space="0"/>
          <w:left w:val="single" w:color="DDDDDD" w:sz="4"/>
          <w:right w:val="single" w:color="DDDDDD" w:sz="4" w:space="0"/>
        </w:pBdr>
        <w:shd w:val="clear" w:color="auto" w:fill="F8F9FB"/>
        <w:spacing w:after="200"/>
      </w:pP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:rsidP="436224F3" w14:paraId="70F70A46" wp14:textId="77777777">
      <w:pPr>
        <w:pBdr>
          <w:bottom w:val="single" w:color="0350A1" w:sz="8" w:space="0"/>
        </w:pBdr>
        <w:spacing w:before="300" w:after="70"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5"/>
          <w:szCs w:val="25"/>
          <w:lang w:val="en-US"/>
        </w:rPr>
        <w:t>Autoevaluación contra la rúbrica</w:t>
      </w:r>
    </w:p>
    <w:p xmlns:wp14="http://schemas.microsoft.com/office/word/2010/wordml" w14:paraId="24AD541B" wp14:textId="77777777">
      <w:pPr>
        <w:spacing w:before="0" w:after="9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1"/>
          <w:iCs w:val="1"/>
          <w:color w:val="6A737D"/>
          <w:sz w:val="19"/>
          <w:szCs w:val="19"/>
          <w:lang w:val="en-US"/>
        </w:rPr>
        <w:t xml:space="preserve">Guía (elimina al entregar): </w:t>
      </w: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lang w:val="en-US"/>
        </w:rPr>
        <w:t>señala, por criterio, la sección y el registro que respaldan tu respuesta. Usar API no agrega puntos. Explica qué verificaste, qué limitaciones encontraste y qué decisiones corresponden solo al diseño.</w:t>
      </w:r>
    </w:p>
    <w:tbl>
      <w:tblPr>
        <w:tblW w:w="972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200"/>
        <w:gridCol w:w="4220"/>
      </w:tblGrid>
      <w:tr xmlns:wp14="http://schemas.microsoft.com/office/word/2010/wordml" w:rsidTr="436224F3" w14:paraId="064AA131" wp14:textId="77777777">
        <w:trPr>
          <w:cantSplit/>
          <w:tblHeader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784CEF5B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Criterio</w:t>
            </w:r>
          </w:p>
        </w:tc>
        <w:tc>
          <w:tcPr>
            <w:tcW w:w="1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3A59BDCF" wp14:textId="77777777">
            <w:pPr>
              <w:spacing w:before="0" w:after="20" w:line="262"/>
            </w:pPr>
            <w:r>
              <w:rPr>
                <w:rFonts w:ascii="Calibri" w:hAnsi="Calibri" w:eastAsia="Calibri" w:cs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Peso (%)</w:t>
            </w:r>
          </w:p>
        </w:tc>
        <w:tc>
          <w:tcPr>
            <w:tcW w:w="42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41C05B93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Dónde está nuestra evidencia</w:t>
            </w:r>
          </w:p>
        </w:tc>
      </w:tr>
      <w:tr xmlns:wp14="http://schemas.microsoft.com/office/word/2010/wordml" w:rsidTr="436224F3" w14:paraId="4FEF425A" wp14:textId="77777777">
        <w:trPr>
          <w:cantSplit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2CCB086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>Paquete de contexto con las cuatro condiciones demostradas</w:t>
            </w:r>
          </w:p>
        </w:tc>
        <w:tc>
          <w:tcPr>
            <w:tcW w:w="1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BFDD700" wp14:textId="77777777">
            <w:pPr>
              <w:spacing w:before="0" w:after="20" w:line="26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w="42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0FB7C660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436224F3" w14:paraId="0958C9F9" wp14:textId="77777777">
        <w:trPr>
          <w:cantSplit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1EEC1CA2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>Política de memoria completa con olvido y confidencialidad</w:t>
            </w:r>
          </w:p>
        </w:tc>
        <w:tc>
          <w:tcPr>
            <w:tcW w:w="1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1C203047" wp14:textId="77777777">
            <w:pPr>
              <w:spacing w:before="0" w:after="20" w:line="26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25</w:t>
            </w:r>
          </w:p>
        </w:tc>
        <w:tc>
          <w:tcPr>
            <w:tcW w:w="42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0F393CA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436224F3" w14:paraId="5A6C8533" wp14:textId="77777777">
        <w:trPr>
          <w:cantSplit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2EFDF42A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>Contratos de herramienta con clases y modos de fallo</w:t>
            </w:r>
          </w:p>
        </w:tc>
        <w:tc>
          <w:tcPr>
            <w:tcW w:w="1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5007C906" wp14:textId="77777777">
            <w:pPr>
              <w:spacing w:before="0" w:after="20" w:line="26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w="42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758BF812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436224F3" w14:paraId="260E133F" wp14:textId="77777777">
        <w:trPr>
          <w:cantSplit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738236D0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>Manejo de error y silla vacía demostrados en registro de ejecución</w:t>
            </w:r>
          </w:p>
        </w:tc>
        <w:tc>
          <w:tcPr>
            <w:tcW w:w="1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72A4FFC0" wp14:textId="77777777">
            <w:pPr>
              <w:spacing w:before="0" w:after="20" w:line="26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w="42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1DBE3B5D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436224F3" w14:paraId="5FECE2C7" wp14:textId="77777777">
        <w:trPr>
          <w:cantSplit/>
        </w:trPr>
        <w:tc>
          <w:tcPr>
            <w:tcW w:w="43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6623855E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A1A1A"/>
                <w:sz w:val="19"/>
                <w:szCs w:val="19"/>
                <w:lang w:val="en-US"/>
              </w:rPr>
              <w:t>Trazabilidad al contrato de M1 y a la especificación de M2</w:t>
            </w:r>
          </w:p>
        </w:tc>
        <w:tc>
          <w:tcPr>
            <w:tcW w:w="1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5D369756" wp14:textId="77777777">
            <w:pPr>
              <w:spacing w:before="0" w:after="20" w:line="262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w="42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22EF120A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</w:tbl>
    <w:p xmlns:wp14="http://schemas.microsoft.com/office/word/2010/wordml" w14:paraId="0A6959E7" wp14:textId="77777777">
      <w:pPr>
        <w:spacing w:before="0" w:after="60" w:line="262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1A1A1A"/>
          <w:sz w:val="8"/>
          <w:szCs w:val="8"/>
        </w:rPr>
        <w:t xml:space="preserve"> </w:t>
      </w:r>
    </w:p>
    <w:p xmlns:wp14="http://schemas.microsoft.com/office/word/2010/wordml" w:rsidP="436224F3" w14:paraId="352711F4" wp14:textId="77777777">
      <w:pPr>
        <w:pBdr>
          <w:bottom w:val="single" w:color="0350A1" w:sz="8" w:space="0"/>
        </w:pBdr>
        <w:spacing w:before="300" w:after="70"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5"/>
          <w:szCs w:val="25"/>
          <w:lang w:val="en-US"/>
        </w:rPr>
        <w:t>Apéndices (obligatorios, no puntuados)</w:t>
      </w:r>
    </w:p>
    <w:p xmlns:wp14="http://schemas.microsoft.com/office/word/2010/wordml" w14:paraId="3586B385" wp14:textId="77777777">
      <w:pPr>
        <w:spacing w:before="170" w:after="5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A. Contribución del equipo</w:t>
      </w:r>
    </w:p>
    <w:tbl>
      <w:tblPr>
        <w:tblW w:w="972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320"/>
      </w:tblGrid>
      <w:tr xmlns:wp14="http://schemas.microsoft.com/office/word/2010/wordml" w:rsidTr="436224F3" w14:paraId="4BE4415D" wp14:textId="77777777">
        <w:trPr>
          <w:cantSplit/>
          <w:tblHeader/>
        </w:trPr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11B57B39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Sección</w:t>
            </w:r>
          </w:p>
        </w:tc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399F6A14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Responsable</w:t>
            </w:r>
          </w:p>
        </w:tc>
        <w:tc>
          <w:tcPr>
            <w:tcW w:w="33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val="clear" w:color="auto" w:fill="0350A1"/>
            <w:tcMar/>
          </w:tcPr>
          <w:p w14:paraId="1AA75F91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/>
                <w:sz w:val="19"/>
                <w:szCs w:val="19"/>
                <w:lang w:val="en-US"/>
              </w:rPr>
              <w:t>La decisión más discutida</w:t>
            </w:r>
          </w:p>
        </w:tc>
      </w:tr>
      <w:tr xmlns:wp14="http://schemas.microsoft.com/office/word/2010/wordml" w:rsidTr="436224F3" w14:paraId="5D661B74" wp14:textId="77777777">
        <w:trPr>
          <w:cantSplit/>
        </w:trPr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19097E61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3082F794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3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7313380A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436224F3" w14:paraId="278D3D8D" wp14:textId="77777777">
        <w:trPr>
          <w:cantSplit/>
        </w:trPr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48798214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26372BE7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3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684A7061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436224F3" w14:paraId="09E45A00" wp14:textId="77777777">
        <w:trPr>
          <w:cantSplit/>
        </w:trPr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75FA29B0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0345B502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3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32EF1A1A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436224F3" w14:paraId="522107DA" wp14:textId="77777777">
        <w:trPr>
          <w:cantSplit/>
        </w:trPr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3ECE3CC2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55A716B2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3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2F701931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  <w:tr xmlns:wp14="http://schemas.microsoft.com/office/word/2010/wordml" w:rsidTr="436224F3" w14:paraId="4EAE1FDB" wp14:textId="77777777">
        <w:trPr>
          <w:cantSplit/>
        </w:trPr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20E916C3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20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68679130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  <w:tc>
          <w:tcPr>
            <w:tcW w:w="3320" w:type="dxa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/>
          </w:tcPr>
          <w:p w14:paraId="57090225" wp14:textId="77777777">
            <w:pPr>
              <w:spacing w:before="0" w:after="20" w:line="262" w:lineRule="auto"/>
            </w:pPr>
            <w:r w:rsidRPr="436224F3" w:rsidR="436224F3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olor w:val="999999"/>
                <w:sz w:val="19"/>
                <w:szCs w:val="19"/>
                <w:lang w:val="en-US"/>
              </w:rPr>
              <w:t>Escribe aquí.</w:t>
            </w:r>
          </w:p>
        </w:tc>
      </w:tr>
    </w:tbl>
    <w:p xmlns:wp14="http://schemas.microsoft.com/office/word/2010/wordml" w14:paraId="0EF28DA5" wp14:textId="77777777">
      <w:pPr>
        <w:spacing w:before="170" w:after="5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0350A1"/>
          <w:sz w:val="22"/>
          <w:szCs w:val="22"/>
          <w:lang w:val="en-US"/>
        </w:rPr>
        <w:t>B. Declaración de uso de IA</w:t>
      </w:r>
    </w:p>
    <w:p xmlns:wp14="http://schemas.microsoft.com/office/word/2010/wordml" w14:paraId="235A63FD" wp14:textId="77777777">
      <w:pPr>
        <w:spacing w:before="0" w:after="70" w:line="262" w:lineRule="auto"/>
      </w:pPr>
      <w:r w:rsidRPr="436224F3" w:rsidR="436224F3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0"/>
          <w:szCs w:val="20"/>
          <w:lang w:val="en-US"/>
        </w:rPr>
        <w:t>La IA está permitida en esta entrega; la condición es la misma que el curso les enseña a exigir: toda delegación se declara.</w:t>
      </w:r>
    </w:p>
    <w:p xmlns:wp14="http://schemas.microsoft.com/office/word/2010/wordml" w14:paraId="5E6400B8" wp14:textId="77777777">
      <w:pPr>
        <w:spacing w:before="0" w:after="11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1"/>
          <w:szCs w:val="21"/>
          <w:lang w:val="en-US"/>
        </w:rPr>
        <w:t xml:space="preserve">Qué le delegamos: </w:t>
      </w:r>
      <w:r w:rsidRPr="436224F3" w:rsidR="436224F3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1"/>
          <w:szCs w:val="21"/>
          <w:lang w:val="en-US"/>
        </w:rPr>
        <w:t xml:space="preserve">qué partes hizo la IA y con qué herramienta. </w:t>
      </w: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14:paraId="39F4F63C" wp14:textId="77777777">
      <w:pPr>
        <w:spacing w:before="0" w:after="11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1"/>
          <w:szCs w:val="21"/>
          <w:lang w:val="en-US"/>
        </w:rPr>
        <w:t xml:space="preserve">Qué verificamos: </w:t>
      </w:r>
      <w:r w:rsidRPr="436224F3" w:rsidR="436224F3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1"/>
          <w:szCs w:val="21"/>
          <w:lang w:val="en-US"/>
        </w:rPr>
        <w:t xml:space="preserve">qué revisamos contra el contrato de M1, la especificación de M2, el conjunto de datos o las lecciones antes de aceptarlo. </w:t>
      </w: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14:paraId="000D6A6D" wp14:textId="77777777">
      <w:pPr>
        <w:spacing w:before="0" w:after="170" w:line="262" w:lineRule="auto"/>
      </w:pPr>
      <w:r w:rsidRPr="436224F3" w:rsidR="436224F3">
        <w:rPr>
          <w:rFonts w:ascii="Calibri" w:hAnsi="Calibri" w:eastAsia="Calibri" w:cs="Calibri"/>
          <w:b w:val="1"/>
          <w:bCs w:val="1"/>
          <w:i w:val="0"/>
          <w:iCs w:val="0"/>
          <w:color w:val="1A1A1A"/>
          <w:sz w:val="21"/>
          <w:szCs w:val="21"/>
          <w:lang w:val="en-US"/>
        </w:rPr>
        <w:t xml:space="preserve">Qué corregimos: </w:t>
      </w:r>
      <w:r w:rsidRPr="436224F3" w:rsidR="436224F3">
        <w:rPr>
          <w:rFonts w:ascii="Calibri" w:hAnsi="Calibri" w:eastAsia="Calibri" w:cs="Calibri"/>
          <w:b w:val="0"/>
          <w:bCs w:val="0"/>
          <w:i w:val="0"/>
          <w:iCs w:val="0"/>
          <w:color w:val="1A1A1A"/>
          <w:sz w:val="21"/>
          <w:szCs w:val="21"/>
          <w:lang w:val="en-US"/>
        </w:rPr>
        <w:t xml:space="preserve">qué cambió tras verificar; si no usaron IA o no encontraron errores, indíquenlo sin inventar una corrección. </w:t>
      </w: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999999"/>
          <w:sz w:val="21"/>
          <w:szCs w:val="21"/>
          <w:lang w:val="en-US"/>
        </w:rPr>
        <w:t>Escribe aquí.</w:t>
      </w:r>
    </w:p>
    <w:p xmlns:wp14="http://schemas.microsoft.com/office/word/2010/wordml" w14:paraId="0D2EA29E" wp14:textId="77777777">
      <w:pPr>
        <w:spacing w:before="0" w:after="110" w:line="262" w:lineRule="auto"/>
      </w:pPr>
      <w:r w:rsidRPr="436224F3" w:rsidR="436224F3">
        <w:rPr>
          <w:rFonts w:ascii="Calibri" w:hAnsi="Calibri" w:eastAsia="Calibri" w:cs="Calibri"/>
          <w:b w:val="0"/>
          <w:bCs w:val="0"/>
          <w:i w:val="1"/>
          <w:iCs w:val="1"/>
          <w:color w:val="6A737D"/>
          <w:sz w:val="19"/>
          <w:szCs w:val="19"/>
          <w:lang w:val="en-US"/>
        </w:rPr>
        <w:t>Si falta un apéndice, consulta al equipo docente. Cualquier ampliación del plazo requiere autorización expresa conforme a las Políticas del curso.</w:t>
      </w:r>
    </w:p>
    <w:sectPr>
      <w:pgSz w:w="12240" w:h="15840" w:orient="portrait"/>
      <w:pgMar w:top="1030" w:right="1180" w:bottom="1030" w:left="11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0779c0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CE9DC1E"/>
  <w15:docId w15:val="{877A638B-D764-4F5E-B6C1-D34878459B74}"/>
  <w:rsids>
    <w:rsidRoot w:val="09D3623F"/>
    <w:rsid w:val="09D3623F"/>
    <w:rsid w:val="436224F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Cesar Mayrhont Avila Morales</lastModifiedBy>
  <revision>2</revision>
  <dcterms:created xsi:type="dcterms:W3CDTF">2026-08-05T06:47:44.8390000Z</dcterms:created>
  <dcterms:modified xsi:type="dcterms:W3CDTF">2026-10-23T03:14:06.8263739Z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