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1400" w:after="0" w:line="264" w:lineRule="auto"/>
      </w:pPr>
    </w:p>
    <w:p>
      <w:pPr>
        <w:jc w:val="center"/>
        <w:spacing w:before="0" w:after="100" w:line="264" w:lineRule="auto"/>
      </w:pPr>
      <w:r>
        <w:rPr>
          <w:rFonts w:ascii="Tahoma" w:hAnsi="Tahoma" w:cs="Tahoma"/>
          <w:sz w:val="56"/>
          <w:szCs w:val="56"/>
          <w:b/>
          <w:color w:val="1F3864"/>
        </w:rPr>
        <w:t xml:space="preserve">MANUAL TÉCNICO</w:t>
      </w:r>
    </w:p>
    <w:p>
      <w:pPr>
        <w:jc w:val="center"/>
        <w:spacing w:before="0" w:after="80" w:line="264" w:lineRule="auto"/>
      </w:pPr>
      <w:r>
        <w:rPr>
          <w:rFonts w:ascii="Tahoma" w:hAnsi="Tahoma" w:cs="Tahoma"/>
          <w:sz w:val="36"/>
          <w:szCs w:val="36"/>
          <w:color w:val="2E5C9A"/>
        </w:rPr>
        <w:t xml:space="preserve">Agente de Aprobación de Pólizas</w:t>
      </w:r>
    </w:p>
    <w:p>
      <w:pPr>
        <w:jc w:val="center"/>
        <w:spacing w:before="0" w:after="600" w:line="264" w:lineRule="auto"/>
      </w:pPr>
      <w:r>
        <w:rPr>
          <w:rFonts w:ascii="Tahoma" w:hAnsi="Tahoma" w:cs="Tahoma"/>
          <w:sz w:val="24"/>
          <w:szCs w:val="24"/>
          <w:color w:val="595959"/>
        </w:rPr>
        <w:t xml:space="preserve">Motor agente_poliza</w:t>
      </w:r>
    </w:p>
    <w:p>
      <w:pPr>
        <w:jc w:val="center"/>
        <w:spacing w:before="0" w:after="40" w:line="264" w:lineRule="auto"/>
      </w:pPr>
      <w:r>
        <w:rPr>
          <w:rFonts w:ascii="Tahoma" w:hAnsi="Tahoma" w:cs="Tahoma"/>
          <w:sz w:val="24"/>
          <w:szCs w:val="24"/>
          <w:b/>
        </w:rPr>
        <w:t xml:space="preserve">Versión 2.0</w:t>
      </w:r>
    </w:p>
    <w:p>
      <w:pPr>
        <w:jc w:val="center"/>
        <w:spacing w:before="0" w:after="40" w:line="264" w:lineRule="auto"/>
      </w:pPr>
      <w:r>
        <w:rPr>
          <w:rFonts w:ascii="Tahoma" w:hAnsi="Tahoma" w:cs="Tahoma"/>
          <w:sz w:val="22"/>
          <w:szCs w:val="22"/>
          <w:color w:val="595959"/>
        </w:rPr>
        <w:t xml:space="preserve">31 de julio de 2026</w:t>
      </w:r>
    </w:p>
    <w:p>
      <w:pPr>
        <w:jc w:val="center"/>
        <w:spacing w:before="0" w:after="120" w:line="264" w:lineRule="auto"/>
      </w:pPr>
      <w:r>
        <w:rPr>
          <w:rFonts w:ascii="Tahoma" w:hAnsi="Tahoma" w:cs="Tahoma"/>
          <w:sz w:val="20"/>
          <w:szCs w:val="20"/>
          <w:i/>
          <w:color w:val="808080"/>
        </w:rPr>
        <w:t xml:space="preserve">Documento de uso interno</w:t>
      </w:r>
    </w:p>
    <w:p>
      <w:r>
        <w:br w:type="page"/>
      </w:r>
    </w:p>
    <w:p>
      <w:pPr>
        <w:pStyle w:val="Titulo1"/>
      </w:pPr>
      <w:r>
        <w:rPr>
          <w:rFonts w:ascii="Tahoma" w:hAnsi="Tahoma" w:cs="Tahoma"/>
          <w:sz w:val="32"/>
          <w:szCs w:val="32"/>
          <w:b/>
          <w:color w:val="1F3864"/>
        </w:rPr>
        <w:t xml:space="preserve">Contenido</w:t>
      </w:r>
    </w:p>
    <w:p>
      <w:pPr>
        <w:spacing w:after="120"/>
      </w:pPr>
      <w:r>
        <w:fldChar w:fldCharType="begin" w:dirty="true"/>
      </w:r>
      <w:r>
        <w:instrText xml:space="preserve"> TOC \o "1-3" \h \z \u </w:instrText>
      </w:r>
      <w:r>
        <w:fldChar w:fldCharType="separate"/>
      </w:r>
      <w:r>
        <w:rPr>
          <w:rFonts w:ascii="Tahoma" w:hAnsi="Tahoma" w:cs="Tahoma"/>
          <w:sz w:val="18"/>
          <w:szCs w:val="18"/>
          <w:i/>
          <w:color w:val="808080"/>
        </w:rPr>
        <w:t xml:space="preserve">Haga clic derecho sobre esta línea y elija «Actualizar campos» para generar el índice.</w:t>
      </w:r>
      <w:r>
        <w:fldChar w:fldCharType="end"/>
      </w:r>
    </w:p>
    <w:p>
      <w:r>
        <w:br w:type="page"/>
      </w:r>
    </w:p>
    <w:p>
      <w:pPr>
        <w:pStyle w:val="Titulo1"/>
      </w:pPr>
      <w:r>
        <w:rPr>
          <w:rFonts w:ascii="Tahoma" w:hAnsi="Tahoma" w:cs="Tahoma"/>
          <w:sz w:val="32"/>
          <w:szCs w:val="32"/>
          <w:b/>
          <w:color w:val="1F3864"/>
        </w:rPr>
        <w:t xml:space="preserve">1. Introducción</w:t>
      </w:r>
    </w:p>
    <w:p>
      <w:pPr>
        <w:pStyle w:val="Titulo2"/>
      </w:pPr>
      <w:r>
        <w:rPr>
          <w:rFonts w:ascii="Tahoma" w:hAnsi="Tahoma" w:cs="Tahoma"/>
          <w:sz w:val="26"/>
          <w:szCs w:val="26"/>
          <w:b/>
          <w:color w:val="2E5C9A"/>
        </w:rPr>
        <w:t xml:space="preserve">1.1 Propósito del sistema</w:t>
      </w:r>
    </w:p>
    <w:p>
      <w:pPr>
        <w:spacing w:before="0" w:after="120" w:line="264" w:lineRule="auto"/>
      </w:pPr>
      <w:r>
        <w:rPr>
          <w:rFonts w:ascii="Tahoma" w:hAnsi="Tahoma" w:cs="Tahoma"/>
          <w:sz w:val="20"/>
          <w:szCs w:val="20"/>
        </w:rPr>
        <w:t xml:space="preserve">El Agente de Aprobación de Pólizas es un sistema de revisión automática de garantías contractuales. Recibe un contrato y una o varias pólizas de seguro, extrae sus datos mediante Inteligencia Artificial, verifica que los amparos cumplan lo exigido por el Manual de Contratación de Colvatel y genera el Acta A08.P02.F20 en formato Excel.</w:t>
      </w:r>
    </w:p>
    <w:p>
      <w:pPr>
        <w:spacing w:before="0" w:after="120" w:line="264" w:lineRule="auto"/>
      </w:pPr>
      <w:r>
        <w:rPr>
          <w:rFonts w:ascii="Tahoma" w:hAnsi="Tahoma" w:cs="Tahoma"/>
          <w:sz w:val="20"/>
          <w:szCs w:val="20"/>
        </w:rPr>
        <w:t xml:space="preserve">El resultado de cada análisis es un dictamen: APROBADA cuando todos los amparos cumplen valor y vigencia, u OBSERVADA cuando alguno no lo hace, con el detalle de qué debe corregirse.</w:t>
      </w:r>
    </w:p>
    <w:p>
      <w:pPr>
        <w:pStyle w:val="Titulo2"/>
      </w:pPr>
      <w:r>
        <w:rPr>
          <w:rFonts w:ascii="Tahoma" w:hAnsi="Tahoma" w:cs="Tahoma"/>
          <w:sz w:val="26"/>
          <w:szCs w:val="26"/>
          <w:b/>
          <w:color w:val="2E5C9A"/>
        </w:rPr>
        <w:t xml:space="preserve">1.2 Alcance de este documento</w:t>
      </w:r>
    </w:p>
    <w:p>
      <w:pPr>
        <w:spacing w:before="0" w:after="120" w:line="264" w:lineRule="auto"/>
      </w:pPr>
      <w:r>
        <w:rPr>
          <w:rFonts w:ascii="Tahoma" w:hAnsi="Tahoma" w:cs="Tahoma"/>
          <w:sz w:val="20"/>
          <w:szCs w:val="20"/>
        </w:rPr>
        <w:t xml:space="preserve">Este manual describe el componente agente_poliza: el motor de análisis. Cubre su arquitectura, stack tecnológico, instalación, configuración, base de datos, endpoints, seguridad y despliegue en producción.</w:t>
      </w:r>
    </w:p>
    <w:p>
      <w:pPr>
        <w:pStyle w:val="Titulo2"/>
      </w:pPr>
      <w:r>
        <w:rPr>
          <w:rFonts w:ascii="Tahoma" w:hAnsi="Tahoma" w:cs="Tahoma"/>
          <w:sz w:val="26"/>
          <w:szCs w:val="26"/>
          <w:b/>
          <w:color w:val="2E5C9A"/>
        </w:rPr>
        <w:t xml:space="preserve">1.3 Distinción entre motor y aplicación completa</w:t>
      </w:r>
    </w:p>
    <w:p>
      <w:pPr>
        <w:spacing w:before="0" w:after="120" w:line="264" w:lineRule="auto"/>
      </w:pPr>
      <w:r>
        <w:rPr>
          <w:rFonts w:ascii="Tahoma" w:hAnsi="Tahoma" w:cs="Tahoma"/>
          <w:sz w:val="20"/>
          <w:szCs w:val="20"/>
        </w:rPr>
        <w:t xml:space="preserve">Existen dos carpetas con el mismo código Python y propósitos distintos:</w:t>
      </w:r>
    </w:p>
    <w:tbl>
      <w:tblPr>
        <w:tblW w:w="8838"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Pr>
      <w:tblGrid>
        <w:gridCol w:w="1900"/>
        <w:gridCol w:w="3200"/>
        <w:gridCol w:w="3738"/>
      </w:tblGrid>
      <w:tr>
        <w:trPr>
          <w:tblHeader/>
        </w:trPr>
        <w:tc>
          <w:tcPr>
            <w:tcW w:w="19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Carpeta</w:t>
            </w:r>
          </w:p>
        </w:tc>
        <w:tc>
          <w:tcPr>
            <w:tcW w:w="32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Contenido</w:t>
            </w:r>
          </w:p>
        </w:tc>
        <w:tc>
          <w:tcPr>
            <w:tcW w:w="3738"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Uso</w:t>
            </w:r>
          </w:p>
        </w:tc>
      </w:tr>
      <w:tr>
        <w:tc>
          <w:tcPr>
            <w:tcW w:w="19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colvatel-app</w:t>
            </w:r>
          </w:p>
        </w:tc>
        <w:tc>
          <w:tcPr>
            <w:tcW w:w="3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Código + templates/ + static/ + tools/</w:t>
            </w:r>
          </w:p>
        </w:tc>
        <w:tc>
          <w:tcPr>
            <w:tcW w:w="37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Aplicación autónoma con interfaz propia. Desarrollo y pruebas.</w:t>
            </w:r>
          </w:p>
        </w:tc>
      </w:tr>
      <w:tr>
        <w:tc>
          <w:tcPr>
            <w:tcW w:w="19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agente_poliza</w:t>
            </w:r>
          </w:p>
        </w:tc>
        <w:tc>
          <w:tcPr>
            <w:tcW w:w="3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Solo código Python (sin templates/ ni static/)</w:t>
            </w:r>
          </w:p>
        </w:tc>
        <w:tc>
          <w:tcPr>
            <w:tcW w:w="37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Motor de análisis que consume ColvaContratos a través de su proxy.</w:t>
            </w:r>
          </w:p>
        </w:tc>
      </w:tr>
    </w:tbl>
    <w:p>
      <w:pPr>
        <w:spacing w:before="0" w:after="80" w:line="264" w:lineRule="auto"/>
      </w:pPr>
    </w:p>
    <w:tbl>
      <w:tblPr>
        <w:tblW w:w="8838" w:type="dxa"/>
        <w:tblBorders>
          <w:left w:val="single" w:sz="24" w:space="0" w:color="2E5C9A"/>
        </w:tblBorders>
        <w:tblLayout w:type="fixed"/>
      </w:tblPr>
      <w:tblGrid>
        <w:gridCol w:w="8838"/>
      </w:tblGrid>
      <w:tr>
        <w:tc>
          <w:tcPr>
            <w:tcW w:w="8838" w:type="dxa"/>
            <w:shd w:val="clear" w:color="auto" w:fill="E8F0FA"/>
            <w:tcMar>
              <w:top w:w="120" w:type="dxa"/>
              <w:bottom w:w="120" w:type="dxa"/>
              <w:left w:w="160" w:type="dxa"/>
              <w:right w:w="120" w:type="dxa"/>
            </w:tcMar>
          </w:tcPr>
          <w:p>
            <w:pPr>
              <w:spacing w:after="40"/>
            </w:pPr>
            <w:r>
              <w:rPr>
                <w:rFonts w:ascii="Tahoma" w:hAnsi="Tahoma" w:cs="Tahoma"/>
                <w:sz w:val="19"/>
                <w:szCs w:val="19"/>
                <w:b/>
                <w:color w:val="2E5C9A"/>
              </w:rPr>
              <w:t xml:space="preserve">Consecuencia técnica</w:t>
            </w:r>
          </w:p>
          <w:p>
            <w:pPr>
              <w:spacing w:after="0"/>
            </w:pPr>
            <w:r>
              <w:rPr>
                <w:rFonts w:ascii="Tahoma" w:hAnsi="Tahoma" w:cs="Tahoma"/>
                <w:sz w:val="18"/>
                <w:szCs w:val="18"/>
              </w:rPr>
              <w:t xml:space="preserve">Como agente_poliza no incluye la carpeta templates/, las rutas que renderizan vistas — «/», «/historico», «/admin/manual» y «/admin/apis» — fallarán con TemplateNotFound si se invocan directamente. En esta carpeta solo son utilizables los endpoints /api/*. La interfaz de usuario la aporta ColvaContratos.</w:t>
            </w:r>
          </w:p>
        </w:tc>
      </w:tr>
    </w:tbl>
    <w:p>
      <w:pPr>
        <w:spacing w:before="0" w:after="100" w:line="264" w:lineRule="auto"/>
      </w:pPr>
    </w:p>
    <w:p>
      <w:r>
        <w:br w:type="page"/>
      </w:r>
    </w:p>
    <w:p>
      <w:pPr>
        <w:pStyle w:val="Titulo1"/>
      </w:pPr>
      <w:r>
        <w:rPr>
          <w:rFonts w:ascii="Tahoma" w:hAnsi="Tahoma" w:cs="Tahoma"/>
          <w:sz w:val="32"/>
          <w:szCs w:val="32"/>
          <w:b/>
          <w:color w:val="1F3864"/>
        </w:rPr>
        <w:t xml:space="preserve">2. Arquitectura</w:t>
      </w:r>
    </w:p>
    <w:p>
      <w:pPr>
        <w:pStyle w:val="Titulo2"/>
      </w:pPr>
      <w:r>
        <w:rPr>
          <w:rFonts w:ascii="Tahoma" w:hAnsi="Tahoma" w:cs="Tahoma"/>
          <w:sz w:val="26"/>
          <w:szCs w:val="26"/>
          <w:b/>
          <w:color w:val="2E5C9A"/>
        </w:rPr>
        <w:t xml:space="preserve">2.1 Visión general</w:t>
      </w:r>
    </w:p>
    <w:p>
      <w:pPr>
        <w:spacing w:before="0" w:after="120" w:line="264" w:lineRule="auto"/>
      </w:pPr>
      <w:r>
        <w:rPr>
          <w:rFonts w:ascii="Tahoma" w:hAnsi="Tahoma" w:cs="Tahoma"/>
          <w:sz w:val="20"/>
          <w:szCs w:val="20"/>
        </w:rPr>
        <w:t xml:space="preserve">El motor se integra con ColvaContratos (aplicación PHP/Laravel) mediante un proxy interno. El usuario nunca accede al motor directamente: ColvaContratos autentica, reenvía la petición añadiendo una cabecera compartida y devuelve el resultado.</w:t>
      </w:r>
    </w:p>
    <w:tbl>
      <w:tblPr>
        <w:tblW w:w="8838" w:type="dxa"/>
        <w:tblBorders>
          <w:left w:val="single" w:sz="18" w:space="0" w:color="2E5C9A"/>
          <w:top w:val="single" w:sz="2" w:space="0" w:color="BFBFBF"/>
          <w:bottom w:val="single" w:sz="2" w:space="0" w:color="BFBFBF"/>
          <w:right w:val="single" w:sz="2" w:space="0" w:color="BFBFBF"/>
        </w:tblBorders>
        <w:tblLayout w:type="fixed"/>
      </w:tblPr>
      <w:tblGrid>
        <w:gridCol w:w="8838"/>
      </w:tblGrid>
      <w:tr>
        <w:tc>
          <w:tcPr>
            <w:tcW w:w="8838" w:type="dxa"/>
            <w:shd w:val="clear" w:color="auto" w:fill="F2F2F2"/>
            <w:tcMar>
              <w:top w:w="100" w:type="dxa"/>
              <w:bottom w:w="100" w:type="dxa"/>
              <w:left w:w="140" w:type="dxa"/>
              <w:right w:w="100" w:type="dxa"/>
            </w:tcMar>
          </w:tcPr>
          <w:p>
            <w:pPr>
              <w:spacing w:before="0" w:after="0" w:line="240" w:lineRule="auto"/>
            </w:pPr>
            <w:r>
              <w:rPr>
                <w:rFonts w:ascii="Consolas" w:hAnsi="Consolas" w:cs="Consolas"/>
                <w:sz w:val="17"/>
                <w:szCs w:val="17"/>
              </w:rPr>
              <w:t xml:space="preserve">Usuario</w:t>
            </w:r>
          </w:p>
          <w:p>
            <w:pPr>
              <w:spacing w:before="0" w:after="0" w:line="240" w:lineRule="auto"/>
            </w:pPr>
            <w:r>
              <w:rPr>
                <w:rFonts w:ascii="Consolas" w:hAnsi="Consolas" w:cs="Consolas"/>
                <w:sz w:val="17"/>
                <w:szCs w:val="17"/>
              </w:rPr>
              <w:t xml:space="preserve">   |</w:t>
            </w:r>
          </w:p>
          <w:p>
            <w:pPr>
              <w:spacing w:before="0" w:after="0" w:line="240" w:lineRule="auto"/>
            </w:pPr>
            <w:r>
              <w:rPr>
                <w:rFonts w:ascii="Consolas" w:hAnsi="Consolas" w:cs="Consolas"/>
                <w:sz w:val="17"/>
                <w:szCs w:val="17"/>
              </w:rPr>
              <w:t xml:space="preserve">   v</w:t>
            </w:r>
          </w:p>
          <w:p>
            <w:pPr>
              <w:spacing w:before="0" w:after="0" w:line="240" w:lineRule="auto"/>
            </w:pPr>
            <w:r>
              <w:rPr>
                <w:rFonts w:ascii="Consolas" w:hAnsi="Consolas" w:cs="Consolas"/>
                <w:sz w:val="17"/>
                <w:szCs w:val="17"/>
              </w:rPr>
              <w:t xml:space="preserve">ColvaContratos (PHP/Laravel)      &lt;- autenticacion, UI, permisos</w:t>
            </w:r>
          </w:p>
          <w:p>
            <w:pPr>
              <w:spacing w:before="0" w:after="0" w:line="240" w:lineRule="auto"/>
            </w:pPr>
            <w:r>
              <w:rPr>
                <w:rFonts w:ascii="Consolas" w:hAnsi="Consolas" w:cs="Consolas"/>
                <w:sz w:val="17"/>
                <w:szCs w:val="17"/>
              </w:rPr>
              <w:t xml:space="preserve">   |  proxy HTTP + cabecera X-Internal-Key</w:t>
            </w:r>
          </w:p>
          <w:p>
            <w:pPr>
              <w:spacing w:before="0" w:after="0" w:line="240" w:lineRule="auto"/>
            </w:pPr>
            <w:r>
              <w:rPr>
                <w:rFonts w:ascii="Consolas" w:hAnsi="Consolas" w:cs="Consolas"/>
                <w:sz w:val="17"/>
                <w:szCs w:val="17"/>
              </w:rPr>
              <w:t xml:space="preserve">   v</w:t>
            </w:r>
          </w:p>
          <w:p>
            <w:pPr>
              <w:spacing w:before="0" w:after="0" w:line="240" w:lineRule="auto"/>
            </w:pPr>
            <w:r>
              <w:rPr>
                <w:rFonts w:ascii="Consolas" w:hAnsi="Consolas" w:cs="Consolas"/>
                <w:sz w:val="17"/>
                <w:szCs w:val="17"/>
              </w:rPr>
              <w:t xml:space="preserve">agente_poliza (Flask/Gunicorn)    &lt;- motor de analisis</w:t>
            </w:r>
          </w:p>
          <w:p>
            <w:pPr>
              <w:spacing w:before="0" w:after="0" w:line="240" w:lineRule="auto"/>
            </w:pPr>
            <w:r>
              <w:rPr>
                <w:rFonts w:ascii="Consolas" w:hAnsi="Consolas" w:cs="Consolas"/>
                <w:sz w:val="17"/>
                <w:szCs w:val="17"/>
              </w:rPr>
              <w:t xml:space="preserve">   |</w:t>
            </w:r>
          </w:p>
          <w:p>
            <w:pPr>
              <w:spacing w:before="0" w:after="0" w:line="240" w:lineRule="auto"/>
            </w:pPr>
            <w:r>
              <w:rPr>
                <w:rFonts w:ascii="Consolas" w:hAnsi="Consolas" w:cs="Consolas"/>
                <w:sz w:val="17"/>
                <w:szCs w:val="17"/>
              </w:rPr>
              <w:t xml:space="preserve">   +--&gt; Proveedores de IA (Gemini / OpenAI / NVIDIA / OpenRouter)</w:t>
            </w:r>
          </w:p>
          <w:p>
            <w:pPr>
              <w:spacing w:before="0" w:after="0" w:line="240" w:lineRule="auto"/>
            </w:pPr>
            <w:r>
              <w:rPr>
                <w:rFonts w:ascii="Consolas" w:hAnsi="Consolas" w:cs="Consolas"/>
                <w:sz w:val="17"/>
                <w:szCs w:val="17"/>
              </w:rPr>
              <w:t xml:space="preserve">   +--&gt; MySQL  'colvacontratos'   &lt;- base de datos unificada</w:t>
            </w:r>
          </w:p>
          <w:p>
            <w:pPr>
              <w:spacing w:before="0" w:after="0" w:line="240" w:lineRule="auto"/>
            </w:pPr>
            <w:r>
              <w:rPr>
                <w:rFonts w:ascii="Consolas" w:hAnsi="Consolas" w:cs="Consolas"/>
                <w:sz w:val="17"/>
                <w:szCs w:val="17"/>
              </w:rPr>
              <w:t xml:space="preserve">   +--&gt; Filesystem                &lt;- documentos cifrados</w:t>
            </w:r>
          </w:p>
        </w:tc>
      </w:tr>
    </w:tbl>
    <w:p>
      <w:pPr>
        <w:spacing w:before="0" w:after="100" w:line="264" w:lineRule="auto"/>
      </w:pPr>
    </w:p>
    <w:p>
      <w:pPr>
        <w:pStyle w:val="Titulo2"/>
      </w:pPr>
      <w:r>
        <w:rPr>
          <w:rFonts w:ascii="Tahoma" w:hAnsi="Tahoma" w:cs="Tahoma"/>
          <w:sz w:val="26"/>
          <w:szCs w:val="26"/>
          <w:b/>
          <w:color w:val="2E5C9A"/>
        </w:rPr>
        <w:t xml:space="preserve">2.2 Capas del procesamiento</w:t>
      </w:r>
    </w:p>
    <w:p>
      <w:pPr>
        <w:spacing w:before="0" w:after="120" w:line="264" w:lineRule="auto"/>
      </w:pPr>
      <w:r>
        <w:rPr>
          <w:rFonts w:ascii="Tahoma" w:hAnsi="Tahoma" w:cs="Tahoma"/>
          <w:sz w:val="20"/>
          <w:szCs w:val="20"/>
        </w:rPr>
        <w:t xml:space="preserve">Cada análisis atraviesa cinco capas independientes. Solo una usa Inteligencia Artificial:</w:t>
      </w:r>
    </w:p>
    <w:tbl>
      <w:tblPr>
        <w:tblW w:w="8838"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Pr>
      <w:tblGrid>
        <w:gridCol w:w="700"/>
        <w:gridCol w:w="2200"/>
        <w:gridCol w:w="5938"/>
      </w:tblGrid>
      <w:tr>
        <w:trPr>
          <w:tblHeader/>
        </w:trPr>
        <w:tc>
          <w:tcPr>
            <w:tcW w:w="7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Capa</w:t>
            </w:r>
          </w:p>
        </w:tc>
        <w:tc>
          <w:tcPr>
            <w:tcW w:w="22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Componente</w:t>
            </w:r>
          </w:p>
        </w:tc>
        <w:tc>
          <w:tcPr>
            <w:tcW w:w="5938"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Responsabilidad</w:t>
            </w:r>
          </w:p>
        </w:tc>
      </w:tr>
      <w:tr>
        <w:tc>
          <w:tcPr>
            <w:tcW w:w="7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1</w:t>
            </w:r>
          </w:p>
        </w:tc>
        <w:tc>
          <w:tcPr>
            <w:tcW w:w="2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Extracción</w:t>
            </w:r>
          </w:p>
        </w:tc>
        <w:tc>
          <w:tcPr>
            <w:tcW w:w="59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pdfplumber (PDF) y python-docx (Word) convierten los archivos a texto plano.</w:t>
            </w:r>
          </w:p>
        </w:tc>
      </w:tr>
      <w:tr>
        <w:tc>
          <w:tcPr>
            <w:tcW w:w="7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2</w:t>
            </w:r>
          </w:p>
        </w:tc>
        <w:tc>
          <w:tcPr>
            <w:tcW w:w="2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Recorte</w:t>
            </w:r>
          </w:p>
        </w:tc>
        <w:tc>
          <w:tcPr>
            <w:tcW w:w="59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Elimina el texto irrelevante antes de pagar por él (capítulo 9).</w:t>
            </w:r>
          </w:p>
        </w:tc>
      </w:tr>
      <w:tr>
        <w:tc>
          <w:tcPr>
            <w:tcW w:w="7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3</w:t>
            </w:r>
          </w:p>
        </w:tc>
        <w:tc>
          <w:tcPr>
            <w:tcW w:w="2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Inteligencia Artificial</w:t>
            </w:r>
          </w:p>
        </w:tc>
        <w:tc>
          <w:tcPr>
            <w:tcW w:w="59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El modelo convierte el texto en un JSON de 17 campos y 6 amparos.</w:t>
            </w:r>
          </w:p>
        </w:tc>
      </w:tr>
      <w:tr>
        <w:tc>
          <w:tcPr>
            <w:tcW w:w="7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4</w:t>
            </w:r>
          </w:p>
        </w:tc>
        <w:tc>
          <w:tcPr>
            <w:tcW w:w="2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Normalización</w:t>
            </w:r>
          </w:p>
        </w:tc>
        <w:tc>
          <w:tcPr>
            <w:tcW w:w="59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Corrige la salida del modelo con reglas deterministas: fechas, montos, sinónimos.</w:t>
            </w:r>
          </w:p>
        </w:tc>
      </w:tr>
      <w:tr>
        <w:tc>
          <w:tcPr>
            <w:tcW w:w="7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5</w:t>
            </w:r>
          </w:p>
        </w:tc>
        <w:tc>
          <w:tcPr>
            <w:tcW w:w="2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Validación</w:t>
            </w:r>
          </w:p>
        </w:tc>
        <w:tc>
          <w:tcPr>
            <w:tcW w:w="59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Aritmética pura: compara la póliza contra el Manual. Sin IA.</w:t>
            </w:r>
          </w:p>
        </w:tc>
      </w:tr>
    </w:tbl>
    <w:p>
      <w:pPr>
        <w:spacing w:before="0" w:after="80" w:line="264" w:lineRule="auto"/>
      </w:pPr>
    </w:p>
    <w:tbl>
      <w:tblPr>
        <w:tblW w:w="8838" w:type="dxa"/>
        <w:tblBorders>
          <w:left w:val="single" w:sz="24" w:space="0" w:color="548235"/>
        </w:tblBorders>
        <w:tblLayout w:type="fixed"/>
      </w:tblPr>
      <w:tblGrid>
        <w:gridCol w:w="8838"/>
      </w:tblGrid>
      <w:tr>
        <w:tc>
          <w:tcPr>
            <w:tcW w:w="8838" w:type="dxa"/>
            <w:shd w:val="clear" w:color="auto" w:fill="EAF3E4"/>
            <w:tcMar>
              <w:top w:w="120" w:type="dxa"/>
              <w:bottom w:w="120" w:type="dxa"/>
              <w:left w:w="160" w:type="dxa"/>
              <w:right w:w="120" w:type="dxa"/>
            </w:tcMar>
          </w:tcPr>
          <w:p>
            <w:pPr>
              <w:spacing w:after="40"/>
            </w:pPr>
            <w:r>
              <w:rPr>
                <w:rFonts w:ascii="Tahoma" w:hAnsi="Tahoma" w:cs="Tahoma"/>
                <w:sz w:val="19"/>
                <w:szCs w:val="19"/>
                <w:b/>
                <w:color w:val="548235"/>
              </w:rPr>
              <w:t xml:space="preserve">Principio de diseño</w:t>
            </w:r>
          </w:p>
          <w:p>
            <w:pPr>
              <w:spacing w:after="0"/>
            </w:pPr>
            <w:r>
              <w:rPr>
                <w:rFonts w:ascii="Tahoma" w:hAnsi="Tahoma" w:cs="Tahoma"/>
                <w:sz w:val="18"/>
                <w:szCs w:val="18"/>
              </w:rPr>
              <w:t xml:space="preserve">La decisión de aprobar o rechazar NO la toma la Inteligencia Artificial. La función validar_amparos() calcula el valor mínimo exigido y la fecha hasta requerida, y los compara con lo que trae la póliza. El modelo solo extrae datos; el dictamen es determinista y auditable.</w:t>
            </w:r>
          </w:p>
        </w:tc>
      </w:tr>
    </w:tbl>
    <w:p>
      <w:pPr>
        <w:spacing w:before="0" w:after="100" w:line="264" w:lineRule="auto"/>
      </w:pPr>
    </w:p>
    <w:p>
      <w:r>
        <w:br w:type="page"/>
      </w:r>
    </w:p>
    <w:p>
      <w:pPr>
        <w:pStyle w:val="Titulo1"/>
      </w:pPr>
      <w:r>
        <w:rPr>
          <w:rFonts w:ascii="Tahoma" w:hAnsi="Tahoma" w:cs="Tahoma"/>
          <w:sz w:val="32"/>
          <w:szCs w:val="32"/>
          <w:b/>
          <w:color w:val="1F3864"/>
        </w:rPr>
        <w:t xml:space="preserve">3. Stack tecnológico</w:t>
      </w:r>
    </w:p>
    <w:p>
      <w:pPr>
        <w:pStyle w:val="Titulo2"/>
      </w:pPr>
      <w:r>
        <w:rPr>
          <w:rFonts w:ascii="Tahoma" w:hAnsi="Tahoma" w:cs="Tahoma"/>
          <w:sz w:val="26"/>
          <w:szCs w:val="26"/>
          <w:b/>
          <w:color w:val="2E5C9A"/>
        </w:rPr>
        <w:t xml:space="preserve">3.1 Plataforma base</w:t>
      </w:r>
    </w:p>
    <w:tbl>
      <w:tblPr>
        <w:tblW w:w="8838"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Pr>
      <w:tblGrid>
        <w:gridCol w:w="2300"/>
        <w:gridCol w:w="2200"/>
        <w:gridCol w:w="4338"/>
      </w:tblGrid>
      <w:tr>
        <w:trPr>
          <w:tblHeader/>
        </w:trPr>
        <w:tc>
          <w:tcPr>
            <w:tcW w:w="23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Componente</w:t>
            </w:r>
          </w:p>
        </w:tc>
        <w:tc>
          <w:tcPr>
            <w:tcW w:w="22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Versión</w:t>
            </w:r>
          </w:p>
        </w:tc>
        <w:tc>
          <w:tcPr>
            <w:tcW w:w="4338"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Notas</w:t>
            </w:r>
          </w:p>
        </w:tc>
      </w:tr>
      <w:tr>
        <w:tc>
          <w:tcPr>
            <w:tcW w:w="23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Python</w:t>
            </w:r>
          </w:p>
        </w:tc>
        <w:tc>
          <w:tcPr>
            <w:tcW w:w="2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3.14.4 (64-bit)</w:t>
            </w:r>
          </w:p>
        </w:tc>
        <w:tc>
          <w:tcPr>
            <w:tcW w:w="43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Build de 7 abril 2026, MSC v.1944. Mínimo requerido: 3.12</w:t>
            </w:r>
          </w:p>
        </w:tc>
      </w:tr>
      <w:tr>
        <w:tc>
          <w:tcPr>
            <w:tcW w:w="23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MySQL</w:t>
            </w:r>
          </w:p>
        </w:tc>
        <w:tc>
          <w:tcPr>
            <w:tcW w:w="2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8.0 o superior</w:t>
            </w:r>
          </w:p>
        </w:tc>
        <w:tc>
          <w:tcPr>
            <w:tcW w:w="43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Base de datos colvacontratos, compartida con ColvaContratos</w:t>
            </w:r>
          </w:p>
        </w:tc>
      </w:tr>
      <w:tr>
        <w:tc>
          <w:tcPr>
            <w:tcW w:w="23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Sistema (producción)</w:t>
            </w:r>
          </w:p>
        </w:tc>
        <w:tc>
          <w:tcPr>
            <w:tcW w:w="2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Ubuntu Server</w:t>
            </w:r>
          </w:p>
        </w:tc>
        <w:tc>
          <w:tcPr>
            <w:tcW w:w="43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Gunicorn + systemd + Nginx</w:t>
            </w:r>
          </w:p>
        </w:tc>
      </w:tr>
      <w:tr>
        <w:tc>
          <w:tcPr>
            <w:tcW w:w="23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Sistema (desarrollo)</w:t>
            </w:r>
          </w:p>
        </w:tc>
        <w:tc>
          <w:tcPr>
            <w:tcW w:w="2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Windows 11</w:t>
            </w:r>
          </w:p>
        </w:tc>
        <w:tc>
          <w:tcPr>
            <w:tcW w:w="43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Servidor Flask integrado</w:t>
            </w:r>
          </w:p>
        </w:tc>
      </w:tr>
    </w:tbl>
    <w:p>
      <w:pPr>
        <w:spacing w:before="0" w:after="80" w:line="264" w:lineRule="auto"/>
      </w:pPr>
    </w:p>
    <w:p>
      <w:pPr>
        <w:pStyle w:val="Titulo2"/>
      </w:pPr>
      <w:r>
        <w:rPr>
          <w:rFonts w:ascii="Tahoma" w:hAnsi="Tahoma" w:cs="Tahoma"/>
          <w:sz w:val="26"/>
          <w:szCs w:val="26"/>
          <w:b/>
          <w:color w:val="2E5C9A"/>
        </w:rPr>
        <w:t xml:space="preserve">3.2 Dependencias de Python</w:t>
      </w:r>
    </w:p>
    <w:p>
      <w:pPr>
        <w:spacing w:before="0" w:after="120" w:line="264" w:lineRule="auto"/>
      </w:pPr>
      <w:r>
        <w:rPr>
          <w:rFonts w:ascii="Tahoma" w:hAnsi="Tahoma" w:cs="Tahoma"/>
          <w:sz w:val="20"/>
          <w:szCs w:val="20"/>
        </w:rPr>
        <w:t xml:space="preserve">Versiones instaladas y verificadas en el entorno actual:</w:t>
      </w:r>
    </w:p>
    <w:tbl>
      <w:tblPr>
        <w:tblW w:w="8838"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Pr>
      <w:tblGrid>
        <w:gridCol w:w="2500"/>
        <w:gridCol w:w="1300"/>
        <w:gridCol w:w="5038"/>
      </w:tblGrid>
      <w:tr>
        <w:trPr>
          <w:tblHeader/>
        </w:trPr>
        <w:tc>
          <w:tcPr>
            <w:tcW w:w="25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Paquete</w:t>
            </w:r>
          </w:p>
        </w:tc>
        <w:tc>
          <w:tcPr>
            <w:tcW w:w="13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Versión</w:t>
            </w:r>
          </w:p>
        </w:tc>
        <w:tc>
          <w:tcPr>
            <w:tcW w:w="5038"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Función</w:t>
            </w:r>
          </w:p>
        </w:tc>
      </w:tr>
      <w:tr>
        <w:tc>
          <w:tcPr>
            <w:tcW w:w="2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flask</w:t>
            </w:r>
          </w:p>
        </w:tc>
        <w:tc>
          <w:tcPr>
            <w:tcW w:w="13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3.1.3</w:t>
            </w:r>
          </w:p>
        </w:tc>
        <w:tc>
          <w:tcPr>
            <w:tcW w:w="50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Framework web: rutas, request/response</w:t>
            </w:r>
          </w:p>
        </w:tc>
      </w:tr>
      <w:tr>
        <w:tc>
          <w:tcPr>
            <w:tcW w:w="2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werkzeug</w:t>
            </w:r>
          </w:p>
        </w:tc>
        <w:tc>
          <w:tcPr>
            <w:tcW w:w="13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3.1.8</w:t>
            </w:r>
          </w:p>
        </w:tc>
        <w:tc>
          <w:tcPr>
            <w:tcW w:w="50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Utilidades WSGI sobre las que corre Flask</w:t>
            </w:r>
          </w:p>
        </w:tc>
      </w:tr>
      <w:tr>
        <w:tc>
          <w:tcPr>
            <w:tcW w:w="2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flask-cors</w:t>
            </w:r>
          </w:p>
        </w:tc>
        <w:tc>
          <w:tcPr>
            <w:tcW w:w="13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6.0.2</w:t>
            </w:r>
          </w:p>
        </w:tc>
        <w:tc>
          <w:tcPr>
            <w:tcW w:w="50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Cabeceras CORS para el navegador</w:t>
            </w:r>
          </w:p>
        </w:tc>
      </w:tr>
      <w:tr>
        <w:tc>
          <w:tcPr>
            <w:tcW w:w="2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pdfplumber</w:t>
            </w:r>
          </w:p>
        </w:tc>
        <w:tc>
          <w:tcPr>
            <w:tcW w:w="13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0.11.9</w:t>
            </w:r>
          </w:p>
        </w:tc>
        <w:tc>
          <w:tcPr>
            <w:tcW w:w="50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Extracción de texto de archivos PDF</w:t>
            </w:r>
          </w:p>
        </w:tc>
      </w:tr>
      <w:tr>
        <w:tc>
          <w:tcPr>
            <w:tcW w:w="2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python-docx</w:t>
            </w:r>
          </w:p>
        </w:tc>
        <w:tc>
          <w:tcPr>
            <w:tcW w:w="13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1.2.0</w:t>
            </w:r>
          </w:p>
        </w:tc>
        <w:tc>
          <w:tcPr>
            <w:tcW w:w="50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Extracción de texto de archivos Word</w:t>
            </w:r>
          </w:p>
        </w:tc>
      </w:tr>
      <w:tr>
        <w:tc>
          <w:tcPr>
            <w:tcW w:w="2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openpyxl</w:t>
            </w:r>
          </w:p>
        </w:tc>
        <w:tc>
          <w:tcPr>
            <w:tcW w:w="13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3.1.5</w:t>
            </w:r>
          </w:p>
        </w:tc>
        <w:tc>
          <w:tcPr>
            <w:tcW w:w="50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Generación del Acta en Excel</w:t>
            </w:r>
          </w:p>
        </w:tc>
      </w:tr>
      <w:tr>
        <w:tc>
          <w:tcPr>
            <w:tcW w:w="2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google-genai</w:t>
            </w:r>
          </w:p>
        </w:tc>
        <w:tc>
          <w:tcPr>
            <w:tcW w:w="13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1.73.1</w:t>
            </w:r>
          </w:p>
        </w:tc>
        <w:tc>
          <w:tcPr>
            <w:tcW w:w="50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Cliente de Google Gemini / Gemma</w:t>
            </w:r>
          </w:p>
        </w:tc>
      </w:tr>
      <w:tr>
        <w:tc>
          <w:tcPr>
            <w:tcW w:w="2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openai</w:t>
            </w:r>
          </w:p>
        </w:tc>
        <w:tc>
          <w:tcPr>
            <w:tcW w:w="13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2.36.0</w:t>
            </w:r>
          </w:p>
        </w:tc>
        <w:tc>
          <w:tcPr>
            <w:tcW w:w="50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Cliente de OpenAI y de todo proveedor compatible</w:t>
            </w:r>
          </w:p>
        </w:tc>
      </w:tr>
      <w:tr>
        <w:tc>
          <w:tcPr>
            <w:tcW w:w="2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mysql-connector-python</w:t>
            </w:r>
          </w:p>
        </w:tc>
        <w:tc>
          <w:tcPr>
            <w:tcW w:w="13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9.6.0</w:t>
            </w:r>
          </w:p>
        </w:tc>
        <w:tc>
          <w:tcPr>
            <w:tcW w:w="50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Driver oficial de MySQL</w:t>
            </w:r>
          </w:p>
        </w:tc>
      </w:tr>
      <w:tr>
        <w:tc>
          <w:tcPr>
            <w:tcW w:w="2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python-dotenv</w:t>
            </w:r>
          </w:p>
        </w:tc>
        <w:tc>
          <w:tcPr>
            <w:tcW w:w="13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1.2.2</w:t>
            </w:r>
          </w:p>
        </w:tc>
        <w:tc>
          <w:tcPr>
            <w:tcW w:w="50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Carga de variables desde el archivo .env</w:t>
            </w:r>
          </w:p>
        </w:tc>
      </w:tr>
      <w:tr>
        <w:tc>
          <w:tcPr>
            <w:tcW w:w="2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cryptography</w:t>
            </w:r>
          </w:p>
        </w:tc>
        <w:tc>
          <w:tcPr>
            <w:tcW w:w="13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46.0.7</w:t>
            </w:r>
          </w:p>
        </w:tc>
        <w:tc>
          <w:tcPr>
            <w:tcW w:w="50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Cifrado Fernet de documentos y datos sensibles</w:t>
            </w:r>
          </w:p>
        </w:tc>
      </w:tr>
      <w:tr>
        <w:tc>
          <w:tcPr>
            <w:tcW w:w="2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gunicorn</w:t>
            </w:r>
          </w:p>
        </w:tc>
        <w:tc>
          <w:tcPr>
            <w:tcW w:w="13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&gt;= 21.2</w:t>
            </w:r>
          </w:p>
        </w:tc>
        <w:tc>
          <w:tcPr>
            <w:tcW w:w="50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Servidor WSGI de producción (solo Linux)</w:t>
            </w:r>
          </w:p>
        </w:tc>
      </w:tr>
    </w:tbl>
    <w:p>
      <w:pPr>
        <w:spacing w:before="0" w:after="80" w:line="264" w:lineRule="auto"/>
      </w:pPr>
    </w:p>
    <w:tbl>
      <w:tblPr>
        <w:tblW w:w="8838" w:type="dxa"/>
        <w:tblBorders>
          <w:left w:val="single" w:sz="24" w:space="0" w:color="C55A11"/>
        </w:tblBorders>
        <w:tblLayout w:type="fixed"/>
      </w:tblPr>
      <w:tblGrid>
        <w:gridCol w:w="8838"/>
      </w:tblGrid>
      <w:tr>
        <w:tc>
          <w:tcPr>
            <w:tcW w:w="8838" w:type="dxa"/>
            <w:shd w:val="clear" w:color="auto" w:fill="FFF2E5"/>
            <w:tcMar>
              <w:top w:w="120" w:type="dxa"/>
              <w:bottom w:w="120" w:type="dxa"/>
              <w:left w:w="160" w:type="dxa"/>
              <w:right w:w="120" w:type="dxa"/>
            </w:tcMar>
          </w:tcPr>
          <w:p>
            <w:pPr>
              <w:spacing w:after="40"/>
            </w:pPr>
            <w:r>
              <w:rPr>
                <w:rFonts w:ascii="Tahoma" w:hAnsi="Tahoma" w:cs="Tahoma"/>
                <w:sz w:val="19"/>
                <w:szCs w:val="19"/>
                <w:b/>
                <w:color w:val="C55A11"/>
              </w:rPr>
              <w:t xml:space="preserve">Sobre requirements.txt</w:t>
            </w:r>
          </w:p>
          <w:p>
            <w:pPr>
              <w:spacing w:after="0"/>
            </w:pPr>
            <w:r>
              <w:rPr>
                <w:rFonts w:ascii="Tahoma" w:hAnsi="Tahoma" w:cs="Tahoma"/>
                <w:sz w:val="18"/>
                <w:szCs w:val="18"/>
              </w:rPr>
              <w:t xml:space="preserve">El archivo declara versiones mínimas (flask&gt;=3.0), no exactas. Para que producción y desarrollo sean idénticos, conviene congelar las versiones tras validar: pip freeze &gt; requirements.lock</w:t>
            </w:r>
          </w:p>
        </w:tc>
      </w:tr>
    </w:tbl>
    <w:p>
      <w:pPr>
        <w:spacing w:before="0" w:after="100" w:line="264" w:lineRule="auto"/>
      </w:pPr>
    </w:p>
    <w:p>
      <w:r>
        <w:br w:type="page"/>
      </w:r>
    </w:p>
    <w:p>
      <w:pPr>
        <w:pStyle w:val="Titulo1"/>
      </w:pPr>
      <w:r>
        <w:rPr>
          <w:rFonts w:ascii="Tahoma" w:hAnsi="Tahoma" w:cs="Tahoma"/>
          <w:sz w:val="32"/>
          <w:szCs w:val="32"/>
          <w:b/>
          <w:color w:val="1F3864"/>
        </w:rPr>
        <w:t xml:space="preserve">4. Estructura del proyecto</w:t>
      </w:r>
    </w:p>
    <w:tbl>
      <w:tblPr>
        <w:tblW w:w="8838" w:type="dxa"/>
        <w:tblBorders>
          <w:left w:val="single" w:sz="18" w:space="0" w:color="2E5C9A"/>
          <w:top w:val="single" w:sz="2" w:space="0" w:color="BFBFBF"/>
          <w:bottom w:val="single" w:sz="2" w:space="0" w:color="BFBFBF"/>
          <w:right w:val="single" w:sz="2" w:space="0" w:color="BFBFBF"/>
        </w:tblBorders>
        <w:tblLayout w:type="fixed"/>
      </w:tblPr>
      <w:tblGrid>
        <w:gridCol w:w="8838"/>
      </w:tblGrid>
      <w:tr>
        <w:tc>
          <w:tcPr>
            <w:tcW w:w="8838" w:type="dxa"/>
            <w:shd w:val="clear" w:color="auto" w:fill="F2F2F2"/>
            <w:tcMar>
              <w:top w:w="100" w:type="dxa"/>
              <w:bottom w:w="100" w:type="dxa"/>
              <w:left w:w="140" w:type="dxa"/>
              <w:right w:w="100" w:type="dxa"/>
            </w:tcMar>
          </w:tcPr>
          <w:p>
            <w:pPr>
              <w:spacing w:before="0" w:after="0" w:line="240" w:lineRule="auto"/>
            </w:pPr>
            <w:r>
              <w:rPr>
                <w:rFonts w:ascii="Consolas" w:hAnsi="Consolas" w:cs="Consolas"/>
                <w:sz w:val="17"/>
                <w:szCs w:val="17"/>
              </w:rPr>
              <w:t xml:space="preserve">agente_poliza/</w:t>
            </w:r>
          </w:p>
          <w:p>
            <w:pPr>
              <w:spacing w:before="0" w:after="0" w:line="240" w:lineRule="auto"/>
            </w:pPr>
            <w:r>
              <w:rPr>
                <w:rFonts w:ascii="Consolas" w:hAnsi="Consolas" w:cs="Consolas"/>
                <w:sz w:val="17"/>
                <w:szCs w:val="17"/>
              </w:rPr>
              <w:t xml:space="preserve">  app.py                    Backend Flask: rutas, IA, validacion, Excel  (135 KB)</w:t>
            </w:r>
          </w:p>
          <w:p>
            <w:pPr>
              <w:spacing w:before="0" w:after="0" w:line="240" w:lineRule="auto"/>
            </w:pPr>
            <w:r>
              <w:rPr>
                <w:rFonts w:ascii="Consolas" w:hAnsi="Consolas" w:cs="Consolas"/>
                <w:sz w:val="17"/>
                <w:szCs w:val="17"/>
              </w:rPr>
              <w:t xml:space="preserve">  database.py               Acceso a MySQL, todo cifrado con crypto.py    (33 KB)</w:t>
            </w:r>
          </w:p>
          <w:p>
            <w:pPr>
              <w:spacing w:before="0" w:after="0" w:line="240" w:lineRule="auto"/>
            </w:pPr>
            <w:r>
              <w:rPr>
                <w:rFonts w:ascii="Consolas" w:hAnsi="Consolas" w:cs="Consolas"/>
                <w:sz w:val="17"/>
                <w:szCs w:val="17"/>
              </w:rPr>
              <w:t xml:space="preserve">  crypto.py                 Cifrado Fernet (documentos, datos, claves)     (4 KB)</w:t>
            </w:r>
          </w:p>
          <w:p>
            <w:pPr>
              <w:spacing w:before="0" w:after="0" w:line="240" w:lineRule="auto"/>
            </w:pPr>
            <w:r>
              <w:rPr>
                <w:rFonts w:ascii="Consolas" w:hAnsi="Consolas" w:cs="Consolas"/>
                <w:sz w:val="17"/>
                <w:szCs w:val="17"/>
              </w:rPr>
              <w:t xml:space="preserve">  doc_storage.py            Archivos historicos en disco                   (6 KB)</w:t>
            </w:r>
          </w:p>
          <w:p>
            <w:pPr>
              <w:spacing w:before="0" w:after="0" w:line="240" w:lineRule="auto"/>
            </w:pPr>
            <w:r>
              <w:rPr>
                <w:rFonts w:ascii="Consolas" w:hAnsi="Consolas" w:cs="Consolas"/>
                <w:sz w:val="17"/>
                <w:szCs w:val="17"/>
              </w:rPr>
              <w:t xml:space="preserve">  wsgi.py                   Punto de entrada para Gunicorn</w:t>
            </w:r>
          </w:p>
          <w:p>
            <w:pPr>
              <w:spacing w:before="0" w:after="0" w:line="240" w:lineRule="auto"/>
            </w:pPr>
            <w:r>
              <w:rPr>
                <w:rFonts w:ascii="Consolas" w:hAnsi="Consolas" w:cs="Consolas"/>
                <w:sz w:val="17"/>
                <w:szCs w:val="17"/>
              </w:rPr>
              <w:t xml:space="preserve">  gunicorn.conf.py          Configuracion del servidor de produccion</w:t>
            </w:r>
          </w:p>
          <w:p>
            <w:pPr>
              <w:spacing w:before="0" w:after="0" w:line="240" w:lineRule="auto"/>
            </w:pPr>
            <w:r>
              <w:rPr>
                <w:rFonts w:ascii="Consolas" w:hAnsi="Consolas" w:cs="Consolas"/>
                <w:sz w:val="17"/>
                <w:szCs w:val="17"/>
              </w:rPr>
              <w:t xml:space="preserve">  requirements.txt          Dependencias de Python</w:t>
            </w:r>
          </w:p>
          <w:p>
            <w:pPr>
              <w:spacing w:before="0" w:after="0" w:line="240" w:lineRule="auto"/>
            </w:pPr>
            <w:r>
              <w:rPr>
                <w:rFonts w:ascii="Consolas" w:hAnsi="Consolas" w:cs="Consolas"/>
                <w:sz w:val="17"/>
                <w:szCs w:val="17"/>
              </w:rPr>
              <w:t xml:space="preserve">  .env                      Secretos y configuracion  (NO versionar)</w:t>
            </w:r>
          </w:p>
          <w:p>
            <w:pPr>
              <w:spacing w:before="0" w:after="0" w:line="240" w:lineRule="auto"/>
            </w:pPr>
            <w:r>
              <w:rPr>
                <w:rFonts w:ascii="Consolas" w:hAnsi="Consolas" w:cs="Consolas"/>
                <w:sz w:val="17"/>
                <w:szCs w:val="17"/>
              </w:rPr>
              <w:t xml:space="preserve">  deploy/</w:t>
            </w:r>
          </w:p>
          <w:p>
            <w:pPr>
              <w:spacing w:before="0" w:after="0" w:line="240" w:lineRule="auto"/>
            </w:pPr>
            <w:r>
              <w:rPr>
                <w:rFonts w:ascii="Consolas" w:hAnsi="Consolas" w:cs="Consolas"/>
                <w:sz w:val="17"/>
                <w:szCs w:val="17"/>
              </w:rPr>
              <w:t xml:space="preserve">    colvatel.service        Servicio systemd de Ubuntu</w:t>
            </w:r>
          </w:p>
          <w:p>
            <w:pPr>
              <w:spacing w:before="0" w:after="0" w:line="240" w:lineRule="auto"/>
            </w:pPr>
            <w:r>
              <w:rPr>
                <w:rFonts w:ascii="Consolas" w:hAnsi="Consolas" w:cs="Consolas"/>
                <w:sz w:val="17"/>
                <w:szCs w:val="17"/>
              </w:rPr>
              <w:t xml:space="preserve">    nginx.conf.example      Proxy inverso Nginx</w:t>
            </w:r>
          </w:p>
          <w:p>
            <w:pPr>
              <w:spacing w:before="0" w:after="0" w:line="240" w:lineRule="auto"/>
            </w:pPr>
            <w:r>
              <w:rPr>
                <w:rFonts w:ascii="Consolas" w:hAnsi="Consolas" w:cs="Consolas"/>
                <w:sz w:val="17"/>
                <w:szCs w:val="17"/>
              </w:rPr>
              <w:t xml:space="preserve">  var/documentos_hist/      Documentos originales cifrados  (NO versionar)</w:t>
            </w:r>
          </w:p>
        </w:tc>
      </w:tr>
    </w:tbl>
    <w:p>
      <w:pPr>
        <w:spacing w:before="0" w:after="100" w:line="264" w:lineRule="auto"/>
      </w:pPr>
    </w:p>
    <w:p>
      <w:pPr>
        <w:pStyle w:val="Titulo2"/>
      </w:pPr>
      <w:r>
        <w:rPr>
          <w:rFonts w:ascii="Tahoma" w:hAnsi="Tahoma" w:cs="Tahoma"/>
          <w:sz w:val="26"/>
          <w:szCs w:val="26"/>
          <w:b/>
          <w:color w:val="2E5C9A"/>
        </w:rPr>
        <w:t xml:space="preserve">4.1 Responsabilidad de cada módulo</w:t>
      </w:r>
    </w:p>
    <w:tbl>
      <w:tblPr>
        <w:tblW w:w="8838"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Pr>
      <w:tblGrid>
        <w:gridCol w:w="1800"/>
        <w:gridCol w:w="7038"/>
      </w:tblGrid>
      <w:tr>
        <w:trPr>
          <w:tblHeader/>
        </w:trPr>
        <w:tc>
          <w:tcPr>
            <w:tcW w:w="18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Módulo</w:t>
            </w:r>
          </w:p>
        </w:tc>
        <w:tc>
          <w:tcPr>
            <w:tcW w:w="7038"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Qué contiene</w:t>
            </w:r>
          </w:p>
        </w:tc>
      </w:tr>
      <w:tr>
        <w:tc>
          <w:tcPr>
            <w:tcW w:w="18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app.py</w:t>
            </w:r>
          </w:p>
        </w:tc>
        <w:tc>
          <w:tcPr>
            <w:tcW w:w="70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Rutas HTTP, construcción de prompts, llamadas a los proveedores de IA, recorte de tokens, normalización de la respuesta, validación de amparos y generación del Acta en Excel.</w:t>
            </w:r>
          </w:p>
        </w:tc>
      </w:tr>
      <w:tr>
        <w:tc>
          <w:tcPr>
            <w:tcW w:w="18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database.py</w:t>
            </w:r>
          </w:p>
        </w:tc>
        <w:tc>
          <w:tcPr>
            <w:tcW w:w="70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Todas las consultas a MySQL: documentos, manual de contratación, API keys, proveedores y motores. Cifra al guardar y descifra al leer.</w:t>
            </w:r>
          </w:p>
        </w:tc>
      </w:tr>
      <w:tr>
        <w:tc>
          <w:tcPr>
            <w:tcW w:w="18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crypto.py</w:t>
            </w:r>
          </w:p>
        </w:tc>
        <w:tc>
          <w:tcPr>
            <w:tcW w:w="70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Cifrado simétrico Fernet (AES-128-CBC + HMAC-SHA256). Centraliza la lectura de ENCRYPTION_KEY y tolera registros antiguos sin cifrar.</w:t>
            </w:r>
          </w:p>
        </w:tc>
      </w:tr>
      <w:tr>
        <w:tc>
          <w:tcPr>
            <w:tcW w:w="18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doc_storage.py</w:t>
            </w:r>
          </w:p>
        </w:tc>
        <w:tc>
          <w:tcPr>
            <w:tcW w:w="70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Guarda los archivos originales cifrados en disco en lugar de como BLOB en MySQL. Opcional: se activa con DOCUMENT_STORAGE_ROOT.</w:t>
            </w:r>
          </w:p>
        </w:tc>
      </w:tr>
    </w:tbl>
    <w:p>
      <w:pPr>
        <w:spacing w:before="0" w:after="80" w:line="264" w:lineRule="auto"/>
      </w:pPr>
    </w:p>
    <w:p>
      <w:r>
        <w:br w:type="page"/>
      </w:r>
    </w:p>
    <w:p>
      <w:pPr>
        <w:pStyle w:val="Titulo1"/>
      </w:pPr>
      <w:r>
        <w:rPr>
          <w:rFonts w:ascii="Tahoma" w:hAnsi="Tahoma" w:cs="Tahoma"/>
          <w:sz w:val="32"/>
          <w:szCs w:val="32"/>
          <w:b/>
          <w:color w:val="1F3864"/>
        </w:rPr>
        <w:t xml:space="preserve">5. Entorno virtual e instalación</w:t>
      </w:r>
    </w:p>
    <w:tbl>
      <w:tblPr>
        <w:tblW w:w="8838" w:type="dxa"/>
        <w:tblBorders>
          <w:left w:val="single" w:sz="24" w:space="0" w:color="C00000"/>
        </w:tblBorders>
        <w:tblLayout w:type="fixed"/>
      </w:tblPr>
      <w:tblGrid>
        <w:gridCol w:w="8838"/>
      </w:tblGrid>
      <w:tr>
        <w:tc>
          <w:tcPr>
            <w:tcW w:w="8838" w:type="dxa"/>
            <w:shd w:val="clear" w:color="auto" w:fill="FDEAEA"/>
            <w:tcMar>
              <w:top w:w="120" w:type="dxa"/>
              <w:bottom w:w="120" w:type="dxa"/>
              <w:left w:w="160" w:type="dxa"/>
              <w:right w:w="120" w:type="dxa"/>
            </w:tcMar>
          </w:tcPr>
          <w:p>
            <w:pPr>
              <w:spacing w:after="40"/>
            </w:pPr>
            <w:r>
              <w:rPr>
                <w:rFonts w:ascii="Tahoma" w:hAnsi="Tahoma" w:cs="Tahoma"/>
                <w:sz w:val="19"/>
                <w:szCs w:val="19"/>
                <w:b/>
                <w:color w:val="C00000"/>
              </w:rPr>
              <w:t xml:space="preserve">Estado actual</w:t>
            </w:r>
          </w:p>
          <w:p>
            <w:pPr>
              <w:spacing w:after="0"/>
            </w:pPr>
            <w:r>
              <w:rPr>
                <w:rFonts w:ascii="Tahoma" w:hAnsi="Tahoma" w:cs="Tahoma"/>
                <w:sz w:val="18"/>
                <w:szCs w:val="18"/>
              </w:rPr>
              <w:t xml:space="preserve">El proyecto NO tiene entorno virtual: usa el Python del sistema. Esto significa que sus dependencias conviven con las de cualquier otro proyecto de la máquina, y una actualización ajena puede romper el motor. Se recomienda crear un entorno virtual siguiendo los pasos de este capítulo.</w:t>
            </w:r>
          </w:p>
        </w:tc>
      </w:tr>
    </w:tbl>
    <w:p>
      <w:pPr>
        <w:spacing w:before="0" w:after="100" w:line="264" w:lineRule="auto"/>
      </w:pPr>
    </w:p>
    <w:p>
      <w:pPr>
        <w:pStyle w:val="Titulo2"/>
      </w:pPr>
      <w:r>
        <w:rPr>
          <w:rFonts w:ascii="Tahoma" w:hAnsi="Tahoma" w:cs="Tahoma"/>
          <w:sz w:val="26"/>
          <w:szCs w:val="26"/>
          <w:b/>
          <w:color w:val="2E5C9A"/>
        </w:rPr>
        <w:t xml:space="preserve">5.1 Crear el entorno virtual (Windows)</w:t>
      </w:r>
    </w:p>
    <w:tbl>
      <w:tblPr>
        <w:tblW w:w="8838" w:type="dxa"/>
        <w:tblBorders>
          <w:left w:val="single" w:sz="18" w:space="0" w:color="2E5C9A"/>
          <w:top w:val="single" w:sz="2" w:space="0" w:color="BFBFBF"/>
          <w:bottom w:val="single" w:sz="2" w:space="0" w:color="BFBFBF"/>
          <w:right w:val="single" w:sz="2" w:space="0" w:color="BFBFBF"/>
        </w:tblBorders>
        <w:tblLayout w:type="fixed"/>
      </w:tblPr>
      <w:tblGrid>
        <w:gridCol w:w="8838"/>
      </w:tblGrid>
      <w:tr>
        <w:tc>
          <w:tcPr>
            <w:tcW w:w="8838" w:type="dxa"/>
            <w:shd w:val="clear" w:color="auto" w:fill="F2F2F2"/>
            <w:tcMar>
              <w:top w:w="100" w:type="dxa"/>
              <w:bottom w:w="100" w:type="dxa"/>
              <w:left w:w="140" w:type="dxa"/>
              <w:right w:w="100" w:type="dxa"/>
            </w:tcMar>
          </w:tcPr>
          <w:p>
            <w:pPr>
              <w:spacing w:before="0" w:after="0" w:line="240" w:lineRule="auto"/>
            </w:pPr>
            <w:r>
              <w:rPr>
                <w:rFonts w:ascii="Consolas" w:hAnsi="Consolas" w:cs="Consolas"/>
                <w:sz w:val="17"/>
                <w:szCs w:val="17"/>
              </w:rPr>
              <w:t xml:space="preserve">cd "C:\Users\&lt;usuario&gt;\...\Escritorio\agente_poliza"</w:t>
            </w:r>
          </w:p>
          <w:p>
            <w:pPr>
              <w:spacing w:before="0" w:after="0" w:line="240" w:lineRule="auto"/>
            </w:pPr>
          </w:p>
          <w:p>
            <w:pPr>
              <w:spacing w:before="0" w:after="0" w:line="240" w:lineRule="auto"/>
            </w:pPr>
            <w:r>
              <w:rPr>
                <w:rFonts w:ascii="Consolas" w:hAnsi="Consolas" w:cs="Consolas"/>
                <w:sz w:val="17"/>
                <w:szCs w:val="17"/>
              </w:rPr>
              <w:t xml:space="preserve">python -m venv venv</w:t>
            </w:r>
          </w:p>
          <w:p>
            <w:pPr>
              <w:spacing w:before="0" w:after="0" w:line="240" w:lineRule="auto"/>
            </w:pPr>
            <w:r>
              <w:rPr>
                <w:rFonts w:ascii="Consolas" w:hAnsi="Consolas" w:cs="Consolas"/>
                <w:sz w:val="17"/>
                <w:szCs w:val="17"/>
              </w:rPr>
              <w:t xml:space="preserve">venv\Scripts\activate</w:t>
            </w:r>
          </w:p>
          <w:p>
            <w:pPr>
              <w:spacing w:before="0" w:after="0" w:line="240" w:lineRule="auto"/>
            </w:pPr>
          </w:p>
          <w:p>
            <w:pPr>
              <w:spacing w:before="0" w:after="0" w:line="240" w:lineRule="auto"/>
            </w:pPr>
            <w:r>
              <w:rPr>
                <w:rFonts w:ascii="Consolas" w:hAnsi="Consolas" w:cs="Consolas"/>
                <w:sz w:val="17"/>
                <w:szCs w:val="17"/>
              </w:rPr>
              <w:t xml:space="preserve">python -m pip install --upgrade pip</w:t>
            </w:r>
          </w:p>
          <w:p>
            <w:pPr>
              <w:spacing w:before="0" w:after="0" w:line="240" w:lineRule="auto"/>
            </w:pPr>
            <w:r>
              <w:rPr>
                <w:rFonts w:ascii="Consolas" w:hAnsi="Consolas" w:cs="Consolas"/>
                <w:sz w:val="17"/>
                <w:szCs w:val="17"/>
              </w:rPr>
              <w:t xml:space="preserve">pip install -r requirements.txt</w:t>
            </w:r>
          </w:p>
        </w:tc>
      </w:tr>
    </w:tbl>
    <w:p>
      <w:pPr>
        <w:spacing w:before="0" w:after="100" w:line="264" w:lineRule="auto"/>
      </w:pPr>
    </w:p>
    <w:p>
      <w:pPr>
        <w:spacing w:before="0" w:after="120" w:line="264" w:lineRule="auto"/>
      </w:pPr>
      <w:r>
        <w:rPr>
          <w:rFonts w:ascii="Tahoma" w:hAnsi="Tahoma" w:cs="Tahoma"/>
          <w:sz w:val="20"/>
          <w:szCs w:val="20"/>
        </w:rPr>
        <w:t xml:space="preserve">Con el entorno activo, el prompt de la consola muestra el prefijo (venv). Para salir: deactivate.</w:t>
      </w:r>
    </w:p>
    <w:p>
      <w:pPr>
        <w:pStyle w:val="Titulo2"/>
      </w:pPr>
      <w:r>
        <w:rPr>
          <w:rFonts w:ascii="Tahoma" w:hAnsi="Tahoma" w:cs="Tahoma"/>
          <w:sz w:val="26"/>
          <w:szCs w:val="26"/>
          <w:b/>
          <w:color w:val="2E5C9A"/>
        </w:rPr>
        <w:t xml:space="preserve">5.2 Crear el entorno virtual (Ubuntu, producción)</w:t>
      </w:r>
    </w:p>
    <w:tbl>
      <w:tblPr>
        <w:tblW w:w="8838" w:type="dxa"/>
        <w:tblBorders>
          <w:left w:val="single" w:sz="18" w:space="0" w:color="2E5C9A"/>
          <w:top w:val="single" w:sz="2" w:space="0" w:color="BFBFBF"/>
          <w:bottom w:val="single" w:sz="2" w:space="0" w:color="BFBFBF"/>
          <w:right w:val="single" w:sz="2" w:space="0" w:color="BFBFBF"/>
        </w:tblBorders>
        <w:tblLayout w:type="fixed"/>
      </w:tblPr>
      <w:tblGrid>
        <w:gridCol w:w="8838"/>
      </w:tblGrid>
      <w:tr>
        <w:tc>
          <w:tcPr>
            <w:tcW w:w="8838" w:type="dxa"/>
            <w:shd w:val="clear" w:color="auto" w:fill="F2F2F2"/>
            <w:tcMar>
              <w:top w:w="100" w:type="dxa"/>
              <w:bottom w:w="100" w:type="dxa"/>
              <w:left w:w="140" w:type="dxa"/>
              <w:right w:w="100" w:type="dxa"/>
            </w:tcMar>
          </w:tcPr>
          <w:p>
            <w:pPr>
              <w:spacing w:before="0" w:after="0" w:line="240" w:lineRule="auto"/>
            </w:pPr>
            <w:r>
              <w:rPr>
                <w:rFonts w:ascii="Consolas" w:hAnsi="Consolas" w:cs="Consolas"/>
                <w:sz w:val="17"/>
                <w:szCs w:val="17"/>
              </w:rPr>
              <w:t xml:space="preserve">cd /opt/colvatel-app</w:t>
            </w:r>
          </w:p>
          <w:p>
            <w:pPr>
              <w:spacing w:before="0" w:after="0" w:line="240" w:lineRule="auto"/>
            </w:pPr>
          </w:p>
          <w:p>
            <w:pPr>
              <w:spacing w:before="0" w:after="0" w:line="240" w:lineRule="auto"/>
            </w:pPr>
            <w:r>
              <w:rPr>
                <w:rFonts w:ascii="Consolas" w:hAnsi="Consolas" w:cs="Consolas"/>
                <w:sz w:val="17"/>
                <w:szCs w:val="17"/>
              </w:rPr>
              <w:t xml:space="preserve">python3 -m venv venv</w:t>
            </w:r>
          </w:p>
          <w:p>
            <w:pPr>
              <w:spacing w:before="0" w:after="0" w:line="240" w:lineRule="auto"/>
            </w:pPr>
            <w:r>
              <w:rPr>
                <w:rFonts w:ascii="Consolas" w:hAnsi="Consolas" w:cs="Consolas"/>
                <w:sz w:val="17"/>
                <w:szCs w:val="17"/>
              </w:rPr>
              <w:t xml:space="preserve">source venv/bin/activate</w:t>
            </w:r>
          </w:p>
          <w:p>
            <w:pPr>
              <w:spacing w:before="0" w:after="0" w:line="240" w:lineRule="auto"/>
            </w:pPr>
          </w:p>
          <w:p>
            <w:pPr>
              <w:spacing w:before="0" w:after="0" w:line="240" w:lineRule="auto"/>
            </w:pPr>
            <w:r>
              <w:rPr>
                <w:rFonts w:ascii="Consolas" w:hAnsi="Consolas" w:cs="Consolas"/>
                <w:sz w:val="17"/>
                <w:szCs w:val="17"/>
              </w:rPr>
              <w:t xml:space="preserve">pip install --upgrade pip</w:t>
            </w:r>
          </w:p>
          <w:p>
            <w:pPr>
              <w:spacing w:before="0" w:after="0" w:line="240" w:lineRule="auto"/>
            </w:pPr>
            <w:r>
              <w:rPr>
                <w:rFonts w:ascii="Consolas" w:hAnsi="Consolas" w:cs="Consolas"/>
                <w:sz w:val="17"/>
                <w:szCs w:val="17"/>
              </w:rPr>
              <w:t xml:space="preserve">pip install -r requirements.txt</w:t>
            </w:r>
          </w:p>
        </w:tc>
      </w:tr>
    </w:tbl>
    <w:p>
      <w:pPr>
        <w:spacing w:before="0" w:after="100" w:line="264" w:lineRule="auto"/>
      </w:pPr>
    </w:p>
    <w:p>
      <w:pPr>
        <w:spacing w:before="0" w:after="120" w:line="264" w:lineRule="auto"/>
      </w:pPr>
      <w:r>
        <w:rPr>
          <w:rFonts w:ascii="Tahoma" w:hAnsi="Tahoma" w:cs="Tahoma"/>
          <w:sz w:val="20"/>
          <w:szCs w:val="20"/>
        </w:rPr>
        <w:t xml:space="preserve">La ruta /opt/colvatel-app/venv/bin/gunicorn es la que espera el servicio systemd incluido en deploy/colvatel.service.</w:t>
      </w:r>
    </w:p>
    <w:p>
      <w:pPr>
        <w:pStyle w:val="Titulo2"/>
      </w:pPr>
      <w:r>
        <w:rPr>
          <w:rFonts w:ascii="Tahoma" w:hAnsi="Tahoma" w:cs="Tahoma"/>
          <w:sz w:val="26"/>
          <w:szCs w:val="26"/>
          <w:b/>
          <w:color w:val="2E5C9A"/>
        </w:rPr>
        <w:t xml:space="preserve">5.3 Verificar la instalación</w:t>
      </w:r>
    </w:p>
    <w:tbl>
      <w:tblPr>
        <w:tblW w:w="8838" w:type="dxa"/>
        <w:tblBorders>
          <w:left w:val="single" w:sz="18" w:space="0" w:color="2E5C9A"/>
          <w:top w:val="single" w:sz="2" w:space="0" w:color="BFBFBF"/>
          <w:bottom w:val="single" w:sz="2" w:space="0" w:color="BFBFBF"/>
          <w:right w:val="single" w:sz="2" w:space="0" w:color="BFBFBF"/>
        </w:tblBorders>
        <w:tblLayout w:type="fixed"/>
      </w:tblPr>
      <w:tblGrid>
        <w:gridCol w:w="8838"/>
      </w:tblGrid>
      <w:tr>
        <w:tc>
          <w:tcPr>
            <w:tcW w:w="8838" w:type="dxa"/>
            <w:shd w:val="clear" w:color="auto" w:fill="F2F2F2"/>
            <w:tcMar>
              <w:top w:w="100" w:type="dxa"/>
              <w:bottom w:w="100" w:type="dxa"/>
              <w:left w:w="140" w:type="dxa"/>
              <w:right w:w="100" w:type="dxa"/>
            </w:tcMar>
          </w:tcPr>
          <w:p>
            <w:pPr>
              <w:spacing w:before="0" w:after="0" w:line="240" w:lineRule="auto"/>
            </w:pPr>
            <w:r>
              <w:rPr>
                <w:rFonts w:ascii="Consolas" w:hAnsi="Consolas" w:cs="Consolas"/>
                <w:sz w:val="17"/>
                <w:szCs w:val="17"/>
              </w:rPr>
              <w:t xml:space="preserve">python -c "import flask, pdfplumber, docx, openpyxl; print('dependencias OK')"</w:t>
            </w:r>
          </w:p>
          <w:p>
            <w:pPr>
              <w:spacing w:before="0" w:after="0" w:line="240" w:lineRule="auto"/>
            </w:pPr>
            <w:r>
              <w:rPr>
                <w:rFonts w:ascii="Consolas" w:hAnsi="Consolas" w:cs="Consolas"/>
                <w:sz w:val="17"/>
                <w:szCs w:val="17"/>
              </w:rPr>
              <w:t xml:space="preserve">python -c "import mysql.connector as m; print('mysql', m.__version__)"</w:t>
            </w:r>
          </w:p>
          <w:p>
            <w:pPr>
              <w:spacing w:before="0" w:after="0" w:line="240" w:lineRule="auto"/>
            </w:pPr>
            <w:r>
              <w:rPr>
                <w:rFonts w:ascii="Consolas" w:hAnsi="Consolas" w:cs="Consolas"/>
                <w:sz w:val="17"/>
                <w:szCs w:val="17"/>
              </w:rPr>
              <w:t xml:space="preserve">python -c "import app; print('app importa correctamente')"</w:t>
            </w:r>
          </w:p>
        </w:tc>
      </w:tr>
    </w:tbl>
    <w:p>
      <w:pPr>
        <w:spacing w:before="0" w:after="100" w:line="264" w:lineRule="auto"/>
      </w:pPr>
    </w:p>
    <w:p>
      <w:pPr>
        <w:pStyle w:val="Titulo2"/>
      </w:pPr>
      <w:r>
        <w:rPr>
          <w:rFonts w:ascii="Tahoma" w:hAnsi="Tahoma" w:cs="Tahoma"/>
          <w:sz w:val="26"/>
          <w:szCs w:val="26"/>
          <w:b/>
          <w:color w:val="2E5C9A"/>
        </w:rPr>
        <w:t xml:space="preserve">5.4 Arranque</w:t>
      </w:r>
    </w:p>
    <w:tbl>
      <w:tblPr>
        <w:tblW w:w="8838"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Pr>
      <w:tblGrid>
        <w:gridCol w:w="2400"/>
        <w:gridCol w:w="6438"/>
      </w:tblGrid>
      <w:tr>
        <w:trPr>
          <w:tblHeader/>
        </w:trPr>
        <w:tc>
          <w:tcPr>
            <w:tcW w:w="24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Entorno</w:t>
            </w:r>
          </w:p>
        </w:tc>
        <w:tc>
          <w:tcPr>
            <w:tcW w:w="6438"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Comando</w:t>
            </w:r>
          </w:p>
        </w:tc>
      </w:tr>
      <w:tr>
        <w:tc>
          <w:tcPr>
            <w:tcW w:w="24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Desarrollo</w:t>
            </w:r>
          </w:p>
        </w:tc>
        <w:tc>
          <w:tcPr>
            <w:tcW w:w="64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python app.py     (escucha en http://127.0.0.1:5000)</w:t>
            </w:r>
          </w:p>
        </w:tc>
      </w:tr>
      <w:tr>
        <w:tc>
          <w:tcPr>
            <w:tcW w:w="24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Producción</w:t>
            </w:r>
          </w:p>
        </w:tc>
        <w:tc>
          <w:tcPr>
            <w:tcW w:w="64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gunicorn -c gunicorn.conf.py wsgi:app</w:t>
            </w:r>
          </w:p>
        </w:tc>
      </w:tr>
      <w:tr>
        <w:tc>
          <w:tcPr>
            <w:tcW w:w="24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Producción (systemd)</w:t>
            </w:r>
          </w:p>
        </w:tc>
        <w:tc>
          <w:tcPr>
            <w:tcW w:w="64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sudo systemctl start colvatel</w:t>
            </w:r>
          </w:p>
        </w:tc>
      </w:tr>
    </w:tbl>
    <w:p>
      <w:pPr>
        <w:spacing w:before="0" w:after="80" w:line="264" w:lineRule="auto"/>
      </w:pPr>
    </w:p>
    <w:p>
      <w:r>
        <w:br w:type="page"/>
      </w:r>
    </w:p>
    <w:p>
      <w:pPr>
        <w:pStyle w:val="Titulo1"/>
      </w:pPr>
      <w:r>
        <w:rPr>
          <w:rFonts w:ascii="Tahoma" w:hAnsi="Tahoma" w:cs="Tahoma"/>
          <w:sz w:val="32"/>
          <w:szCs w:val="32"/>
          <w:b/>
          <w:color w:val="1F3864"/>
        </w:rPr>
        <w:t xml:space="preserve">6. Configuración</w:t>
      </w:r>
    </w:p>
    <w:p>
      <w:pPr>
        <w:spacing w:before="0" w:after="120" w:line="264" w:lineRule="auto"/>
      </w:pPr>
      <w:r>
        <w:rPr>
          <w:rFonts w:ascii="Tahoma" w:hAnsi="Tahoma" w:cs="Tahoma"/>
          <w:sz w:val="20"/>
          <w:szCs w:val="20"/>
        </w:rPr>
        <w:t xml:space="preserve">Toda la configuración vive en el archivo .env de la raíz del proyecto, que python-dotenv carga automáticamente al arrancar.</w:t>
      </w:r>
    </w:p>
    <w:p>
      <w:pPr>
        <w:pStyle w:val="Titulo2"/>
      </w:pPr>
      <w:r>
        <w:rPr>
          <w:rFonts w:ascii="Tahoma" w:hAnsi="Tahoma" w:cs="Tahoma"/>
          <w:sz w:val="26"/>
          <w:szCs w:val="26"/>
          <w:b/>
          <w:color w:val="2E5C9A"/>
        </w:rPr>
        <w:t xml:space="preserve">6.1 Variables obligatorias</w:t>
      </w:r>
    </w:p>
    <w:tbl>
      <w:tblPr>
        <w:tblW w:w="8838"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Pr>
      <w:tblGrid>
        <w:gridCol w:w="2600"/>
        <w:gridCol w:w="6238"/>
      </w:tblGrid>
      <w:tr>
        <w:trPr>
          <w:tblHeader/>
        </w:trPr>
        <w:tc>
          <w:tcPr>
            <w:tcW w:w="26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Variable</w:t>
            </w:r>
          </w:p>
        </w:tc>
        <w:tc>
          <w:tcPr>
            <w:tcW w:w="6238"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Descripción</w:t>
            </w:r>
          </w:p>
        </w:tc>
      </w:tr>
      <w:tr>
        <w:tc>
          <w:tcPr>
            <w:tcW w:w="26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SECRET_KEY</w:t>
            </w:r>
          </w:p>
        </w:tc>
        <w:tc>
          <w:tcPr>
            <w:tcW w:w="62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Clave de firma de sesiones de Flask. Cadena aleatoria larga.</w:t>
            </w:r>
          </w:p>
        </w:tc>
      </w:tr>
      <w:tr>
        <w:tc>
          <w:tcPr>
            <w:tcW w:w="26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ENCRYPTION_KEY</w:t>
            </w:r>
          </w:p>
        </w:tc>
        <w:tc>
          <w:tcPr>
            <w:tcW w:w="62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Clave Fernet (base64 de 32 bytes) que cifra documentos y API keys. Si se pierde o cambia, los documentos ya cifrados quedan ILEGIBLES.</w:t>
            </w:r>
          </w:p>
        </w:tc>
      </w:tr>
      <w:tr>
        <w:tc>
          <w:tcPr>
            <w:tcW w:w="26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DB_HOST</w:t>
            </w:r>
          </w:p>
        </w:tc>
        <w:tc>
          <w:tcPr>
            <w:tcW w:w="62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Servidor MySQL. Habitualmente 127.0.0.1</w:t>
            </w:r>
          </w:p>
        </w:tc>
      </w:tr>
      <w:tr>
        <w:tc>
          <w:tcPr>
            <w:tcW w:w="26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DB_PORT</w:t>
            </w:r>
          </w:p>
        </w:tc>
        <w:tc>
          <w:tcPr>
            <w:tcW w:w="62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Puerto MySQL. Por defecto 3306</w:t>
            </w:r>
          </w:p>
        </w:tc>
      </w:tr>
      <w:tr>
        <w:tc>
          <w:tcPr>
            <w:tcW w:w="26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DB_USER</w:t>
            </w:r>
          </w:p>
        </w:tc>
        <w:tc>
          <w:tcPr>
            <w:tcW w:w="62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Usuario de la base de datos</w:t>
            </w:r>
          </w:p>
        </w:tc>
      </w:tr>
      <w:tr>
        <w:tc>
          <w:tcPr>
            <w:tcW w:w="26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DB_PASSWORD</w:t>
            </w:r>
          </w:p>
        </w:tc>
        <w:tc>
          <w:tcPr>
            <w:tcW w:w="62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Contraseña de la base de datos</w:t>
            </w:r>
          </w:p>
        </w:tc>
      </w:tr>
      <w:tr>
        <w:tc>
          <w:tcPr>
            <w:tcW w:w="26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DB_NAME</w:t>
            </w:r>
          </w:p>
        </w:tc>
        <w:tc>
          <w:tcPr>
            <w:tcW w:w="62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Nombre de la base de datos: colvacontratos</w:t>
            </w:r>
          </w:p>
        </w:tc>
      </w:tr>
    </w:tbl>
    <w:p>
      <w:pPr>
        <w:spacing w:before="0" w:after="80" w:line="264" w:lineRule="auto"/>
      </w:pPr>
    </w:p>
    <w:p>
      <w:pPr>
        <w:pStyle w:val="Titulo2"/>
      </w:pPr>
      <w:r>
        <w:rPr>
          <w:rFonts w:ascii="Tahoma" w:hAnsi="Tahoma" w:cs="Tahoma"/>
          <w:sz w:val="26"/>
          <w:szCs w:val="26"/>
          <w:b/>
          <w:color w:val="2E5C9A"/>
        </w:rPr>
        <w:t xml:space="preserve">6.2 Integración y seguridad</w:t>
      </w:r>
    </w:p>
    <w:tbl>
      <w:tblPr>
        <w:tblW w:w="8838"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Pr>
      <w:tblGrid>
        <w:gridCol w:w="2600"/>
        <w:gridCol w:w="6238"/>
      </w:tblGrid>
      <w:tr>
        <w:trPr>
          <w:tblHeader/>
        </w:trPr>
        <w:tc>
          <w:tcPr>
            <w:tcW w:w="26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Variable</w:t>
            </w:r>
          </w:p>
        </w:tc>
        <w:tc>
          <w:tcPr>
            <w:tcW w:w="6238"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Descripción</w:t>
            </w:r>
          </w:p>
        </w:tc>
      </w:tr>
      <w:tr>
        <w:tc>
          <w:tcPr>
            <w:tcW w:w="26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INTERNAL_API_KEY</w:t>
            </w:r>
          </w:p>
        </w:tc>
        <w:tc>
          <w:tcPr>
            <w:tcW w:w="62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Clave compartida con ColvaContratos. Si está definida, toda ruta /api/* y /admin/* exige la cabecera X-Internal-Key con ese valor.</w:t>
            </w:r>
          </w:p>
        </w:tc>
      </w:tr>
      <w:tr>
        <w:tc>
          <w:tcPr>
            <w:tcW w:w="26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ALLOWED_ORIGINS</w:t>
            </w:r>
          </w:p>
        </w:tc>
        <w:tc>
          <w:tcPr>
            <w:tcW w:w="62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Orígenes CORS permitidos. En producción conviene limitarlo a un dominio.</w:t>
            </w:r>
          </w:p>
        </w:tc>
      </w:tr>
      <w:tr>
        <w:tc>
          <w:tcPr>
            <w:tcW w:w="26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DOCUMENT_STORAGE_ROOT</w:t>
            </w:r>
          </w:p>
        </w:tc>
        <w:tc>
          <w:tcPr>
            <w:tcW w:w="62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Ruta absoluta donde se guardan los documentos cifrados. Vacía = dentro de MySQL.</w:t>
            </w:r>
          </w:p>
        </w:tc>
      </w:tr>
      <w:tr>
        <w:tc>
          <w:tcPr>
            <w:tcW w:w="26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APP_ACTOR_LABEL</w:t>
            </w:r>
          </w:p>
        </w:tc>
        <w:tc>
          <w:tcPr>
            <w:tcW w:w="62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Etiqueta que identifica al sistema en los registros de auditoría.</w:t>
            </w:r>
          </w:p>
        </w:tc>
      </w:tr>
    </w:tbl>
    <w:p>
      <w:pPr>
        <w:spacing w:before="0" w:after="80" w:line="264" w:lineRule="auto"/>
      </w:pPr>
    </w:p>
    <w:p>
      <w:pPr>
        <w:pStyle w:val="Titulo2"/>
      </w:pPr>
      <w:r>
        <w:rPr>
          <w:rFonts w:ascii="Tahoma" w:hAnsi="Tahoma" w:cs="Tahoma"/>
          <w:sz w:val="26"/>
          <w:szCs w:val="26"/>
          <w:b/>
          <w:color w:val="2E5C9A"/>
        </w:rPr>
        <w:t xml:space="preserve">6.3 Optimización y límites</w:t>
      </w:r>
    </w:p>
    <w:tbl>
      <w:tblPr>
        <w:tblW w:w="8838"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Pr>
      <w:tblGrid>
        <w:gridCol w:w="2900"/>
        <w:gridCol w:w="1200"/>
        <w:gridCol w:w="4738"/>
      </w:tblGrid>
      <w:tr>
        <w:trPr>
          <w:tblHeader/>
        </w:trPr>
        <w:tc>
          <w:tcPr>
            <w:tcW w:w="29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Variable</w:t>
            </w:r>
          </w:p>
        </w:tc>
        <w:tc>
          <w:tcPr>
            <w:tcW w:w="12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Defecto</w:t>
            </w:r>
          </w:p>
        </w:tc>
        <w:tc>
          <w:tcPr>
            <w:tcW w:w="4738"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Descripción</w:t>
            </w:r>
          </w:p>
        </w:tc>
      </w:tr>
      <w:tr>
        <w:tc>
          <w:tcPr>
            <w:tcW w:w="29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RECORTE_TOKENS</w:t>
            </w:r>
          </w:p>
        </w:tc>
        <w:tc>
          <w:tcPr>
            <w:tcW w:w="1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1</w:t>
            </w:r>
          </w:p>
        </w:tc>
        <w:tc>
          <w:tcPr>
            <w:tcW w:w="47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Recorte de texto antes de enviarlo a la IA. 0 lo desactiva.</w:t>
            </w:r>
          </w:p>
        </w:tc>
      </w:tr>
      <w:tr>
        <w:tc>
          <w:tcPr>
            <w:tcW w:w="29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USAR_FECHA_TERMINACION_REGEX</w:t>
            </w:r>
          </w:p>
        </w:tc>
        <w:tc>
          <w:tcPr>
            <w:tcW w:w="1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1</w:t>
            </w:r>
          </w:p>
        </w:tc>
        <w:tc>
          <w:tcPr>
            <w:tcW w:w="47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Corrección de la fecha de terminación por expresiones regulares.</w:t>
            </w:r>
          </w:p>
        </w:tc>
      </w:tr>
      <w:tr>
        <w:tc>
          <w:tcPr>
            <w:tcW w:w="29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MAX_CHARS_PROMPT_CONTRATO</w:t>
            </w:r>
          </w:p>
        </w:tc>
        <w:tc>
          <w:tcPr>
            <w:tcW w:w="1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sin límite</w:t>
            </w:r>
          </w:p>
        </w:tc>
        <w:tc>
          <w:tcPr>
            <w:tcW w:w="47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Tope de caracteres del contrato. Trunca por el final.</w:t>
            </w:r>
          </w:p>
        </w:tc>
      </w:tr>
      <w:tr>
        <w:tc>
          <w:tcPr>
            <w:tcW w:w="29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MAX_CHARS_PROMPT_POLIZAS</w:t>
            </w:r>
          </w:p>
        </w:tc>
        <w:tc>
          <w:tcPr>
            <w:tcW w:w="1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sin límite</w:t>
            </w:r>
          </w:p>
        </w:tc>
        <w:tc>
          <w:tcPr>
            <w:tcW w:w="47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Tope de caracteres de las pólizas. Trunca por el final.</w:t>
            </w:r>
          </w:p>
        </w:tc>
      </w:tr>
      <w:tr>
        <w:tc>
          <w:tcPr>
            <w:tcW w:w="29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MAX_CHARS_POLIZAS_IA</w:t>
            </w:r>
          </w:p>
        </w:tc>
        <w:tc>
          <w:tcPr>
            <w:tcW w:w="1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sin límite</w:t>
            </w:r>
          </w:p>
        </w:tc>
        <w:tc>
          <w:tcPr>
            <w:tcW w:w="47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Tope del texto combinado de todas las pólizas.</w:t>
            </w:r>
          </w:p>
        </w:tc>
      </w:tr>
      <w:tr>
        <w:tc>
          <w:tcPr>
            <w:tcW w:w="29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MAX_POLIZAS_POR_ANALISIS</w:t>
            </w:r>
          </w:p>
        </w:tc>
        <w:tc>
          <w:tcPr>
            <w:tcW w:w="1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sin límite</w:t>
            </w:r>
          </w:p>
        </w:tc>
        <w:tc>
          <w:tcPr>
            <w:tcW w:w="47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Número máximo de archivos de póliza por análisis.</w:t>
            </w:r>
          </w:p>
        </w:tc>
      </w:tr>
    </w:tbl>
    <w:p>
      <w:pPr>
        <w:spacing w:before="0" w:after="80" w:line="264" w:lineRule="auto"/>
      </w:pPr>
    </w:p>
    <w:tbl>
      <w:tblPr>
        <w:tblW w:w="8838" w:type="dxa"/>
        <w:tblBorders>
          <w:left w:val="single" w:sz="24" w:space="0" w:color="C55A11"/>
        </w:tblBorders>
        <w:tblLayout w:type="fixed"/>
      </w:tblPr>
      <w:tblGrid>
        <w:gridCol w:w="8838"/>
      </w:tblGrid>
      <w:tr>
        <w:tc>
          <w:tcPr>
            <w:tcW w:w="8838" w:type="dxa"/>
            <w:shd w:val="clear" w:color="auto" w:fill="FFF2E5"/>
            <w:tcMar>
              <w:top w:w="120" w:type="dxa"/>
              <w:bottom w:w="120" w:type="dxa"/>
              <w:left w:w="160" w:type="dxa"/>
              <w:right w:w="120" w:type="dxa"/>
            </w:tcMar>
          </w:tcPr>
          <w:p>
            <w:pPr>
              <w:spacing w:after="40"/>
            </w:pPr>
            <w:r>
              <w:rPr>
                <w:rFonts w:ascii="Tahoma" w:hAnsi="Tahoma" w:cs="Tahoma"/>
                <w:sz w:val="19"/>
                <w:szCs w:val="19"/>
                <w:b/>
                <w:color w:val="C55A11"/>
              </w:rPr>
              <w:t xml:space="preserve">Precaución con los topes MAX_CHARS_*</w:t>
            </w:r>
          </w:p>
          <w:p>
            <w:pPr>
              <w:spacing w:after="0"/>
            </w:pPr>
            <w:r>
              <w:rPr>
                <w:rFonts w:ascii="Tahoma" w:hAnsi="Tahoma" w:cs="Tahoma"/>
                <w:sz w:val="18"/>
                <w:szCs w:val="18"/>
              </w:rPr>
              <w:t xml:space="preserve">Estas variables truncan por caracteres, es decir, cortan el FINAL del documento. En un contrato eso elimina las cláusulas de garantías y liquidación, que son imprescindibles. Para reducir tokens use el recorte del capítulo 9, que descarta por relevancia y no por posición.</w:t>
            </w:r>
          </w:p>
        </w:tc>
      </w:tr>
    </w:tbl>
    <w:p>
      <w:pPr>
        <w:spacing w:before="0" w:after="100" w:line="264" w:lineRule="auto"/>
      </w:pPr>
    </w:p>
    <w:p>
      <w:pPr>
        <w:pStyle w:val="Titulo2"/>
      </w:pPr>
      <w:r>
        <w:rPr>
          <w:rFonts w:ascii="Tahoma" w:hAnsi="Tahoma" w:cs="Tahoma"/>
          <w:sz w:val="26"/>
          <w:szCs w:val="26"/>
          <w:b/>
          <w:color w:val="2E5C9A"/>
        </w:rPr>
        <w:t xml:space="preserve">6.4 Claves de los proveedores de IA</w:t>
      </w:r>
    </w:p>
    <w:p>
      <w:pPr>
        <w:spacing w:before="0" w:after="120" w:line="264" w:lineRule="auto"/>
      </w:pPr>
      <w:r>
        <w:rPr>
          <w:rFonts w:ascii="Tahoma" w:hAnsi="Tahoma" w:cs="Tahoma"/>
          <w:sz w:val="20"/>
          <w:szCs w:val="20"/>
        </w:rPr>
        <w:t xml:space="preserve">Las API keys NO se guardan en el archivo .env. Se almacenan cifradas en la tabla api_keys de MySQL y se administran desde el panel de APIs. La aplicación las lee en cada uso, de modo que un cambio surte efecto sin reiniciar. Si la base de datos no responde, se usa como respaldo la variable de entorno del mismo nombre.</w:t>
      </w:r>
    </w:p>
    <w:p>
      <w:r>
        <w:br w:type="page"/>
      </w:r>
    </w:p>
    <w:p>
      <w:pPr>
        <w:pStyle w:val="Titulo1"/>
      </w:pPr>
      <w:r>
        <w:rPr>
          <w:rFonts w:ascii="Tahoma" w:hAnsi="Tahoma" w:cs="Tahoma"/>
          <w:sz w:val="32"/>
          <w:szCs w:val="32"/>
          <w:b/>
          <w:color w:val="1F3864"/>
        </w:rPr>
        <w:t xml:space="preserve">7. Base de datos</w:t>
      </w:r>
    </w:p>
    <w:p>
      <w:pPr>
        <w:spacing w:before="0" w:after="120" w:line="264" w:lineRule="auto"/>
      </w:pPr>
      <w:r>
        <w:rPr>
          <w:rFonts w:ascii="Tahoma" w:hAnsi="Tahoma" w:cs="Tahoma"/>
          <w:sz w:val="20"/>
          <w:szCs w:val="20"/>
        </w:rPr>
        <w:t xml:space="preserve">El motor comparte la base de datos colvacontratos con la aplicación ColvaContratos (67 tablas en total). Cinco de ellas pertenecen al agente:</w:t>
      </w:r>
    </w:p>
    <w:tbl>
      <w:tblPr>
        <w:tblW w:w="8838"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Pr>
      <w:tblGrid>
        <w:gridCol w:w="2500"/>
        <w:gridCol w:w="6338"/>
      </w:tblGrid>
      <w:tr>
        <w:trPr>
          <w:tblHeader/>
        </w:trPr>
        <w:tc>
          <w:tcPr>
            <w:tcW w:w="25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Tabla</w:t>
            </w:r>
          </w:p>
        </w:tc>
        <w:tc>
          <w:tcPr>
            <w:tcW w:w="6338"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Contenido</w:t>
            </w:r>
          </w:p>
        </w:tc>
      </w:tr>
      <w:tr>
        <w:tc>
          <w:tcPr>
            <w:tcW w:w="2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documentos</w:t>
            </w:r>
          </w:p>
        </w:tc>
        <w:tc>
          <w:tcPr>
            <w:tcW w:w="63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Histórico de análisis: modelo usado, nombres de archivo, número de contrato, contratista, NIT, tipo, valores, dictamen, JSON de datos cifrado y ruta o contenido de los archivos originales.</w:t>
            </w:r>
          </w:p>
        </w:tc>
      </w:tr>
      <w:tr>
        <w:tc>
          <w:tcPr>
            <w:tcW w:w="2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manual_contratacion</w:t>
            </w:r>
          </w:p>
        </w:tc>
        <w:tc>
          <w:tcPr>
            <w:tcW w:w="63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Versiones del Manual de Contratación: texto completo y parámetros extraídos. Solo una versión está activa.</w:t>
            </w:r>
          </w:p>
        </w:tc>
      </w:tr>
      <w:tr>
        <w:tc>
          <w:tcPr>
            <w:tcW w:w="2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api_keys</w:t>
            </w:r>
          </w:p>
        </w:tc>
        <w:tc>
          <w:tcPr>
            <w:tcW w:w="63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Claves de los proveedores de IA, cifradas con Fernet.</w:t>
            </w:r>
          </w:p>
        </w:tc>
      </w:tr>
      <w:tr>
        <w:tc>
          <w:tcPr>
            <w:tcW w:w="2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proveedores_ia</w:t>
            </w:r>
          </w:p>
        </w:tc>
        <w:tc>
          <w:tcPr>
            <w:tcW w:w="63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Proveedores dados de alta: clave, tipo de SDK, URL base y nombre de la variable de su API key.</w:t>
            </w:r>
          </w:p>
        </w:tc>
      </w:tr>
      <w:tr>
        <w:tc>
          <w:tcPr>
            <w:tcW w:w="2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motores_ia</w:t>
            </w:r>
          </w:p>
        </w:tc>
        <w:tc>
          <w:tcPr>
            <w:tcW w:w="63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Motores seleccionables: identificador del modelo, proveedor, tope de tokens de salida y estado.</w:t>
            </w:r>
          </w:p>
        </w:tc>
      </w:tr>
    </w:tbl>
    <w:p>
      <w:pPr>
        <w:spacing w:before="0" w:after="80" w:line="264" w:lineRule="auto"/>
      </w:pPr>
    </w:p>
    <w:p>
      <w:pPr>
        <w:pStyle w:val="Titulo2"/>
      </w:pPr>
      <w:r>
        <w:rPr>
          <w:rFonts w:ascii="Tahoma" w:hAnsi="Tahoma" w:cs="Tahoma"/>
          <w:sz w:val="26"/>
          <w:szCs w:val="26"/>
          <w:b/>
          <w:color w:val="2E5C9A"/>
        </w:rPr>
        <w:t xml:space="preserve">7.1 Estructura de la tabla documentos</w:t>
      </w:r>
    </w:p>
    <w:tbl>
      <w:tblPr>
        <w:tblW w:w="8838" w:type="dxa"/>
        <w:tblBorders>
          <w:left w:val="single" w:sz="18" w:space="0" w:color="2E5C9A"/>
          <w:top w:val="single" w:sz="2" w:space="0" w:color="BFBFBF"/>
          <w:bottom w:val="single" w:sz="2" w:space="0" w:color="BFBFBF"/>
          <w:right w:val="single" w:sz="2" w:space="0" w:color="BFBFBF"/>
        </w:tblBorders>
        <w:tblLayout w:type="fixed"/>
      </w:tblPr>
      <w:tblGrid>
        <w:gridCol w:w="8838"/>
      </w:tblGrid>
      <w:tr>
        <w:tc>
          <w:tcPr>
            <w:tcW w:w="8838" w:type="dxa"/>
            <w:shd w:val="clear" w:color="auto" w:fill="F2F2F2"/>
            <w:tcMar>
              <w:top w:w="100" w:type="dxa"/>
              <w:bottom w:w="100" w:type="dxa"/>
              <w:left w:w="140" w:type="dxa"/>
              <w:right w:w="100" w:type="dxa"/>
            </w:tcMar>
          </w:tcPr>
          <w:p>
            <w:pPr>
              <w:spacing w:before="0" w:after="0" w:line="240" w:lineRule="auto"/>
            </w:pPr>
            <w:r>
              <w:rPr>
                <w:rFonts w:ascii="Consolas" w:hAnsi="Consolas" w:cs="Consolas"/>
                <w:sz w:val="17"/>
                <w:szCs w:val="17"/>
              </w:rPr>
              <w:t xml:space="preserve">id, fecha, modelo, archivo_contrato, archivo_poliza, num_polizas,</w:t>
            </w:r>
          </w:p>
          <w:p>
            <w:pPr>
              <w:spacing w:before="0" w:after="0" w:line="240" w:lineRule="auto"/>
            </w:pPr>
            <w:r>
              <w:rPr>
                <w:rFonts w:ascii="Consolas" w:hAnsi="Consolas" w:cs="Consolas"/>
                <w:sz w:val="17"/>
                <w:szCs w:val="17"/>
              </w:rPr>
              <w:t xml:space="preserve">num_contrato, contratista, nit_contratista, tipo_contrato,</w:t>
            </w:r>
          </w:p>
          <w:p>
            <w:pPr>
              <w:spacing w:before="0" w:after="0" w:line="240" w:lineRule="auto"/>
            </w:pPr>
            <w:r>
              <w:rPr>
                <w:rFonts w:ascii="Consolas" w:hAnsi="Consolas" w:cs="Consolas"/>
                <w:sz w:val="17"/>
                <w:szCs w:val="17"/>
              </w:rPr>
              <w:t xml:space="preserve">valor_sin_iva, valor_total, resultado, datos_json,</w:t>
            </w:r>
          </w:p>
          <w:p>
            <w:pPr>
              <w:spacing w:before="0" w:after="0" w:line="240" w:lineRule="auto"/>
            </w:pPr>
            <w:r>
              <w:rPr>
                <w:rFonts w:ascii="Consolas" w:hAnsi="Consolas" w:cs="Consolas"/>
                <w:sz w:val="17"/>
                <w:szCs w:val="17"/>
              </w:rPr>
              <w:t xml:space="preserve">contenido_contrato, contenido_poliza,</w:t>
            </w:r>
          </w:p>
          <w:p>
            <w:pPr>
              <w:spacing w:before="0" w:after="0" w:line="240" w:lineRule="auto"/>
            </w:pPr>
            <w:r>
              <w:rPr>
                <w:rFonts w:ascii="Consolas" w:hAnsi="Consolas" w:cs="Consolas"/>
                <w:sz w:val="17"/>
                <w:szCs w:val="17"/>
              </w:rPr>
              <w:t xml:space="preserve">storage_path_contrato, storage_path_poliza</w:t>
            </w:r>
          </w:p>
        </w:tc>
      </w:tr>
    </w:tbl>
    <w:p>
      <w:pPr>
        <w:spacing w:before="0" w:after="100" w:line="264" w:lineRule="auto"/>
      </w:pPr>
    </w:p>
    <w:p>
      <w:pPr>
        <w:spacing w:before="0" w:after="120" w:line="264" w:lineRule="auto"/>
      </w:pPr>
      <w:r>
        <w:rPr>
          <w:rFonts w:ascii="Tahoma" w:hAnsi="Tahoma" w:cs="Tahoma"/>
          <w:sz w:val="20"/>
          <w:szCs w:val="20"/>
        </w:rPr>
        <w:t xml:space="preserve">Los campos datos_json, contenido_contrato y contenido_poliza se guardan cifrados. Cuando DOCUMENT_STORAGE_ROOT está configurado, los archivos van al disco y en la base solo queda la ruta relativa.</w:t>
      </w:r>
    </w:p>
    <w:p>
      <w:r>
        <w:br w:type="page"/>
      </w:r>
    </w:p>
    <w:p>
      <w:pPr>
        <w:pStyle w:val="Titulo1"/>
      </w:pPr>
      <w:r>
        <w:rPr>
          <w:rFonts w:ascii="Tahoma" w:hAnsi="Tahoma" w:cs="Tahoma"/>
          <w:sz w:val="32"/>
          <w:szCs w:val="32"/>
          <w:b/>
          <w:color w:val="1F3864"/>
        </w:rPr>
        <w:t xml:space="preserve">8. Motores de Inteligencia Artificial</w:t>
      </w:r>
    </w:p>
    <w:p>
      <w:pPr>
        <w:pStyle w:val="Titulo2"/>
      </w:pPr>
      <w:r>
        <w:rPr>
          <w:rFonts w:ascii="Tahoma" w:hAnsi="Tahoma" w:cs="Tahoma"/>
          <w:sz w:val="26"/>
          <w:szCs w:val="26"/>
          <w:b/>
          <w:color w:val="2E5C9A"/>
        </w:rPr>
        <w:t xml:space="preserve">8.1 Arquitectura de proveedores</w:t>
      </w:r>
    </w:p>
    <w:p>
      <w:pPr>
        <w:spacing w:before="0" w:after="120" w:line="264" w:lineRule="auto"/>
      </w:pPr>
      <w:r>
        <w:rPr>
          <w:rFonts w:ascii="Tahoma" w:hAnsi="Tahoma" w:cs="Tahoma"/>
          <w:sz w:val="20"/>
          <w:szCs w:val="20"/>
        </w:rPr>
        <w:t xml:space="preserve">El sistema no está atado a un proveedor. Existen dos tipos de integración:</w:t>
      </w:r>
    </w:p>
    <w:p>
      <w:pPr>
        <w:numPr>
          <w:ilvl w:val="0"/>
          <w:numId w:val="1"/>
        </w:numPr>
        <w:spacing w:after="60" w:line="264" w:lineRule="auto"/>
      </w:pPr>
      <w:r>
        <w:rPr>
          <w:rFonts w:ascii="Tahoma" w:hAnsi="Tahoma" w:cs="Tahoma"/>
          <w:sz w:val="20"/>
          <w:szCs w:val="20"/>
        </w:rPr>
        <w:t xml:space="preserve">gemini — utiliza el SDK propio de Google (google-genai).</w:t>
      </w:r>
    </w:p>
    <w:p>
      <w:pPr>
        <w:numPr>
          <w:ilvl w:val="0"/>
          <w:numId w:val="1"/>
        </w:numPr>
        <w:spacing w:after="60" w:line="264" w:lineRule="auto"/>
      </w:pPr>
      <w:r>
        <w:rPr>
          <w:rFonts w:ascii="Tahoma" w:hAnsi="Tahoma" w:cs="Tahoma"/>
          <w:sz w:val="20"/>
          <w:szCs w:val="20"/>
        </w:rPr>
        <w:t xml:space="preserve">openai_compatible — utiliza el SDK de OpenAI contra cualquier endpoint que respete su API: OpenAI, NVIDIA NIM, Groq, OpenRouter, Mistral y otros.</w:t>
      </w:r>
    </w:p>
    <w:p>
      <w:pPr>
        <w:spacing w:before="0" w:after="120" w:line="264" w:lineRule="auto"/>
      </w:pPr>
      <w:r>
        <w:rPr>
          <w:rFonts w:ascii="Tahoma" w:hAnsi="Tahoma" w:cs="Tahoma"/>
          <w:sz w:val="20"/>
          <w:szCs w:val="20"/>
        </w:rPr>
        <w:t xml:space="preserve">Añadir un proveedor nuevo no requiere tocar código: basta darlo de alta indicando su URL base y el nombre de su API key.</w:t>
      </w:r>
    </w:p>
    <w:p>
      <w:pPr>
        <w:pStyle w:val="Titulo2"/>
      </w:pPr>
      <w:r>
        <w:rPr>
          <w:rFonts w:ascii="Tahoma" w:hAnsi="Tahoma" w:cs="Tahoma"/>
          <w:sz w:val="26"/>
          <w:szCs w:val="26"/>
          <w:b/>
          <w:color w:val="2E5C9A"/>
        </w:rPr>
        <w:t xml:space="preserve">8.2 Proveedores configurados</w:t>
      </w:r>
    </w:p>
    <w:tbl>
      <w:tblPr>
        <w:tblW w:w="8838"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Pr>
      <w:tblGrid>
        <w:gridCol w:w="1300"/>
        <w:gridCol w:w="1900"/>
        <w:gridCol w:w="2200"/>
        <w:gridCol w:w="3438"/>
      </w:tblGrid>
      <w:tr>
        <w:trPr>
          <w:tblHeader/>
        </w:trPr>
        <w:tc>
          <w:tcPr>
            <w:tcW w:w="13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Clave</w:t>
            </w:r>
          </w:p>
        </w:tc>
        <w:tc>
          <w:tcPr>
            <w:tcW w:w="19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Etiqueta</w:t>
            </w:r>
          </w:p>
        </w:tc>
        <w:tc>
          <w:tcPr>
            <w:tcW w:w="22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Tipo</w:t>
            </w:r>
          </w:p>
        </w:tc>
        <w:tc>
          <w:tcPr>
            <w:tcW w:w="3438"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URL base</w:t>
            </w:r>
          </w:p>
        </w:tc>
      </w:tr>
      <w:tr>
        <w:tc>
          <w:tcPr>
            <w:tcW w:w="13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gemini</w:t>
            </w:r>
          </w:p>
        </w:tc>
        <w:tc>
          <w:tcPr>
            <w:tcW w:w="19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Google Gemini</w:t>
            </w:r>
          </w:p>
        </w:tc>
        <w:tc>
          <w:tcPr>
            <w:tcW w:w="2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gemini</w:t>
            </w:r>
          </w:p>
        </w:tc>
        <w:tc>
          <w:tcPr>
            <w:tcW w:w="34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SDK nativo</w:t>
            </w:r>
          </w:p>
        </w:tc>
      </w:tr>
      <w:tr>
        <w:tc>
          <w:tcPr>
            <w:tcW w:w="13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openai</w:t>
            </w:r>
          </w:p>
        </w:tc>
        <w:tc>
          <w:tcPr>
            <w:tcW w:w="19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OpenAI</w:t>
            </w:r>
          </w:p>
        </w:tc>
        <w:tc>
          <w:tcPr>
            <w:tcW w:w="2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openai_compatible</w:t>
            </w:r>
          </w:p>
        </w:tc>
        <w:tc>
          <w:tcPr>
            <w:tcW w:w="34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SDK nativo</w:t>
            </w:r>
          </w:p>
        </w:tc>
      </w:tr>
      <w:tr>
        <w:tc>
          <w:tcPr>
            <w:tcW w:w="13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nvidia</w:t>
            </w:r>
          </w:p>
        </w:tc>
        <w:tc>
          <w:tcPr>
            <w:tcW w:w="19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NVIDIA NIM</w:t>
            </w:r>
          </w:p>
        </w:tc>
        <w:tc>
          <w:tcPr>
            <w:tcW w:w="2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openai_compatible</w:t>
            </w:r>
          </w:p>
        </w:tc>
        <w:tc>
          <w:tcPr>
            <w:tcW w:w="34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https://integrate.api.nvidia.com/v1</w:t>
            </w:r>
          </w:p>
        </w:tc>
      </w:tr>
      <w:tr>
        <w:tc>
          <w:tcPr>
            <w:tcW w:w="13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groq</w:t>
            </w:r>
          </w:p>
        </w:tc>
        <w:tc>
          <w:tcPr>
            <w:tcW w:w="19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Groq</w:t>
            </w:r>
          </w:p>
        </w:tc>
        <w:tc>
          <w:tcPr>
            <w:tcW w:w="2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openai_compatible</w:t>
            </w:r>
          </w:p>
        </w:tc>
        <w:tc>
          <w:tcPr>
            <w:tcW w:w="34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https://api.groq.com/openai/v1</w:t>
            </w:r>
          </w:p>
        </w:tc>
      </w:tr>
      <w:tr>
        <w:tc>
          <w:tcPr>
            <w:tcW w:w="13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kimi</w:t>
            </w:r>
          </w:p>
        </w:tc>
        <w:tc>
          <w:tcPr>
            <w:tcW w:w="19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kimi</w:t>
            </w:r>
          </w:p>
        </w:tc>
        <w:tc>
          <w:tcPr>
            <w:tcW w:w="2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openai_compatible</w:t>
            </w:r>
          </w:p>
        </w:tc>
        <w:tc>
          <w:tcPr>
            <w:tcW w:w="34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https://openrouter.ai/api/v1</w:t>
            </w:r>
          </w:p>
        </w:tc>
      </w:tr>
    </w:tbl>
    <w:p>
      <w:pPr>
        <w:spacing w:before="0" w:after="80" w:line="264" w:lineRule="auto"/>
      </w:pPr>
    </w:p>
    <w:p>
      <w:pPr>
        <w:pStyle w:val="Titulo2"/>
      </w:pPr>
      <w:r>
        <w:rPr>
          <w:rFonts w:ascii="Tahoma" w:hAnsi="Tahoma" w:cs="Tahoma"/>
          <w:sz w:val="26"/>
          <w:szCs w:val="26"/>
          <w:b/>
          <w:color w:val="2E5C9A"/>
        </w:rPr>
        <w:t xml:space="preserve">8.3 Motores configurados</w:t>
      </w:r>
    </w:p>
    <w:tbl>
      <w:tblPr>
        <w:tblW w:w="8838"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Pr>
      <w:tblGrid>
        <w:gridCol w:w="1500"/>
        <w:gridCol w:w="3400"/>
        <w:gridCol w:w="1500"/>
        <w:gridCol w:w="2438"/>
      </w:tblGrid>
      <w:tr>
        <w:trPr>
          <w:tblHeader/>
        </w:trPr>
        <w:tc>
          <w:tcPr>
            <w:tcW w:w="15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Motor</w:t>
            </w:r>
          </w:p>
        </w:tc>
        <w:tc>
          <w:tcPr>
            <w:tcW w:w="34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Identificador del modelo</w:t>
            </w:r>
          </w:p>
        </w:tc>
        <w:tc>
          <w:tcPr>
            <w:tcW w:w="15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Máx. tokens</w:t>
            </w:r>
          </w:p>
        </w:tc>
        <w:tc>
          <w:tcPr>
            <w:tcW w:w="2438"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Proveedor</w:t>
            </w:r>
          </w:p>
        </w:tc>
      </w:tr>
      <w:tr>
        <w:tc>
          <w:tcPr>
            <w:tcW w:w="1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gemini</w:t>
            </w:r>
          </w:p>
        </w:tc>
        <w:tc>
          <w:tcPr>
            <w:tcW w:w="34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gemma-4-31b-it</w:t>
            </w:r>
          </w:p>
        </w:tc>
        <w:tc>
          <w:tcPr>
            <w:tcW w:w="1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8192</w:t>
            </w:r>
          </w:p>
        </w:tc>
        <w:tc>
          <w:tcPr>
            <w:tcW w:w="24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gemini</w:t>
            </w:r>
          </w:p>
        </w:tc>
      </w:tr>
      <w:tr>
        <w:tc>
          <w:tcPr>
            <w:tcW w:w="1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openai</w:t>
            </w:r>
          </w:p>
        </w:tc>
        <w:tc>
          <w:tcPr>
            <w:tcW w:w="34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gpt-5.5</w:t>
            </w:r>
          </w:p>
        </w:tc>
        <w:tc>
          <w:tcPr>
            <w:tcW w:w="1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4096</w:t>
            </w:r>
          </w:p>
        </w:tc>
        <w:tc>
          <w:tcPr>
            <w:tcW w:w="24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openai</w:t>
            </w:r>
          </w:p>
        </w:tc>
      </w:tr>
      <w:tr>
        <w:tc>
          <w:tcPr>
            <w:tcW w:w="1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deepseek</w:t>
            </w:r>
          </w:p>
        </w:tc>
        <w:tc>
          <w:tcPr>
            <w:tcW w:w="34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deepseek-ai/deepseek-v4-pro</w:t>
            </w:r>
          </w:p>
        </w:tc>
        <w:tc>
          <w:tcPr>
            <w:tcW w:w="1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4096</w:t>
            </w:r>
          </w:p>
        </w:tc>
        <w:tc>
          <w:tcPr>
            <w:tcW w:w="24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nvidia</w:t>
            </w:r>
          </w:p>
        </w:tc>
      </w:tr>
      <w:tr>
        <w:tc>
          <w:tcPr>
            <w:tcW w:w="1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qwen</w:t>
            </w:r>
          </w:p>
        </w:tc>
        <w:tc>
          <w:tcPr>
            <w:tcW w:w="34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qwen/qwen3.7-flash</w:t>
            </w:r>
          </w:p>
        </w:tc>
        <w:tc>
          <w:tcPr>
            <w:tcW w:w="1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4096</w:t>
            </w:r>
          </w:p>
        </w:tc>
        <w:tc>
          <w:tcPr>
            <w:tcW w:w="24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kimi</w:t>
            </w:r>
          </w:p>
        </w:tc>
      </w:tr>
      <w:tr>
        <w:tc>
          <w:tcPr>
            <w:tcW w:w="1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kimi</w:t>
            </w:r>
          </w:p>
        </w:tc>
        <w:tc>
          <w:tcPr>
            <w:tcW w:w="34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moonshotai/kimi-k3</w:t>
            </w:r>
          </w:p>
        </w:tc>
        <w:tc>
          <w:tcPr>
            <w:tcW w:w="1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4096</w:t>
            </w:r>
          </w:p>
        </w:tc>
        <w:tc>
          <w:tcPr>
            <w:tcW w:w="24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kimi</w:t>
            </w:r>
          </w:p>
        </w:tc>
      </w:tr>
    </w:tbl>
    <w:p>
      <w:pPr>
        <w:spacing w:before="0" w:after="80" w:line="264" w:lineRule="auto"/>
      </w:pPr>
    </w:p>
    <w:tbl>
      <w:tblPr>
        <w:tblW w:w="8838" w:type="dxa"/>
        <w:tblBorders>
          <w:left w:val="single" w:sz="24" w:space="0" w:color="C55A11"/>
        </w:tblBorders>
        <w:tblLayout w:type="fixed"/>
      </w:tblPr>
      <w:tblGrid>
        <w:gridCol w:w="8838"/>
      </w:tblGrid>
      <w:tr>
        <w:tc>
          <w:tcPr>
            <w:tcW w:w="8838" w:type="dxa"/>
            <w:shd w:val="clear" w:color="auto" w:fill="FFF2E5"/>
            <w:tcMar>
              <w:top w:w="120" w:type="dxa"/>
              <w:bottom w:w="120" w:type="dxa"/>
              <w:left w:w="160" w:type="dxa"/>
              <w:right w:w="120" w:type="dxa"/>
            </w:tcMar>
          </w:tcPr>
          <w:p>
            <w:pPr>
              <w:spacing w:after="40"/>
            </w:pPr>
            <w:r>
              <w:rPr>
                <w:rFonts w:ascii="Tahoma" w:hAnsi="Tahoma" w:cs="Tahoma"/>
                <w:sz w:val="19"/>
                <w:szCs w:val="19"/>
                <w:b/>
                <w:color w:val="C55A11"/>
              </w:rPr>
              <w:t xml:space="preserve">Ajuste recomendado del tope de salida</w:t>
            </w:r>
          </w:p>
          <w:p>
            <w:pPr>
              <w:spacing w:after="0"/>
            </w:pPr>
            <w:r>
              <w:rPr>
                <w:rFonts w:ascii="Tahoma" w:hAnsi="Tahoma" w:cs="Tahoma"/>
                <w:sz w:val="18"/>
                <w:szCs w:val="18"/>
              </w:rPr>
              <w:t xml:space="preserve">El JSON que devuelve el modelo ocupa unos 415 tokens medidos sobre análisis reales. Los motores están configurados con 4096, casi diez veces más. Algunos proveedores — OpenRouter entre ellos — reservan el crédito por adelantado según ese tope y rechazan la petición con error 402 aunque el saldo bastaría para la respuesta real. Bajar el tope a 1500 mantiene margen amplio y evita ese rechazo.</w:t>
            </w:r>
          </w:p>
        </w:tc>
      </w:tr>
    </w:tbl>
    <w:p>
      <w:pPr>
        <w:spacing w:before="0" w:after="100" w:line="264" w:lineRule="auto"/>
      </w:pPr>
    </w:p>
    <w:p>
      <w:pPr>
        <w:pStyle w:val="Titulo2"/>
      </w:pPr>
      <w:r>
        <w:rPr>
          <w:rFonts w:ascii="Tahoma" w:hAnsi="Tahoma" w:cs="Tahoma"/>
          <w:sz w:val="26"/>
          <w:szCs w:val="26"/>
          <w:b/>
          <w:color w:val="2E5C9A"/>
        </w:rPr>
        <w:t xml:space="preserve">8.4 Límites de los proveedores</w:t>
      </w:r>
    </w:p>
    <w:tbl>
      <w:tblPr>
        <w:tblW w:w="8838"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Pr>
      <w:tblGrid>
        <w:gridCol w:w="2000"/>
        <w:gridCol w:w="1800"/>
        <w:gridCol w:w="5038"/>
      </w:tblGrid>
      <w:tr>
        <w:trPr>
          <w:tblHeader/>
        </w:trPr>
        <w:tc>
          <w:tcPr>
            <w:tcW w:w="20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Proveedor</w:t>
            </w:r>
          </w:p>
        </w:tc>
        <w:tc>
          <w:tcPr>
            <w:tcW w:w="18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Código</w:t>
            </w:r>
          </w:p>
        </w:tc>
        <w:tc>
          <w:tcPr>
            <w:tcW w:w="5038"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Causa y solución</w:t>
            </w:r>
          </w:p>
        </w:tc>
      </w:tr>
      <w:tr>
        <w:tc>
          <w:tcPr>
            <w:tcW w:w="2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Google Gemini</w:t>
            </w:r>
          </w:p>
        </w:tc>
        <w:tc>
          <w:tcPr>
            <w:tcW w:w="18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429</w:t>
            </w:r>
          </w:p>
        </w:tc>
        <w:tc>
          <w:tcPr>
            <w:tcW w:w="50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Tier gratuito: 16.000 tokens de entrada por minuto y modelo. Esperar, cambiar de motor o activar facturación.</w:t>
            </w:r>
          </w:p>
        </w:tc>
      </w:tr>
      <w:tr>
        <w:tc>
          <w:tcPr>
            <w:tcW w:w="2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OpenRouter</w:t>
            </w:r>
          </w:p>
        </w:tc>
        <w:tc>
          <w:tcPr>
            <w:tcW w:w="18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402</w:t>
            </w:r>
          </w:p>
        </w:tc>
        <w:tc>
          <w:tcPr>
            <w:tcW w:w="50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Saldo insuficiente. Reserva por adelantado según max_tokens. Recargar crédito o bajar el tope de salida.</w:t>
            </w:r>
          </w:p>
        </w:tc>
      </w:tr>
      <w:tr>
        <w:tc>
          <w:tcPr>
            <w:tcW w:w="2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Cualquiera</w:t>
            </w:r>
          </w:p>
        </w:tc>
        <w:tc>
          <w:tcPr>
            <w:tcW w:w="18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504</w:t>
            </w:r>
          </w:p>
        </w:tc>
        <w:tc>
          <w:tcPr>
            <w:tcW w:w="50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El modelo tardó demasiado. Frecuente con modelos de razonamiento.</w:t>
            </w:r>
          </w:p>
        </w:tc>
      </w:tr>
      <w:tr>
        <w:tc>
          <w:tcPr>
            <w:tcW w:w="2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Cualquiera</w:t>
            </w:r>
          </w:p>
        </w:tc>
        <w:tc>
          <w:tcPr>
            <w:tcW w:w="18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502</w:t>
            </w:r>
          </w:p>
        </w:tc>
        <w:tc>
          <w:tcPr>
            <w:tcW w:w="50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No se pudo contactar al proveedor. Revisar conexión y URL base.</w:t>
            </w:r>
          </w:p>
        </w:tc>
      </w:tr>
    </w:tbl>
    <w:p>
      <w:pPr>
        <w:spacing w:before="0" w:after="80" w:line="264" w:lineRule="auto"/>
      </w:pPr>
    </w:p>
    <w:p>
      <w:r>
        <w:br w:type="page"/>
      </w:r>
    </w:p>
    <w:p>
      <w:pPr>
        <w:pStyle w:val="Titulo1"/>
      </w:pPr>
      <w:r>
        <w:rPr>
          <w:rFonts w:ascii="Tahoma" w:hAnsi="Tahoma" w:cs="Tahoma"/>
          <w:sz w:val="32"/>
          <w:szCs w:val="32"/>
          <w:b/>
          <w:color w:val="1F3864"/>
        </w:rPr>
        <w:t xml:space="preserve">9. Optimización de tokens</w:t>
      </w:r>
    </w:p>
    <w:p>
      <w:pPr>
        <w:pStyle w:val="Titulo2"/>
      </w:pPr>
      <w:r>
        <w:rPr>
          <w:rFonts w:ascii="Tahoma" w:hAnsi="Tahoma" w:cs="Tahoma"/>
          <w:sz w:val="26"/>
          <w:szCs w:val="26"/>
          <w:b/>
          <w:color w:val="2E5C9A"/>
        </w:rPr>
        <w:t xml:space="preserve">9.1 Problema</w:t>
      </w:r>
    </w:p>
    <w:p>
      <w:pPr>
        <w:spacing w:before="0" w:after="120" w:line="264" w:lineRule="auto"/>
      </w:pPr>
      <w:r>
        <w:rPr>
          <w:rFonts w:ascii="Tahoma" w:hAnsi="Tahoma" w:cs="Tahoma"/>
          <w:sz w:val="20"/>
          <w:szCs w:val="20"/>
        </w:rPr>
        <w:t xml:space="preserve">Los contratos y las pólizas contienen mucho texto que no aporta ningún dato al JSON pero se paga igual: la misma cabecera repetida en todas las páginas, el clausulado general de la aseguradora y páginas de texto legal sin cifras. En un análisis real medido, ese material suponía el 41 % de todo lo enviado.</w:t>
      </w:r>
    </w:p>
    <w:p>
      <w:pPr>
        <w:pStyle w:val="Titulo2"/>
      </w:pPr>
      <w:r>
        <w:rPr>
          <w:rFonts w:ascii="Tahoma" w:hAnsi="Tahoma" w:cs="Tahoma"/>
          <w:sz w:val="26"/>
          <w:szCs w:val="26"/>
          <w:b/>
          <w:color w:val="2E5C9A"/>
        </w:rPr>
        <w:t xml:space="preserve">9.2 Técnicas aplicadas</w:t>
      </w:r>
    </w:p>
    <w:tbl>
      <w:tblPr>
        <w:tblW w:w="8838"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Pr>
      <w:tblGrid>
        <w:gridCol w:w="2500"/>
        <w:gridCol w:w="6338"/>
      </w:tblGrid>
      <w:tr>
        <w:trPr>
          <w:tblHeader/>
        </w:trPr>
        <w:tc>
          <w:tcPr>
            <w:tcW w:w="25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Técnica</w:t>
            </w:r>
          </w:p>
        </w:tc>
        <w:tc>
          <w:tcPr>
            <w:tcW w:w="6338"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Qué elimina</w:t>
            </w:r>
          </w:p>
        </w:tc>
      </w:tr>
      <w:tr>
        <w:tc>
          <w:tcPr>
            <w:tcW w:w="2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Cabeceras repetidas</w:t>
            </w:r>
          </w:p>
        </w:tc>
        <w:tc>
          <w:tcPr>
            <w:tcW w:w="63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Líneas presentes en más del 60 % de las páginas. Un contrato de 18 páginas repite su encabezado 18 veces.</w:t>
            </w:r>
          </w:p>
        </w:tc>
      </w:tr>
      <w:tr>
        <w:tc>
          <w:tcPr>
            <w:tcW w:w="2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Clausulado de póliza</w:t>
            </w:r>
          </w:p>
        </w:tc>
        <w:tc>
          <w:tcPr>
            <w:tcW w:w="63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Desde «CONDICIONES GENERALES» en adelante: articulado genérico idéntico en todas las pólizas de la aseguradora.</w:t>
            </w:r>
          </w:p>
        </w:tc>
      </w:tr>
      <w:tr>
        <w:tc>
          <w:tcPr>
            <w:tcW w:w="25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Páginas sin datos</w:t>
            </w:r>
          </w:p>
        </w:tc>
        <w:tc>
          <w:tcPr>
            <w:tcW w:w="63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Páginas sin cifras, sin cifras escritas en letras y sin ninguna cláusula clave.</w:t>
            </w:r>
          </w:p>
        </w:tc>
      </w:tr>
    </w:tbl>
    <w:p>
      <w:pPr>
        <w:spacing w:before="0" w:after="80" w:line="264" w:lineRule="auto"/>
      </w:pPr>
    </w:p>
    <w:p>
      <w:pPr>
        <w:pStyle w:val="Titulo2"/>
      </w:pPr>
      <w:r>
        <w:rPr>
          <w:rFonts w:ascii="Tahoma" w:hAnsi="Tahoma" w:cs="Tahoma"/>
          <w:sz w:val="26"/>
          <w:szCs w:val="26"/>
          <w:b/>
          <w:color w:val="2E5C9A"/>
        </w:rPr>
        <w:t xml:space="preserve">9.3 Salvaguardas</w:t>
      </w:r>
    </w:p>
    <w:p>
      <w:pPr>
        <w:numPr>
          <w:ilvl w:val="0"/>
          <w:numId w:val="1"/>
        </w:numPr>
        <w:spacing w:after="60" w:line="264" w:lineRule="auto"/>
      </w:pPr>
      <w:r>
        <w:rPr>
          <w:rFonts w:ascii="Tahoma" w:hAnsi="Tahoma" w:cs="Tahoma"/>
          <w:sz w:val="20"/>
          <w:szCs w:val="20"/>
        </w:rPr>
        <w:t xml:space="preserve">Toda línea que contenga un dato duro — monto, fecha, NIT, número de póliza o porcentaje — es intocable.</w:t>
      </w:r>
    </w:p>
    <w:p>
      <w:pPr>
        <w:numPr>
          <w:ilvl w:val="0"/>
          <w:numId w:val="1"/>
        </w:numPr>
        <w:spacing w:after="60" w:line="264" w:lineRule="auto"/>
      </w:pPr>
      <w:r>
        <w:rPr>
          <w:rFonts w:ascii="Tahoma" w:hAnsi="Tahoma" w:cs="Tahoma"/>
          <w:sz w:val="20"/>
          <w:szCs w:val="20"/>
        </w:rPr>
        <w:t xml:space="preserve">Se conservan las páginas con cifras escritas en letras: la fecha de terminación puede aparecer como «hasta el 30de junio de 2026», sin ningún patrón numérico detectable.</w:t>
      </w:r>
    </w:p>
    <w:p>
      <w:pPr>
        <w:numPr>
          <w:ilvl w:val="0"/>
          <w:numId w:val="1"/>
        </w:numPr>
        <w:spacing w:after="60" w:line="264" w:lineRule="auto"/>
      </w:pPr>
      <w:r>
        <w:rPr>
          <w:rFonts w:ascii="Tahoma" w:hAnsi="Tahoma" w:cs="Tahoma"/>
          <w:sz w:val="20"/>
          <w:szCs w:val="20"/>
        </w:rPr>
        <w:t xml:space="preserve">Si el recorte dejara fuera más del 90 % del documento, se descarta y se envía íntegro.</w:t>
      </w:r>
    </w:p>
    <w:p>
      <w:pPr>
        <w:numPr>
          <w:ilvl w:val="0"/>
          <w:numId w:val="1"/>
        </w:numPr>
        <w:spacing w:after="60" w:line="264" w:lineRule="auto"/>
      </w:pPr>
      <w:r>
        <w:rPr>
          <w:rFonts w:ascii="Tahoma" w:hAnsi="Tahoma" w:cs="Tahoma"/>
          <w:sz w:val="20"/>
          <w:szCs w:val="20"/>
        </w:rPr>
        <w:t xml:space="preserve">Si el recorte produce cualquier error, se registra en el log y se envía el texto íntegro.</w:t>
      </w:r>
    </w:p>
    <w:p>
      <w:pPr>
        <w:pStyle w:val="Titulo2"/>
      </w:pPr>
      <w:r>
        <w:rPr>
          <w:rFonts w:ascii="Tahoma" w:hAnsi="Tahoma" w:cs="Tahoma"/>
          <w:sz w:val="26"/>
          <w:szCs w:val="26"/>
          <w:b/>
          <w:color w:val="2E5C9A"/>
        </w:rPr>
        <w:t xml:space="preserve">9.4 Resultado medido</w:t>
      </w:r>
    </w:p>
    <w:tbl>
      <w:tblPr>
        <w:tblW w:w="8838"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Pr>
      <w:tblGrid>
        <w:gridCol w:w="3200"/>
        <w:gridCol w:w="1900"/>
        <w:gridCol w:w="1900"/>
        <w:gridCol w:w="1838"/>
      </w:tblGrid>
      <w:tr>
        <w:trPr>
          <w:tblHeader/>
        </w:trPr>
        <w:tc>
          <w:tcPr>
            <w:tcW w:w="32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Concepto</w:t>
            </w:r>
          </w:p>
        </w:tc>
        <w:tc>
          <w:tcPr>
            <w:tcW w:w="19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Sin recorte</w:t>
            </w:r>
          </w:p>
        </w:tc>
        <w:tc>
          <w:tcPr>
            <w:tcW w:w="19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Con recorte</w:t>
            </w:r>
          </w:p>
        </w:tc>
        <w:tc>
          <w:tcPr>
            <w:tcW w:w="1838"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Ahorro</w:t>
            </w:r>
          </w:p>
        </w:tc>
      </w:tr>
      <w:tr>
        <w:tc>
          <w:tcPr>
            <w:tcW w:w="3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Contrato (caracteres)</w:t>
            </w:r>
          </w:p>
        </w:tc>
        <w:tc>
          <w:tcPr>
            <w:tcW w:w="19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75.910</w:t>
            </w:r>
          </w:p>
        </w:tc>
        <w:tc>
          <w:tcPr>
            <w:tcW w:w="19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55.948</w:t>
            </w:r>
          </w:p>
        </w:tc>
        <w:tc>
          <w:tcPr>
            <w:tcW w:w="18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26 %</w:t>
            </w:r>
          </w:p>
        </w:tc>
      </w:tr>
      <w:tr>
        <w:tc>
          <w:tcPr>
            <w:tcW w:w="3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Pólizas, 5 archivos (caracteres)</w:t>
            </w:r>
          </w:p>
        </w:tc>
        <w:tc>
          <w:tcPr>
            <w:tcW w:w="19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39.119</w:t>
            </w:r>
          </w:p>
        </w:tc>
        <w:tc>
          <w:tcPr>
            <w:tcW w:w="19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11.991</w:t>
            </w:r>
          </w:p>
        </w:tc>
        <w:tc>
          <w:tcPr>
            <w:tcW w:w="18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69 %</w:t>
            </w:r>
          </w:p>
        </w:tc>
      </w:tr>
      <w:tr>
        <w:tc>
          <w:tcPr>
            <w:tcW w:w="3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Tokens de entrada</w:t>
            </w:r>
          </w:p>
        </w:tc>
        <w:tc>
          <w:tcPr>
            <w:tcW w:w="19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31.946</w:t>
            </w:r>
          </w:p>
        </w:tc>
        <w:tc>
          <w:tcPr>
            <w:tcW w:w="19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18.866</w:t>
            </w:r>
          </w:p>
        </w:tc>
        <w:tc>
          <w:tcPr>
            <w:tcW w:w="18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41 %</w:t>
            </w:r>
          </w:p>
        </w:tc>
      </w:tr>
    </w:tbl>
    <w:p>
      <w:pPr>
        <w:spacing w:before="0" w:after="80" w:line="264" w:lineRule="auto"/>
      </w:pPr>
    </w:p>
    <w:p>
      <w:pPr>
        <w:spacing w:before="0" w:after="120" w:line="264" w:lineRule="auto"/>
      </w:pPr>
      <w:r>
        <w:rPr>
          <w:rFonts w:ascii="Tahoma" w:hAnsi="Tahoma" w:cs="Tahoma"/>
          <w:sz w:val="20"/>
          <w:szCs w:val="20"/>
        </w:rPr>
        <w:t xml:space="preserve">Medición realizada sobre el análisis del contrato SGC-005-2026 con cinco pólizas, verificando que ningún monto, fecha, NIT, número de póliza ni porcentaje del documento original desaparece tras el recorte.</w:t>
      </w:r>
    </w:p>
    <w:p>
      <w:pPr>
        <w:pStyle w:val="Titulo2"/>
      </w:pPr>
      <w:r>
        <w:rPr>
          <w:rFonts w:ascii="Tahoma" w:hAnsi="Tahoma" w:cs="Tahoma"/>
          <w:sz w:val="26"/>
          <w:szCs w:val="26"/>
          <w:b/>
          <w:color w:val="2E5C9A"/>
        </w:rPr>
        <w:t xml:space="preserve">9.5 Verificación</w:t>
      </w:r>
    </w:p>
    <w:p>
      <w:pPr>
        <w:spacing w:before="0" w:after="120" w:line="264" w:lineRule="auto"/>
      </w:pPr>
      <w:r>
        <w:rPr>
          <w:rFonts w:ascii="Tahoma" w:hAnsi="Tahoma" w:cs="Tahoma"/>
          <w:sz w:val="20"/>
          <w:szCs w:val="20"/>
        </w:rPr>
        <w:t xml:space="preserve">La herramienta tools/verificar_recorte.py, disponible en la carpeta colvatel-app, extrae del texto original todos los datos duros y comprueba uno por uno que sigan presentes tras el recorte. Debe ejecutarse siempre que se modifiquen las reglas o se incorporen documentos con un formato nuevo:</w:t>
      </w:r>
    </w:p>
    <w:tbl>
      <w:tblPr>
        <w:tblW w:w="8838" w:type="dxa"/>
        <w:tblBorders>
          <w:left w:val="single" w:sz="18" w:space="0" w:color="2E5C9A"/>
          <w:top w:val="single" w:sz="2" w:space="0" w:color="BFBFBF"/>
          <w:bottom w:val="single" w:sz="2" w:space="0" w:color="BFBFBF"/>
          <w:right w:val="single" w:sz="2" w:space="0" w:color="BFBFBF"/>
        </w:tblBorders>
        <w:tblLayout w:type="fixed"/>
      </w:tblPr>
      <w:tblGrid>
        <w:gridCol w:w="8838"/>
      </w:tblGrid>
      <w:tr>
        <w:tc>
          <w:tcPr>
            <w:tcW w:w="8838" w:type="dxa"/>
            <w:shd w:val="clear" w:color="auto" w:fill="F2F2F2"/>
            <w:tcMar>
              <w:top w:w="100" w:type="dxa"/>
              <w:bottom w:w="100" w:type="dxa"/>
              <w:left w:w="140" w:type="dxa"/>
              <w:right w:w="100" w:type="dxa"/>
            </w:tcMar>
          </w:tcPr>
          <w:p>
            <w:pPr>
              <w:spacing w:before="0" w:after="0" w:line="240" w:lineRule="auto"/>
            </w:pPr>
            <w:r>
              <w:rPr>
                <w:rFonts w:ascii="Consolas" w:hAnsi="Consolas" w:cs="Consolas"/>
                <w:sz w:val="17"/>
                <w:szCs w:val="17"/>
              </w:rPr>
              <w:t xml:space="preserve">python tools/verificar_recorte.py contrato.pdf poliza1.pdf poliza2.pdf</w:t>
            </w:r>
          </w:p>
        </w:tc>
      </w:tr>
    </w:tbl>
    <w:p>
      <w:pPr>
        <w:spacing w:before="0" w:after="100" w:line="264" w:lineRule="auto"/>
      </w:pPr>
    </w:p>
    <w:p>
      <w:pPr>
        <w:spacing w:before="0" w:after="120" w:line="264" w:lineRule="auto"/>
      </w:pPr>
      <w:r>
        <w:rPr>
          <w:rFonts w:ascii="Tahoma" w:hAnsi="Tahoma" w:cs="Tahoma"/>
          <w:sz w:val="20"/>
          <w:szCs w:val="20"/>
        </w:rPr>
        <w:t xml:space="preserve">Devuelve código de salida 0 si no hubo pérdidas y 1 si algún dato crítico desapareció.</w:t>
      </w:r>
    </w:p>
    <w:p>
      <w:pPr>
        <w:pStyle w:val="Titulo2"/>
      </w:pPr>
      <w:r>
        <w:rPr>
          <w:rFonts w:ascii="Tahoma" w:hAnsi="Tahoma" w:cs="Tahoma"/>
          <w:sz w:val="26"/>
          <w:szCs w:val="26"/>
          <w:b/>
          <w:color w:val="2E5C9A"/>
        </w:rPr>
        <w:t xml:space="preserve">9.6 Desactivación</w:t>
      </w:r>
    </w:p>
    <w:p>
      <w:pPr>
        <w:spacing w:before="0" w:after="120" w:line="264" w:lineRule="auto"/>
      </w:pPr>
      <w:r>
        <w:rPr>
          <w:rFonts w:ascii="Tahoma" w:hAnsi="Tahoma" w:cs="Tahoma"/>
          <w:sz w:val="20"/>
          <w:szCs w:val="20"/>
        </w:rPr>
        <w:t xml:space="preserve">Añadir RECORTE_TOKENS=0 al archivo .env y reiniciar el servicio. El sistema volverá a enviar los documentos completos.</w:t>
      </w:r>
    </w:p>
    <w:p>
      <w:r>
        <w:br w:type="page"/>
      </w:r>
    </w:p>
    <w:p>
      <w:pPr>
        <w:pStyle w:val="Titulo1"/>
      </w:pPr>
      <w:r>
        <w:rPr>
          <w:rFonts w:ascii="Tahoma" w:hAnsi="Tahoma" w:cs="Tahoma"/>
          <w:sz w:val="32"/>
          <w:szCs w:val="32"/>
          <w:b/>
          <w:color w:val="1F3864"/>
        </w:rPr>
        <w:t xml:space="preserve">10. Flujo de un análisis</w:t>
      </w:r>
    </w:p>
    <w:tbl>
      <w:tblPr>
        <w:tblW w:w="8838"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Pr>
      <w:tblGrid>
        <w:gridCol w:w="600"/>
        <w:gridCol w:w="2400"/>
        <w:gridCol w:w="5838"/>
      </w:tblGrid>
      <w:tr>
        <w:trPr>
          <w:tblHeader/>
        </w:trPr>
        <w:tc>
          <w:tcPr>
            <w:tcW w:w="6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w:t>
            </w:r>
          </w:p>
        </w:tc>
        <w:tc>
          <w:tcPr>
            <w:tcW w:w="24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Etapa</w:t>
            </w:r>
          </w:p>
        </w:tc>
        <w:tc>
          <w:tcPr>
            <w:tcW w:w="5838"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Detalle</w:t>
            </w:r>
          </w:p>
        </w:tc>
      </w:tr>
      <w:tr>
        <w:tc>
          <w:tcPr>
            <w:tcW w:w="6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1</w:t>
            </w:r>
          </w:p>
        </w:tc>
        <w:tc>
          <w:tcPr>
            <w:tcW w:w="24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Recepción</w:t>
            </w:r>
          </w:p>
        </w:tc>
        <w:tc>
          <w:tcPr>
            <w:tcW w:w="58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Se reciben el contrato y una o varias pólizas por multipart/form-data, junto con el motor elegido.</w:t>
            </w:r>
          </w:p>
        </w:tc>
      </w:tr>
      <w:tr>
        <w:tc>
          <w:tcPr>
            <w:tcW w:w="6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2</w:t>
            </w:r>
          </w:p>
        </w:tc>
        <w:tc>
          <w:tcPr>
            <w:tcW w:w="24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Validación de archivos</w:t>
            </w:r>
          </w:p>
        </w:tc>
        <w:tc>
          <w:tcPr>
            <w:tcW w:w="58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Extensión permitida (PDF, DOCX, DOC) y tamaño máximo de 20 MB por archivo.</w:t>
            </w:r>
          </w:p>
        </w:tc>
      </w:tr>
      <w:tr>
        <w:tc>
          <w:tcPr>
            <w:tcW w:w="6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3</w:t>
            </w:r>
          </w:p>
        </w:tc>
        <w:tc>
          <w:tcPr>
            <w:tcW w:w="24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Extracción de texto</w:t>
            </w:r>
          </w:p>
        </w:tc>
        <w:tc>
          <w:tcPr>
            <w:tcW w:w="58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pdfplumber para PDF, python-docx para Word. Si el texto es menor de 50 caracteres se rechaza.</w:t>
            </w:r>
          </w:p>
        </w:tc>
      </w:tr>
      <w:tr>
        <w:tc>
          <w:tcPr>
            <w:tcW w:w="6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4</w:t>
            </w:r>
          </w:p>
        </w:tc>
        <w:tc>
          <w:tcPr>
            <w:tcW w:w="24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Recorte</w:t>
            </w:r>
          </w:p>
        </w:tc>
        <w:tc>
          <w:tcPr>
            <w:tcW w:w="58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Se elimina el texto irrelevante y se registra cuánto se ahorró.</w:t>
            </w:r>
          </w:p>
        </w:tc>
      </w:tr>
      <w:tr>
        <w:tc>
          <w:tcPr>
            <w:tcW w:w="6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5</w:t>
            </w:r>
          </w:p>
        </w:tc>
        <w:tc>
          <w:tcPr>
            <w:tcW w:w="24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Estimación previa</w:t>
            </w:r>
          </w:p>
        </w:tc>
        <w:tc>
          <w:tcPr>
            <w:tcW w:w="58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Se calcula el tamaño en tokens antes de gastar la llamada y se advierte si supera 16.000.</w:t>
            </w:r>
          </w:p>
        </w:tc>
      </w:tr>
      <w:tr>
        <w:tc>
          <w:tcPr>
            <w:tcW w:w="6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6</w:t>
            </w:r>
          </w:p>
        </w:tc>
        <w:tc>
          <w:tcPr>
            <w:tcW w:w="24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Llamada a la IA</w:t>
            </w:r>
          </w:p>
        </w:tc>
        <w:tc>
          <w:tcPr>
            <w:tcW w:w="58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Según el proveedor se usa el SDK de Gemini o el compatible con OpenAI. Temperatura 0 y respuesta forzada a JSON.</w:t>
            </w:r>
          </w:p>
        </w:tc>
      </w:tr>
      <w:tr>
        <w:tc>
          <w:tcPr>
            <w:tcW w:w="6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7</w:t>
            </w:r>
          </w:p>
        </w:tc>
        <w:tc>
          <w:tcPr>
            <w:tcW w:w="24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Normalización</w:t>
            </w:r>
          </w:p>
        </w:tc>
        <w:tc>
          <w:tcPr>
            <w:tcW w:w="58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Se uniforman montos y fechas, se unifican sinónimos de amparos y se rellenan los que falten.</w:t>
            </w:r>
          </w:p>
        </w:tc>
      </w:tr>
      <w:tr>
        <w:tc>
          <w:tcPr>
            <w:tcW w:w="6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8</w:t>
            </w:r>
          </w:p>
        </w:tc>
        <w:tc>
          <w:tcPr>
            <w:tcW w:w="24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Correcciones deterministas</w:t>
            </w:r>
          </w:p>
        </w:tc>
        <w:tc>
          <w:tcPr>
            <w:tcW w:w="58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Se ajusta la fecha de terminación desde el texto y se rescata el amparo de salarios si quedó vacío.</w:t>
            </w:r>
          </w:p>
        </w:tc>
      </w:tr>
      <w:tr>
        <w:tc>
          <w:tcPr>
            <w:tcW w:w="6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9</w:t>
            </w:r>
          </w:p>
        </w:tc>
        <w:tc>
          <w:tcPr>
            <w:tcW w:w="24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Validación de amparos</w:t>
            </w:r>
          </w:p>
        </w:tc>
        <w:tc>
          <w:tcPr>
            <w:tcW w:w="58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Aritmética pura contra el Manual activo: valor mínimo por porcentaje y fecha hasta requerida.</w:t>
            </w:r>
          </w:p>
        </w:tc>
      </w:tr>
      <w:tr>
        <w:tc>
          <w:tcPr>
            <w:tcW w:w="6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10</w:t>
            </w:r>
          </w:p>
        </w:tc>
        <w:tc>
          <w:tcPr>
            <w:tcW w:w="24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Explicaciones</w:t>
            </w:r>
          </w:p>
        </w:tc>
        <w:tc>
          <w:tcPr>
            <w:tcW w:w="58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Si algún amparo no cumple, una segunda llamada breve redacta el motivo. Si todos cumplen, no se realiza.</w:t>
            </w:r>
          </w:p>
        </w:tc>
      </w:tr>
      <w:tr>
        <w:tc>
          <w:tcPr>
            <w:tcW w:w="6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11</w:t>
            </w:r>
          </w:p>
        </w:tc>
        <w:tc>
          <w:tcPr>
            <w:tcW w:w="24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Persistencia</w:t>
            </w:r>
          </w:p>
        </w:tc>
        <w:tc>
          <w:tcPr>
            <w:tcW w:w="58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Se guarda el análisis en MySQL y los archivos originales cifrados en disco.</w:t>
            </w:r>
          </w:p>
        </w:tc>
      </w:tr>
      <w:tr>
        <w:tc>
          <w:tcPr>
            <w:tcW w:w="6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12</w:t>
            </w:r>
          </w:p>
        </w:tc>
        <w:tc>
          <w:tcPr>
            <w:tcW w:w="24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Acta en Excel</w:t>
            </w:r>
          </w:p>
        </w:tc>
        <w:tc>
          <w:tcPr>
            <w:tcW w:w="58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Se genera el formato A08.P02.F20 con openpyxl.</w:t>
            </w:r>
          </w:p>
        </w:tc>
      </w:tr>
    </w:tbl>
    <w:p>
      <w:pPr>
        <w:spacing w:before="0" w:after="80" w:line="264" w:lineRule="auto"/>
      </w:pPr>
    </w:p>
    <w:p>
      <w:r>
        <w:br w:type="page"/>
      </w:r>
    </w:p>
    <w:p>
      <w:pPr>
        <w:pStyle w:val="Titulo1"/>
      </w:pPr>
      <w:r>
        <w:rPr>
          <w:rFonts w:ascii="Tahoma" w:hAnsi="Tahoma" w:cs="Tahoma"/>
          <w:sz w:val="32"/>
          <w:szCs w:val="32"/>
          <w:b/>
          <w:color w:val="1F3864"/>
        </w:rPr>
        <w:t xml:space="preserve">11. Endpoints</w:t>
      </w:r>
    </w:p>
    <w:p>
      <w:pPr>
        <w:spacing w:before="0" w:after="120" w:line="264" w:lineRule="auto"/>
      </w:pPr>
      <w:r>
        <w:rPr>
          <w:rFonts w:ascii="Tahoma" w:hAnsi="Tahoma" w:cs="Tahoma"/>
          <w:sz w:val="20"/>
          <w:szCs w:val="20"/>
        </w:rPr>
        <w:t xml:space="preserve">Todas las rutas exigen la cabecera X-Internal-Key cuando INTERNAL_API_KEY está configurada.</w:t>
      </w:r>
    </w:p>
    <w:p>
      <w:pPr>
        <w:pStyle w:val="Titulo2"/>
      </w:pPr>
      <w:r>
        <w:rPr>
          <w:rFonts w:ascii="Tahoma" w:hAnsi="Tahoma" w:cs="Tahoma"/>
          <w:sz w:val="26"/>
          <w:szCs w:val="26"/>
          <w:b/>
          <w:color w:val="2E5C9A"/>
        </w:rPr>
        <w:t xml:space="preserve">11.1 Análisis</w:t>
      </w:r>
    </w:p>
    <w:tbl>
      <w:tblPr>
        <w:tblW w:w="8838"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Pr>
      <w:tblGrid>
        <w:gridCol w:w="1000"/>
        <w:gridCol w:w="3200"/>
        <w:gridCol w:w="4638"/>
      </w:tblGrid>
      <w:tr>
        <w:trPr>
          <w:tblHeader/>
        </w:trPr>
        <w:tc>
          <w:tcPr>
            <w:tcW w:w="10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Método</w:t>
            </w:r>
          </w:p>
        </w:tc>
        <w:tc>
          <w:tcPr>
            <w:tcW w:w="32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Ruta</w:t>
            </w:r>
          </w:p>
        </w:tc>
        <w:tc>
          <w:tcPr>
            <w:tcW w:w="4638"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Función</w:t>
            </w:r>
          </w:p>
        </w:tc>
      </w:tr>
      <w:tr>
        <w:tc>
          <w:tcPr>
            <w:tcW w:w="1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POST</w:t>
            </w:r>
          </w:p>
        </w:tc>
        <w:tc>
          <w:tcPr>
            <w:tcW w:w="3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/api/analizar</w:t>
            </w:r>
          </w:p>
        </w:tc>
        <w:tc>
          <w:tcPr>
            <w:tcW w:w="46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Endpoint principal. Analiza contrato y pólizas, valida y genera el Acta.</w:t>
            </w:r>
          </w:p>
        </w:tc>
      </w:tr>
      <w:tr>
        <w:tc>
          <w:tcPr>
            <w:tcW w:w="1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POST</w:t>
            </w:r>
          </w:p>
        </w:tc>
        <w:tc>
          <w:tcPr>
            <w:tcW w:w="3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/api/recalcular</w:t>
            </w:r>
          </w:p>
        </w:tc>
        <w:tc>
          <w:tcPr>
            <w:tcW w:w="46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Recalcula la validación con fechas corregidas por el usuario.</w:t>
            </w:r>
          </w:p>
        </w:tc>
      </w:tr>
      <w:tr>
        <w:tc>
          <w:tcPr>
            <w:tcW w:w="1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POST</w:t>
            </w:r>
          </w:p>
        </w:tc>
        <w:tc>
          <w:tcPr>
            <w:tcW w:w="3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/api/chat</w:t>
            </w:r>
          </w:p>
        </w:tc>
        <w:tc>
          <w:tcPr>
            <w:tcW w:w="46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Asistente que responde preguntas sobre un análisis ya realizado.</w:t>
            </w:r>
          </w:p>
        </w:tc>
      </w:tr>
    </w:tbl>
    <w:p>
      <w:pPr>
        <w:spacing w:before="0" w:after="80" w:line="264" w:lineRule="auto"/>
      </w:pPr>
    </w:p>
    <w:p>
      <w:pPr>
        <w:pStyle w:val="Titulo2"/>
      </w:pPr>
      <w:r>
        <w:rPr>
          <w:rFonts w:ascii="Tahoma" w:hAnsi="Tahoma" w:cs="Tahoma"/>
          <w:sz w:val="26"/>
          <w:szCs w:val="26"/>
          <w:b/>
          <w:color w:val="2E5C9A"/>
        </w:rPr>
        <w:t xml:space="preserve">11.2 Documentos e histórico</w:t>
      </w:r>
    </w:p>
    <w:tbl>
      <w:tblPr>
        <w:tblW w:w="8838"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Pr>
      <w:tblGrid>
        <w:gridCol w:w="1000"/>
        <w:gridCol w:w="3200"/>
        <w:gridCol w:w="4638"/>
      </w:tblGrid>
      <w:tr>
        <w:trPr>
          <w:tblHeader/>
        </w:trPr>
        <w:tc>
          <w:tcPr>
            <w:tcW w:w="10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Método</w:t>
            </w:r>
          </w:p>
        </w:tc>
        <w:tc>
          <w:tcPr>
            <w:tcW w:w="32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Ruta</w:t>
            </w:r>
          </w:p>
        </w:tc>
        <w:tc>
          <w:tcPr>
            <w:tcW w:w="4638"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Función</w:t>
            </w:r>
          </w:p>
        </w:tc>
      </w:tr>
      <w:tr>
        <w:tc>
          <w:tcPr>
            <w:tcW w:w="1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GET</w:t>
            </w:r>
          </w:p>
        </w:tc>
        <w:tc>
          <w:tcPr>
            <w:tcW w:w="3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/api/descargar-archivo/&lt;id&gt;/&lt;tipo&gt;</w:t>
            </w:r>
          </w:p>
        </w:tc>
        <w:tc>
          <w:tcPr>
            <w:tcW w:w="46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Descarga el archivo original descifrado.</w:t>
            </w:r>
          </w:p>
        </w:tc>
      </w:tr>
      <w:tr>
        <w:tc>
          <w:tcPr>
            <w:tcW w:w="1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GET</w:t>
            </w:r>
          </w:p>
        </w:tc>
        <w:tc>
          <w:tcPr>
            <w:tcW w:w="3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/api/descargar-excel/&lt;id&gt;</w:t>
            </w:r>
          </w:p>
        </w:tc>
        <w:tc>
          <w:tcPr>
            <w:tcW w:w="46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Descarga el Acta en Excel de un análisis.</w:t>
            </w:r>
          </w:p>
        </w:tc>
      </w:tr>
      <w:tr>
        <w:tc>
          <w:tcPr>
            <w:tcW w:w="1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GET</w:t>
            </w:r>
          </w:p>
        </w:tc>
        <w:tc>
          <w:tcPr>
            <w:tcW w:w="3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/api/exportar-historico-excel</w:t>
            </w:r>
          </w:p>
        </w:tc>
        <w:tc>
          <w:tcPr>
            <w:tcW w:w="46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Exporta el histórico completo a Excel.</w:t>
            </w:r>
          </w:p>
        </w:tc>
      </w:tr>
    </w:tbl>
    <w:p>
      <w:pPr>
        <w:spacing w:before="0" w:after="80" w:line="264" w:lineRule="auto"/>
      </w:pPr>
    </w:p>
    <w:p>
      <w:pPr>
        <w:pStyle w:val="Titulo2"/>
      </w:pPr>
      <w:r>
        <w:rPr>
          <w:rFonts w:ascii="Tahoma" w:hAnsi="Tahoma" w:cs="Tahoma"/>
          <w:sz w:val="26"/>
          <w:szCs w:val="26"/>
          <w:b/>
          <w:color w:val="2E5C9A"/>
        </w:rPr>
        <w:t xml:space="preserve">11.3 Manual de Contratación</w:t>
      </w:r>
    </w:p>
    <w:tbl>
      <w:tblPr>
        <w:tblW w:w="8838"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Pr>
      <w:tblGrid>
        <w:gridCol w:w="1000"/>
        <w:gridCol w:w="3200"/>
        <w:gridCol w:w="4638"/>
      </w:tblGrid>
      <w:tr>
        <w:trPr>
          <w:tblHeader/>
        </w:trPr>
        <w:tc>
          <w:tcPr>
            <w:tcW w:w="10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Método</w:t>
            </w:r>
          </w:p>
        </w:tc>
        <w:tc>
          <w:tcPr>
            <w:tcW w:w="32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Ruta</w:t>
            </w:r>
          </w:p>
        </w:tc>
        <w:tc>
          <w:tcPr>
            <w:tcW w:w="4638"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Función</w:t>
            </w:r>
          </w:p>
        </w:tc>
      </w:tr>
      <w:tr>
        <w:tc>
          <w:tcPr>
            <w:tcW w:w="1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POST</w:t>
            </w:r>
          </w:p>
        </w:tc>
        <w:tc>
          <w:tcPr>
            <w:tcW w:w="3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/api/manual/subir</w:t>
            </w:r>
          </w:p>
        </w:tc>
        <w:tc>
          <w:tcPr>
            <w:tcW w:w="46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Sube un manual (PDF o DOCX, máximo 30 MB) y extrae su texto.</w:t>
            </w:r>
          </w:p>
        </w:tc>
      </w:tr>
      <w:tr>
        <w:tc>
          <w:tcPr>
            <w:tcW w:w="1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POST</w:t>
            </w:r>
          </w:p>
        </w:tc>
        <w:tc>
          <w:tcPr>
            <w:tcW w:w="3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/api/manual/extraer/&lt;id&gt;</w:t>
            </w:r>
          </w:p>
        </w:tc>
        <w:tc>
          <w:tcPr>
            <w:tcW w:w="46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Extrae con IA los porcentajes y meses por tipo de contrato.</w:t>
            </w:r>
          </w:p>
        </w:tc>
      </w:tr>
      <w:tr>
        <w:tc>
          <w:tcPr>
            <w:tcW w:w="1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POST</w:t>
            </w:r>
          </w:p>
        </w:tc>
        <w:tc>
          <w:tcPr>
            <w:tcW w:w="3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/api/manual/activar/&lt;id&gt;</w:t>
            </w:r>
          </w:p>
        </w:tc>
        <w:tc>
          <w:tcPr>
            <w:tcW w:w="46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Activa una versión del manual.</w:t>
            </w:r>
          </w:p>
        </w:tc>
      </w:tr>
      <w:tr>
        <w:tc>
          <w:tcPr>
            <w:tcW w:w="1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GET</w:t>
            </w:r>
          </w:p>
        </w:tc>
        <w:tc>
          <w:tcPr>
            <w:tcW w:w="3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/api/manual/params/&lt;id&gt;</w:t>
            </w:r>
          </w:p>
        </w:tc>
        <w:tc>
          <w:tcPr>
            <w:tcW w:w="46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Consulta los parámetros de una versión.</w:t>
            </w:r>
          </w:p>
        </w:tc>
      </w:tr>
      <w:tr>
        <w:tc>
          <w:tcPr>
            <w:tcW w:w="1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POST</w:t>
            </w:r>
          </w:p>
        </w:tc>
        <w:tc>
          <w:tcPr>
            <w:tcW w:w="3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/api/manual/guardar-params/&lt;id&gt;</w:t>
            </w:r>
          </w:p>
        </w:tc>
        <w:tc>
          <w:tcPr>
            <w:tcW w:w="46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Guarda los parámetros editados manualmente.</w:t>
            </w:r>
          </w:p>
        </w:tc>
      </w:tr>
      <w:tr>
        <w:tc>
          <w:tcPr>
            <w:tcW w:w="1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DELETE</w:t>
            </w:r>
          </w:p>
        </w:tc>
        <w:tc>
          <w:tcPr>
            <w:tcW w:w="3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/api/manual/eliminar/&lt;id&gt;</w:t>
            </w:r>
          </w:p>
        </w:tc>
        <w:tc>
          <w:tcPr>
            <w:tcW w:w="46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Elimina una versión.</w:t>
            </w:r>
          </w:p>
        </w:tc>
      </w:tr>
    </w:tbl>
    <w:p>
      <w:pPr>
        <w:spacing w:before="0" w:after="80" w:line="264" w:lineRule="auto"/>
      </w:pPr>
    </w:p>
    <w:p>
      <w:pPr>
        <w:pStyle w:val="Titulo2"/>
      </w:pPr>
      <w:r>
        <w:rPr>
          <w:rFonts w:ascii="Tahoma" w:hAnsi="Tahoma" w:cs="Tahoma"/>
          <w:sz w:val="26"/>
          <w:szCs w:val="26"/>
          <w:b/>
          <w:color w:val="2E5C9A"/>
        </w:rPr>
        <w:t xml:space="preserve">11.4 Administración de IA</w:t>
      </w:r>
    </w:p>
    <w:tbl>
      <w:tblPr>
        <w:tblW w:w="8838"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Pr>
      <w:tblGrid>
        <w:gridCol w:w="1000"/>
        <w:gridCol w:w="3200"/>
        <w:gridCol w:w="4638"/>
      </w:tblGrid>
      <w:tr>
        <w:trPr>
          <w:tblHeader/>
        </w:trPr>
        <w:tc>
          <w:tcPr>
            <w:tcW w:w="10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Método</w:t>
            </w:r>
          </w:p>
        </w:tc>
        <w:tc>
          <w:tcPr>
            <w:tcW w:w="32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Ruta</w:t>
            </w:r>
          </w:p>
        </w:tc>
        <w:tc>
          <w:tcPr>
            <w:tcW w:w="4638"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Función</w:t>
            </w:r>
          </w:p>
        </w:tc>
      </w:tr>
      <w:tr>
        <w:tc>
          <w:tcPr>
            <w:tcW w:w="1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POST</w:t>
            </w:r>
          </w:p>
        </w:tc>
        <w:tc>
          <w:tcPr>
            <w:tcW w:w="3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/api/apikeys/guardar</w:t>
            </w:r>
          </w:p>
        </w:tc>
        <w:tc>
          <w:tcPr>
            <w:tcW w:w="46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Guarda una API key cifrada.</w:t>
            </w:r>
          </w:p>
        </w:tc>
      </w:tr>
      <w:tr>
        <w:tc>
          <w:tcPr>
            <w:tcW w:w="1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DELETE</w:t>
            </w:r>
          </w:p>
        </w:tc>
        <w:tc>
          <w:tcPr>
            <w:tcW w:w="3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/api/apikeys/eliminar/&lt;nombre&gt;</w:t>
            </w:r>
          </w:p>
        </w:tc>
        <w:tc>
          <w:tcPr>
            <w:tcW w:w="46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Elimina una API key.</w:t>
            </w:r>
          </w:p>
        </w:tc>
      </w:tr>
      <w:tr>
        <w:tc>
          <w:tcPr>
            <w:tcW w:w="1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POST</w:t>
            </w:r>
          </w:p>
        </w:tc>
        <w:tc>
          <w:tcPr>
            <w:tcW w:w="3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/api/proveedores/guardar</w:t>
            </w:r>
          </w:p>
        </w:tc>
        <w:tc>
          <w:tcPr>
            <w:tcW w:w="46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Da de alta o edita un proveedor.</w:t>
            </w:r>
          </w:p>
        </w:tc>
      </w:tr>
      <w:tr>
        <w:tc>
          <w:tcPr>
            <w:tcW w:w="1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DELETE</w:t>
            </w:r>
          </w:p>
        </w:tc>
        <w:tc>
          <w:tcPr>
            <w:tcW w:w="3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/api/proveedores/eliminar/&lt;id&gt;</w:t>
            </w:r>
          </w:p>
        </w:tc>
        <w:tc>
          <w:tcPr>
            <w:tcW w:w="46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Elimina un proveedor.</w:t>
            </w:r>
          </w:p>
        </w:tc>
      </w:tr>
      <w:tr>
        <w:tc>
          <w:tcPr>
            <w:tcW w:w="1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POST</w:t>
            </w:r>
          </w:p>
        </w:tc>
        <w:tc>
          <w:tcPr>
            <w:tcW w:w="3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/api/motores/guardar</w:t>
            </w:r>
          </w:p>
        </w:tc>
        <w:tc>
          <w:tcPr>
            <w:tcW w:w="46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Da de alta o edita un motor.</w:t>
            </w:r>
          </w:p>
        </w:tc>
      </w:tr>
      <w:tr>
        <w:tc>
          <w:tcPr>
            <w:tcW w:w="1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DELETE</w:t>
            </w:r>
          </w:p>
        </w:tc>
        <w:tc>
          <w:tcPr>
            <w:tcW w:w="3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/api/motores/eliminar/&lt;id&gt;</w:t>
            </w:r>
          </w:p>
        </w:tc>
        <w:tc>
          <w:tcPr>
            <w:tcW w:w="46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Elimina un motor.</w:t>
            </w:r>
          </w:p>
        </w:tc>
      </w:tr>
      <w:tr>
        <w:tc>
          <w:tcPr>
            <w:tcW w:w="1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POST</w:t>
            </w:r>
          </w:p>
        </w:tc>
        <w:tc>
          <w:tcPr>
            <w:tcW w:w="32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/api/motores/probar/&lt;clave&gt;</w:t>
            </w:r>
          </w:p>
        </w:tc>
        <w:tc>
          <w:tcPr>
            <w:tcW w:w="46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Prueba la conectividad de un motor.</w:t>
            </w:r>
          </w:p>
        </w:tc>
      </w:tr>
    </w:tbl>
    <w:p>
      <w:pPr>
        <w:spacing w:before="0" w:after="80" w:line="264" w:lineRule="auto"/>
      </w:pPr>
    </w:p>
    <w:tbl>
      <w:tblPr>
        <w:tblW w:w="8838" w:type="dxa"/>
        <w:tblBorders>
          <w:left w:val="single" w:sz="24" w:space="0" w:color="2E5C9A"/>
        </w:tblBorders>
        <w:tblLayout w:type="fixed"/>
      </w:tblPr>
      <w:tblGrid>
        <w:gridCol w:w="8838"/>
      </w:tblGrid>
      <w:tr>
        <w:tc>
          <w:tcPr>
            <w:tcW w:w="8838" w:type="dxa"/>
            <w:shd w:val="clear" w:color="auto" w:fill="E8F0FA"/>
            <w:tcMar>
              <w:top w:w="120" w:type="dxa"/>
              <w:bottom w:w="120" w:type="dxa"/>
              <w:left w:w="160" w:type="dxa"/>
              <w:right w:w="120" w:type="dxa"/>
            </w:tcMar>
          </w:tcPr>
          <w:p>
            <w:pPr>
              <w:spacing w:after="40"/>
            </w:pPr>
            <w:r>
              <w:rPr>
                <w:rFonts w:ascii="Tahoma" w:hAnsi="Tahoma" w:cs="Tahoma"/>
                <w:sz w:val="19"/>
                <w:szCs w:val="19"/>
                <w:b/>
                <w:color w:val="2E5C9A"/>
              </w:rPr>
              <w:t xml:space="preserve">Rutas de interfaz no disponibles en esta carpeta</w:t>
            </w:r>
          </w:p>
          <w:p>
            <w:pPr>
              <w:spacing w:after="0"/>
            </w:pPr>
            <w:r>
              <w:rPr>
                <w:rFonts w:ascii="Tahoma" w:hAnsi="Tahoma" w:cs="Tahoma"/>
                <w:sz w:val="18"/>
                <w:szCs w:val="18"/>
              </w:rPr>
              <w:t xml:space="preserve">Las rutas «/», «/historico», «/admin/manual» y «/admin/apis» renderizan plantillas HTML. Como agente_poliza no incluye la carpeta templates/, fallarán si se invocan aquí. La interfaz la aporta ColvaContratos.</w:t>
            </w:r>
          </w:p>
        </w:tc>
      </w:tr>
    </w:tbl>
    <w:p>
      <w:pPr>
        <w:spacing w:before="0" w:after="100" w:line="264" w:lineRule="auto"/>
      </w:pPr>
    </w:p>
    <w:p>
      <w:r>
        <w:br w:type="page"/>
      </w:r>
    </w:p>
    <w:p>
      <w:pPr>
        <w:pStyle w:val="Titulo1"/>
      </w:pPr>
      <w:r>
        <w:rPr>
          <w:rFonts w:ascii="Tahoma" w:hAnsi="Tahoma" w:cs="Tahoma"/>
          <w:sz w:val="32"/>
          <w:szCs w:val="32"/>
          <w:b/>
          <w:color w:val="1F3864"/>
        </w:rPr>
        <w:t xml:space="preserve">12. Seguridad</w:t>
      </w:r>
    </w:p>
    <w:p>
      <w:pPr>
        <w:pStyle w:val="Titulo2"/>
      </w:pPr>
      <w:r>
        <w:rPr>
          <w:rFonts w:ascii="Tahoma" w:hAnsi="Tahoma" w:cs="Tahoma"/>
          <w:sz w:val="26"/>
          <w:szCs w:val="26"/>
          <w:b/>
          <w:color w:val="2E5C9A"/>
        </w:rPr>
        <w:t xml:space="preserve">12.1 Cifrado en reposo</w:t>
      </w:r>
    </w:p>
    <w:p>
      <w:pPr>
        <w:spacing w:before="0" w:after="120" w:line="264" w:lineRule="auto"/>
      </w:pPr>
      <w:r>
        <w:rPr>
          <w:rFonts w:ascii="Tahoma" w:hAnsi="Tahoma" w:cs="Tahoma"/>
          <w:sz w:val="20"/>
          <w:szCs w:val="20"/>
        </w:rPr>
        <w:t xml:space="preserve">Todo el contenido sensible se cifra con Fernet, que internamente es AES-128 en modo CBC más HMAC-SHA256, un cifrado autenticado que detecta manipulación. Se cifran los archivos originales, el JSON de datos extraídos y las API keys de los proveedores.</w:t>
      </w:r>
    </w:p>
    <w:tbl>
      <w:tblPr>
        <w:tblW w:w="8838" w:type="dxa"/>
        <w:tblBorders>
          <w:left w:val="single" w:sz="18" w:space="0" w:color="2E5C9A"/>
          <w:top w:val="single" w:sz="2" w:space="0" w:color="BFBFBF"/>
          <w:bottom w:val="single" w:sz="2" w:space="0" w:color="BFBFBF"/>
          <w:right w:val="single" w:sz="2" w:space="0" w:color="BFBFBF"/>
        </w:tblBorders>
        <w:tblLayout w:type="fixed"/>
      </w:tblPr>
      <w:tblGrid>
        <w:gridCol w:w="8838"/>
      </w:tblGrid>
      <w:tr>
        <w:tc>
          <w:tcPr>
            <w:tcW w:w="8838" w:type="dxa"/>
            <w:shd w:val="clear" w:color="auto" w:fill="F2F2F2"/>
            <w:tcMar>
              <w:top w:w="100" w:type="dxa"/>
              <w:bottom w:w="100" w:type="dxa"/>
              <w:left w:w="140" w:type="dxa"/>
              <w:right w:w="100" w:type="dxa"/>
            </w:tcMar>
          </w:tcPr>
          <w:p>
            <w:pPr>
              <w:spacing w:before="0" w:after="0" w:line="240" w:lineRule="auto"/>
            </w:pPr>
            <w:r>
              <w:rPr>
                <w:rFonts w:ascii="Consolas" w:hAnsi="Consolas" w:cs="Consolas"/>
                <w:sz w:val="17"/>
                <w:szCs w:val="17"/>
              </w:rPr>
              <w:t xml:space="preserve"># Generar una clave Fernet valida</w:t>
            </w:r>
          </w:p>
          <w:p>
            <w:pPr>
              <w:spacing w:before="0" w:after="0" w:line="240" w:lineRule="auto"/>
            </w:pPr>
            <w:r>
              <w:rPr>
                <w:rFonts w:ascii="Consolas" w:hAnsi="Consolas" w:cs="Consolas"/>
                <w:sz w:val="17"/>
                <w:szCs w:val="17"/>
              </w:rPr>
              <w:t xml:space="preserve">python -c "from cryptography.fernet import Fernet; print(Fernet.generate_key().decode())"</w:t>
            </w:r>
          </w:p>
        </w:tc>
      </w:tr>
    </w:tbl>
    <w:p>
      <w:pPr>
        <w:spacing w:before="0" w:after="100" w:line="264" w:lineRule="auto"/>
      </w:pPr>
    </w:p>
    <w:tbl>
      <w:tblPr>
        <w:tblW w:w="8838" w:type="dxa"/>
        <w:tblBorders>
          <w:left w:val="single" w:sz="24" w:space="0" w:color="C00000"/>
        </w:tblBorders>
        <w:tblLayout w:type="fixed"/>
      </w:tblPr>
      <w:tblGrid>
        <w:gridCol w:w="8838"/>
      </w:tblGrid>
      <w:tr>
        <w:tc>
          <w:tcPr>
            <w:tcW w:w="8838" w:type="dxa"/>
            <w:shd w:val="clear" w:color="auto" w:fill="FDEAEA"/>
            <w:tcMar>
              <w:top w:w="120" w:type="dxa"/>
              <w:bottom w:w="120" w:type="dxa"/>
              <w:left w:w="160" w:type="dxa"/>
              <w:right w:w="120" w:type="dxa"/>
            </w:tcMar>
          </w:tcPr>
          <w:p>
            <w:pPr>
              <w:spacing w:after="40"/>
            </w:pPr>
            <w:r>
              <w:rPr>
                <w:rFonts w:ascii="Tahoma" w:hAnsi="Tahoma" w:cs="Tahoma"/>
                <w:sz w:val="19"/>
                <w:szCs w:val="19"/>
                <w:b/>
                <w:color w:val="C00000"/>
              </w:rPr>
              <w:t xml:space="preserve">La clave de cifrado es irrecuperable</w:t>
            </w:r>
          </w:p>
          <w:p>
            <w:pPr>
              <w:spacing w:after="0"/>
            </w:pPr>
            <w:r>
              <w:rPr>
                <w:rFonts w:ascii="Tahoma" w:hAnsi="Tahoma" w:cs="Tahoma"/>
                <w:sz w:val="18"/>
                <w:szCs w:val="18"/>
              </w:rPr>
              <w:t xml:space="preserve">Si ENCRYPTION_KEY se pierde o se cambia, los documentos ya cifrados quedan ILEGIBLES de forma permanente. Debe custodiarse fuera del repositorio y no modificarse entre despliegues. Para rotarla es imprescindible descifrar todo con la clave anterior y volver a cifrar con la nueva.</w:t>
            </w:r>
          </w:p>
        </w:tc>
      </w:tr>
    </w:tbl>
    <w:p>
      <w:pPr>
        <w:spacing w:before="0" w:after="100" w:line="264" w:lineRule="auto"/>
      </w:pPr>
    </w:p>
    <w:p>
      <w:pPr>
        <w:pStyle w:val="Titulo2"/>
      </w:pPr>
      <w:r>
        <w:rPr>
          <w:rFonts w:ascii="Tahoma" w:hAnsi="Tahoma" w:cs="Tahoma"/>
          <w:sz w:val="26"/>
          <w:szCs w:val="26"/>
          <w:b/>
          <w:color w:val="2E5C9A"/>
        </w:rPr>
        <w:t xml:space="preserve">12.2 Control de acceso</w:t>
      </w:r>
    </w:p>
    <w:p>
      <w:pPr>
        <w:spacing w:before="0" w:after="120" w:line="264" w:lineRule="auto"/>
      </w:pPr>
      <w:r>
        <w:rPr>
          <w:rFonts w:ascii="Tahoma" w:hAnsi="Tahoma" w:cs="Tahoma"/>
          <w:sz w:val="20"/>
          <w:szCs w:val="20"/>
        </w:rPr>
        <w:t xml:space="preserve">Cuando INTERNAL_API_KEY está definida, un interceptor previo a cada petición exige la cabecera X-Internal-Key en toda ruta que comience por /api/ o /admin/. Devuelve 401 si falta o no coincide. Este es el mecanismo que impide que alguien llame al motor sin pasar por ColvaContratos.</w:t>
      </w:r>
    </w:p>
    <w:tbl>
      <w:tblPr>
        <w:tblW w:w="8838" w:type="dxa"/>
        <w:tblBorders>
          <w:left w:val="single" w:sz="24" w:space="0" w:color="C55A11"/>
        </w:tblBorders>
        <w:tblLayout w:type="fixed"/>
      </w:tblPr>
      <w:tblGrid>
        <w:gridCol w:w="8838"/>
      </w:tblGrid>
      <w:tr>
        <w:tc>
          <w:tcPr>
            <w:tcW w:w="8838" w:type="dxa"/>
            <w:shd w:val="clear" w:color="auto" w:fill="FFF2E5"/>
            <w:tcMar>
              <w:top w:w="120" w:type="dxa"/>
              <w:bottom w:w="120" w:type="dxa"/>
              <w:left w:w="160" w:type="dxa"/>
              <w:right w:w="120" w:type="dxa"/>
            </w:tcMar>
          </w:tcPr>
          <w:p>
            <w:pPr>
              <w:spacing w:after="40"/>
            </w:pPr>
            <w:r>
              <w:rPr>
                <w:rFonts w:ascii="Tahoma" w:hAnsi="Tahoma" w:cs="Tahoma"/>
                <w:sz w:val="19"/>
                <w:szCs w:val="19"/>
                <w:b/>
                <w:color w:val="C55A11"/>
              </w:rPr>
              <w:t xml:space="preserve">El motor no tiene autenticación de usuarios</w:t>
            </w:r>
          </w:p>
          <w:p>
            <w:pPr>
              <w:spacing w:after="0"/>
            </w:pPr>
            <w:r>
              <w:rPr>
                <w:rFonts w:ascii="Tahoma" w:hAnsi="Tahoma" w:cs="Tahoma"/>
                <w:sz w:val="18"/>
                <w:szCs w:val="18"/>
              </w:rPr>
              <w:t xml:space="preserve">agente_poliza no gestiona login ni permisos: confía en que ColvaContratos ya autenticó al usuario. Por eso debe escuchar únicamente en 127.0.0.1 y no exponerse a la red.</w:t>
            </w:r>
          </w:p>
        </w:tc>
      </w:tr>
    </w:tbl>
    <w:p>
      <w:pPr>
        <w:spacing w:before="0" w:after="100" w:line="264" w:lineRule="auto"/>
      </w:pPr>
    </w:p>
    <w:p>
      <w:pPr>
        <w:pStyle w:val="Titulo2"/>
      </w:pPr>
      <w:r>
        <w:rPr>
          <w:rFonts w:ascii="Tahoma" w:hAnsi="Tahoma" w:cs="Tahoma"/>
          <w:sz w:val="26"/>
          <w:szCs w:val="26"/>
          <w:b/>
          <w:color w:val="2E5C9A"/>
        </w:rPr>
        <w:t xml:space="preserve">12.3 Cabeceras de seguridad HTTP</w:t>
      </w:r>
    </w:p>
    <w:p>
      <w:pPr>
        <w:spacing w:before="0" w:after="120" w:line="264" w:lineRule="auto"/>
      </w:pPr>
      <w:r>
        <w:rPr>
          <w:rFonts w:ascii="Tahoma" w:hAnsi="Tahoma" w:cs="Tahoma"/>
          <w:sz w:val="20"/>
          <w:szCs w:val="20"/>
        </w:rPr>
        <w:t xml:space="preserve">Toda respuesta incluye X-Content-Type-Options: nosniff, X-Frame-Options: DENY, X-XSS-Protection, Referrer-Policy y Permissions-Policy.</w:t>
      </w:r>
    </w:p>
    <w:p>
      <w:pPr>
        <w:pStyle w:val="Titulo2"/>
      </w:pPr>
      <w:r>
        <w:rPr>
          <w:rFonts w:ascii="Tahoma" w:hAnsi="Tahoma" w:cs="Tahoma"/>
          <w:sz w:val="26"/>
          <w:szCs w:val="26"/>
          <w:b/>
          <w:color w:val="2E5C9A"/>
        </w:rPr>
        <w:t xml:space="preserve">12.4 Otras protecciones</w:t>
      </w:r>
    </w:p>
    <w:p>
      <w:pPr>
        <w:numPr>
          <w:ilvl w:val="0"/>
          <w:numId w:val="1"/>
        </w:numPr>
        <w:spacing w:after="60" w:line="264" w:lineRule="auto"/>
      </w:pPr>
      <w:r>
        <w:rPr>
          <w:rFonts w:ascii="Tahoma" w:hAnsi="Tahoma" w:cs="Tahoma"/>
          <w:sz w:val="20"/>
          <w:szCs w:val="20"/>
        </w:rPr>
        <w:t xml:space="preserve">Validación de archivos: solo PDF, DOCX y DOC, con un máximo de 20 MB por archivo y 50 MB por petición.</w:t>
      </w:r>
    </w:p>
    <w:p>
      <w:pPr>
        <w:numPr>
          <w:ilvl w:val="0"/>
          <w:numId w:val="1"/>
        </w:numPr>
        <w:spacing w:after="60" w:line="264" w:lineRule="auto"/>
      </w:pPr>
      <w:r>
        <w:rPr>
          <w:rFonts w:ascii="Tahoma" w:hAnsi="Tahoma" w:cs="Tahoma"/>
          <w:sz w:val="20"/>
          <w:szCs w:val="20"/>
        </w:rPr>
        <w:t xml:space="preserve">Protección contra path traversal: solo se admite el patrón exacto «&lt;número&gt;/contrato» o «&lt;número&gt;/poliza».</w:t>
      </w:r>
    </w:p>
    <w:p>
      <w:pPr>
        <w:numPr>
          <w:ilvl w:val="0"/>
          <w:numId w:val="1"/>
        </w:numPr>
        <w:spacing w:after="60" w:line="264" w:lineRule="auto"/>
      </w:pPr>
      <w:r>
        <w:rPr>
          <w:rFonts w:ascii="Tahoma" w:hAnsi="Tahoma" w:cs="Tahoma"/>
          <w:sz w:val="20"/>
          <w:szCs w:val="20"/>
        </w:rPr>
        <w:t xml:space="preserve">Las sesiones caducan a las 8 horas de inactividad, con cookies HttpOnly y SameSite Lax.</w:t>
      </w:r>
    </w:p>
    <w:p>
      <w:pPr>
        <w:pStyle w:val="Titulo2"/>
      </w:pPr>
      <w:r>
        <w:rPr>
          <w:rFonts w:ascii="Tahoma" w:hAnsi="Tahoma" w:cs="Tahoma"/>
          <w:sz w:val="26"/>
          <w:szCs w:val="26"/>
          <w:b/>
          <w:color w:val="2E5C9A"/>
        </w:rPr>
        <w:t xml:space="preserve">12.5 Advertencias sobre el repositorio</w:t>
      </w:r>
    </w:p>
    <w:tbl>
      <w:tblPr>
        <w:tblW w:w="8838" w:type="dxa"/>
        <w:tblBorders>
          <w:left w:val="single" w:sz="24" w:space="0" w:color="C00000"/>
        </w:tblBorders>
        <w:tblLayout w:type="fixed"/>
      </w:tblPr>
      <w:tblGrid>
        <w:gridCol w:w="8838"/>
      </w:tblGrid>
      <w:tr>
        <w:tc>
          <w:tcPr>
            <w:tcW w:w="8838" w:type="dxa"/>
            <w:shd w:val="clear" w:color="auto" w:fill="FDEAEA"/>
            <w:tcMar>
              <w:top w:w="120" w:type="dxa"/>
              <w:bottom w:w="120" w:type="dxa"/>
              <w:left w:w="160" w:type="dxa"/>
              <w:right w:w="120" w:type="dxa"/>
            </w:tcMar>
          </w:tcPr>
          <w:p>
            <w:pPr>
              <w:spacing w:after="40"/>
            </w:pPr>
            <w:r>
              <w:rPr>
                <w:rFonts w:ascii="Tahoma" w:hAnsi="Tahoma" w:cs="Tahoma"/>
                <w:sz w:val="19"/>
                <w:szCs w:val="19"/>
                <w:b/>
                <w:color w:val="C00000"/>
              </w:rPr>
              <w:t xml:space="preserve">Secretos y documentos versionados</w:t>
            </w:r>
          </w:p>
          <w:p>
            <w:pPr>
              <w:spacing w:after="0"/>
            </w:pPr>
            <w:r>
              <w:rPr>
                <w:rFonts w:ascii="Tahoma" w:hAnsi="Tahoma" w:cs="Tahoma"/>
                <w:sz w:val="18"/>
                <w:szCs w:val="18"/>
              </w:rPr>
              <w:t xml:space="preserve">El repositorio Git de agente_poliza no tiene archivo .gitignore, y como consecuencia tiene versionados el archivo .env — con ENCRYPTION_KEY, SECRET_KEY, DB_PASSWORD e INTERNAL_API_KEY — y documentos reales cifrados bajo var/documentos_hist/. Que la clave de cifrado y los documentos cifrados convivan en el mismo repositorio anula la protección del cifrado. Acciones necesarias: verificar que el repositorio sea privado, crear el .gitignore, dejar de rastrear esos archivos, limpiar el historial y rotar las credenciales.</w:t>
            </w:r>
          </w:p>
        </w:tc>
      </w:tr>
    </w:tbl>
    <w:p>
      <w:pPr>
        <w:spacing w:before="0" w:after="100" w:line="264" w:lineRule="auto"/>
      </w:pPr>
    </w:p>
    <w:p>
      <w:pPr>
        <w:spacing w:before="0" w:after="120" w:line="264" w:lineRule="auto"/>
      </w:pPr>
      <w:r>
        <w:rPr>
          <w:rFonts w:ascii="Tahoma" w:hAnsi="Tahoma" w:cs="Tahoma"/>
          <w:sz w:val="20"/>
          <w:szCs w:val="20"/>
        </w:rPr>
        <w:t xml:space="preserve">Contenido recomendado del archivo .gitignore:</w:t>
      </w:r>
    </w:p>
    <w:tbl>
      <w:tblPr>
        <w:tblW w:w="8838" w:type="dxa"/>
        <w:tblBorders>
          <w:left w:val="single" w:sz="18" w:space="0" w:color="2E5C9A"/>
          <w:top w:val="single" w:sz="2" w:space="0" w:color="BFBFBF"/>
          <w:bottom w:val="single" w:sz="2" w:space="0" w:color="BFBFBF"/>
          <w:right w:val="single" w:sz="2" w:space="0" w:color="BFBFBF"/>
        </w:tblBorders>
        <w:tblLayout w:type="fixed"/>
      </w:tblPr>
      <w:tblGrid>
        <w:gridCol w:w="8838"/>
      </w:tblGrid>
      <w:tr>
        <w:tc>
          <w:tcPr>
            <w:tcW w:w="8838" w:type="dxa"/>
            <w:shd w:val="clear" w:color="auto" w:fill="F2F2F2"/>
            <w:tcMar>
              <w:top w:w="100" w:type="dxa"/>
              <w:bottom w:w="100" w:type="dxa"/>
              <w:left w:w="140" w:type="dxa"/>
              <w:right w:w="100" w:type="dxa"/>
            </w:tcMar>
          </w:tcPr>
          <w:p>
            <w:pPr>
              <w:spacing w:before="0" w:after="0" w:line="240" w:lineRule="auto"/>
            </w:pPr>
            <w:r>
              <w:rPr>
                <w:rFonts w:ascii="Consolas" w:hAnsi="Consolas" w:cs="Consolas"/>
                <w:sz w:val="17"/>
                <w:szCs w:val="17"/>
              </w:rPr>
              <w:t xml:space="preserve">.env</w:t>
            </w:r>
          </w:p>
          <w:p>
            <w:pPr>
              <w:spacing w:before="0" w:after="0" w:line="240" w:lineRule="auto"/>
            </w:pPr>
            <w:r>
              <w:rPr>
                <w:rFonts w:ascii="Consolas" w:hAnsi="Consolas" w:cs="Consolas"/>
                <w:sz w:val="17"/>
                <w:szCs w:val="17"/>
              </w:rPr>
              <w:t xml:space="preserve">*.env</w:t>
            </w:r>
          </w:p>
          <w:p>
            <w:pPr>
              <w:spacing w:before="0" w:after="0" w:line="240" w:lineRule="auto"/>
            </w:pPr>
            <w:r>
              <w:rPr>
                <w:rFonts w:ascii="Consolas" w:hAnsi="Consolas" w:cs="Consolas"/>
                <w:sz w:val="17"/>
                <w:szCs w:val="17"/>
              </w:rPr>
              <w:t xml:space="preserve">__pycache__/</w:t>
            </w:r>
          </w:p>
          <w:p>
            <w:pPr>
              <w:spacing w:before="0" w:after="0" w:line="240" w:lineRule="auto"/>
            </w:pPr>
            <w:r>
              <w:rPr>
                <w:rFonts w:ascii="Consolas" w:hAnsi="Consolas" w:cs="Consolas"/>
                <w:sz w:val="17"/>
                <w:szCs w:val="17"/>
              </w:rPr>
              <w:t xml:space="preserve">*.pyc</w:t>
            </w:r>
          </w:p>
          <w:p>
            <w:pPr>
              <w:spacing w:before="0" w:after="0" w:line="240" w:lineRule="auto"/>
            </w:pPr>
            <w:r>
              <w:rPr>
                <w:rFonts w:ascii="Consolas" w:hAnsi="Consolas" w:cs="Consolas"/>
                <w:sz w:val="17"/>
                <w:szCs w:val="17"/>
              </w:rPr>
              <w:t xml:space="preserve">*.pyo</w:t>
            </w:r>
          </w:p>
          <w:p>
            <w:pPr>
              <w:spacing w:before="0" w:after="0" w:line="240" w:lineRule="auto"/>
            </w:pPr>
            <w:r>
              <w:rPr>
                <w:rFonts w:ascii="Consolas" w:hAnsi="Consolas" w:cs="Consolas"/>
                <w:sz w:val="17"/>
                <w:szCs w:val="17"/>
              </w:rPr>
              <w:t xml:space="preserve">var/</w:t>
            </w:r>
          </w:p>
          <w:p>
            <w:pPr>
              <w:spacing w:before="0" w:after="0" w:line="240" w:lineRule="auto"/>
            </w:pPr>
            <w:r>
              <w:rPr>
                <w:rFonts w:ascii="Consolas" w:hAnsi="Consolas" w:cs="Consolas"/>
                <w:sz w:val="17"/>
                <w:szCs w:val="17"/>
              </w:rPr>
              <w:t xml:space="preserve">*.bak-*</w:t>
            </w:r>
          </w:p>
          <w:p>
            <w:pPr>
              <w:spacing w:before="0" w:after="0" w:line="240" w:lineRule="auto"/>
            </w:pPr>
            <w:r>
              <w:rPr>
                <w:rFonts w:ascii="Consolas" w:hAnsi="Consolas" w:cs="Consolas"/>
                <w:sz w:val="17"/>
                <w:szCs w:val="17"/>
              </w:rPr>
              <w:t xml:space="preserve">*.tmp</w:t>
            </w:r>
          </w:p>
          <w:p>
            <w:pPr>
              <w:spacing w:before="0" w:after="0" w:line="240" w:lineRule="auto"/>
            </w:pPr>
            <w:r>
              <w:rPr>
                <w:rFonts w:ascii="Consolas" w:hAnsi="Consolas" w:cs="Consolas"/>
                <w:sz w:val="17"/>
                <w:szCs w:val="17"/>
              </w:rPr>
              <w:t xml:space="preserve">*.xlsx</w:t>
            </w:r>
          </w:p>
        </w:tc>
      </w:tr>
    </w:tbl>
    <w:p>
      <w:pPr>
        <w:spacing w:before="0" w:after="100" w:line="264" w:lineRule="auto"/>
      </w:pPr>
    </w:p>
    <w:p>
      <w:r>
        <w:br w:type="page"/>
      </w:r>
    </w:p>
    <w:p>
      <w:pPr>
        <w:pStyle w:val="Titulo1"/>
      </w:pPr>
      <w:r>
        <w:rPr>
          <w:rFonts w:ascii="Tahoma" w:hAnsi="Tahoma" w:cs="Tahoma"/>
          <w:sz w:val="32"/>
          <w:szCs w:val="32"/>
          <w:b/>
          <w:color w:val="1F3864"/>
        </w:rPr>
        <w:t xml:space="preserve">13. Despliegue en producción</w:t>
      </w:r>
    </w:p>
    <w:p>
      <w:pPr>
        <w:pStyle w:val="Titulo2"/>
      </w:pPr>
      <w:r>
        <w:rPr>
          <w:rFonts w:ascii="Tahoma" w:hAnsi="Tahoma" w:cs="Tahoma"/>
          <w:sz w:val="26"/>
          <w:szCs w:val="26"/>
          <w:b/>
          <w:color w:val="2E5C9A"/>
        </w:rPr>
        <w:t xml:space="preserve">13.1 Arquitectura del servidor</w:t>
      </w:r>
    </w:p>
    <w:tbl>
      <w:tblPr>
        <w:tblW w:w="8838" w:type="dxa"/>
        <w:tblBorders>
          <w:left w:val="single" w:sz="18" w:space="0" w:color="2E5C9A"/>
          <w:top w:val="single" w:sz="2" w:space="0" w:color="BFBFBF"/>
          <w:bottom w:val="single" w:sz="2" w:space="0" w:color="BFBFBF"/>
          <w:right w:val="single" w:sz="2" w:space="0" w:color="BFBFBF"/>
        </w:tblBorders>
        <w:tblLayout w:type="fixed"/>
      </w:tblPr>
      <w:tblGrid>
        <w:gridCol w:w="8838"/>
      </w:tblGrid>
      <w:tr>
        <w:tc>
          <w:tcPr>
            <w:tcW w:w="8838" w:type="dxa"/>
            <w:shd w:val="clear" w:color="auto" w:fill="F2F2F2"/>
            <w:tcMar>
              <w:top w:w="100" w:type="dxa"/>
              <w:bottom w:w="100" w:type="dxa"/>
              <w:left w:w="140" w:type="dxa"/>
              <w:right w:w="100" w:type="dxa"/>
            </w:tcMar>
          </w:tcPr>
          <w:p>
            <w:pPr>
              <w:spacing w:before="0" w:after="0" w:line="240" w:lineRule="auto"/>
            </w:pPr>
            <w:r>
              <w:rPr>
                <w:rFonts w:ascii="Consolas" w:hAnsi="Consolas" w:cs="Consolas"/>
                <w:sz w:val="17"/>
                <w:szCs w:val="17"/>
              </w:rPr>
              <w:t xml:space="preserve">Internet / Red interna</w:t>
            </w:r>
          </w:p>
          <w:p>
            <w:pPr>
              <w:spacing w:before="0" w:after="0" w:line="240" w:lineRule="auto"/>
            </w:pPr>
            <w:r>
              <w:rPr>
                <w:rFonts w:ascii="Consolas" w:hAnsi="Consolas" w:cs="Consolas"/>
                <w:sz w:val="17"/>
                <w:szCs w:val="17"/>
              </w:rPr>
              <w:t xml:space="preserve">        |</w:t>
            </w:r>
          </w:p>
          <w:p>
            <w:pPr>
              <w:spacing w:before="0" w:after="0" w:line="240" w:lineRule="auto"/>
            </w:pPr>
            <w:r>
              <w:rPr>
                <w:rFonts w:ascii="Consolas" w:hAnsi="Consolas" w:cs="Consolas"/>
                <w:sz w:val="17"/>
                <w:szCs w:val="17"/>
              </w:rPr>
              <w:t xml:space="preserve">        v</w:t>
            </w:r>
          </w:p>
          <w:p>
            <w:pPr>
              <w:spacing w:before="0" w:after="0" w:line="240" w:lineRule="auto"/>
            </w:pPr>
            <w:r>
              <w:rPr>
                <w:rFonts w:ascii="Consolas" w:hAnsi="Consolas" w:cs="Consolas"/>
                <w:sz w:val="17"/>
                <w:szCs w:val="17"/>
              </w:rPr>
              <w:t xml:space="preserve">   Nginx  :80 / :443        &lt;- proxy inverso, HTTPS, estaticos</w:t>
            </w:r>
          </w:p>
          <w:p>
            <w:pPr>
              <w:spacing w:before="0" w:after="0" w:line="240" w:lineRule="auto"/>
            </w:pPr>
            <w:r>
              <w:rPr>
                <w:rFonts w:ascii="Consolas" w:hAnsi="Consolas" w:cs="Consolas"/>
                <w:sz w:val="17"/>
                <w:szCs w:val="17"/>
              </w:rPr>
              <w:t xml:space="preserve">        |</w:t>
            </w:r>
          </w:p>
          <w:p>
            <w:pPr>
              <w:spacing w:before="0" w:after="0" w:line="240" w:lineRule="auto"/>
            </w:pPr>
            <w:r>
              <w:rPr>
                <w:rFonts w:ascii="Consolas" w:hAnsi="Consolas" w:cs="Consolas"/>
                <w:sz w:val="17"/>
                <w:szCs w:val="17"/>
              </w:rPr>
              <w:t xml:space="preserve">        v</w:t>
            </w:r>
          </w:p>
          <w:p>
            <w:pPr>
              <w:spacing w:before="0" w:after="0" w:line="240" w:lineRule="auto"/>
            </w:pPr>
            <w:r>
              <w:rPr>
                <w:rFonts w:ascii="Consolas" w:hAnsi="Consolas" w:cs="Consolas"/>
                <w:sz w:val="17"/>
                <w:szCs w:val="17"/>
              </w:rPr>
              <w:t xml:space="preserve">   Gunicorn  127.0.0.1:5000 &lt;- servidor WSGI, varios workers</w:t>
            </w:r>
          </w:p>
          <w:p>
            <w:pPr>
              <w:spacing w:before="0" w:after="0" w:line="240" w:lineRule="auto"/>
            </w:pPr>
            <w:r>
              <w:rPr>
                <w:rFonts w:ascii="Consolas" w:hAnsi="Consolas" w:cs="Consolas"/>
                <w:sz w:val="17"/>
                <w:szCs w:val="17"/>
              </w:rPr>
              <w:t xml:space="preserve">        |</w:t>
            </w:r>
          </w:p>
          <w:p>
            <w:pPr>
              <w:spacing w:before="0" w:after="0" w:line="240" w:lineRule="auto"/>
            </w:pPr>
            <w:r>
              <w:rPr>
                <w:rFonts w:ascii="Consolas" w:hAnsi="Consolas" w:cs="Consolas"/>
                <w:sz w:val="17"/>
                <w:szCs w:val="17"/>
              </w:rPr>
              <w:t xml:space="preserve">        v</w:t>
            </w:r>
          </w:p>
          <w:p>
            <w:pPr>
              <w:spacing w:before="0" w:after="0" w:line="240" w:lineRule="auto"/>
            </w:pPr>
            <w:r>
              <w:rPr>
                <w:rFonts w:ascii="Consolas" w:hAnsi="Consolas" w:cs="Consolas"/>
                <w:sz w:val="17"/>
                <w:szCs w:val="17"/>
              </w:rPr>
              <w:t xml:space="preserve">   Flask (app.py)           &lt;- la aplicacion</w:t>
            </w:r>
          </w:p>
        </w:tc>
      </w:tr>
    </w:tbl>
    <w:p>
      <w:pPr>
        <w:spacing w:before="0" w:after="100" w:line="264" w:lineRule="auto"/>
      </w:pPr>
    </w:p>
    <w:p>
      <w:pPr>
        <w:pStyle w:val="Titulo2"/>
      </w:pPr>
      <w:r>
        <w:rPr>
          <w:rFonts w:ascii="Tahoma" w:hAnsi="Tahoma" w:cs="Tahoma"/>
          <w:sz w:val="26"/>
          <w:szCs w:val="26"/>
          <w:b/>
          <w:color w:val="2E5C9A"/>
        </w:rPr>
        <w:t xml:space="preserve">13.2 Configuración de Gunicorn</w:t>
      </w:r>
    </w:p>
    <w:tbl>
      <w:tblPr>
        <w:tblW w:w="8838"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Pr>
      <w:tblGrid>
        <w:gridCol w:w="2400"/>
        <w:gridCol w:w="2000"/>
        <w:gridCol w:w="4438"/>
      </w:tblGrid>
      <w:tr>
        <w:trPr>
          <w:tblHeader/>
        </w:trPr>
        <w:tc>
          <w:tcPr>
            <w:tcW w:w="24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Parámetro</w:t>
            </w:r>
          </w:p>
        </w:tc>
        <w:tc>
          <w:tcPr>
            <w:tcW w:w="20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Valor</w:t>
            </w:r>
          </w:p>
        </w:tc>
        <w:tc>
          <w:tcPr>
            <w:tcW w:w="4438"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Motivo</w:t>
            </w:r>
          </w:p>
        </w:tc>
      </w:tr>
      <w:tr>
        <w:tc>
          <w:tcPr>
            <w:tcW w:w="24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bind</w:t>
            </w:r>
          </w:p>
        </w:tc>
        <w:tc>
          <w:tcPr>
            <w:tcW w:w="2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127.0.0.1:5000</w:t>
            </w:r>
          </w:p>
        </w:tc>
        <w:tc>
          <w:tcPr>
            <w:tcW w:w="44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Solo localhost: Nginx hace de proxy por delante.</w:t>
            </w:r>
          </w:p>
        </w:tc>
      </w:tr>
      <w:tr>
        <w:tc>
          <w:tcPr>
            <w:tcW w:w="24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workers</w:t>
            </w:r>
          </w:p>
        </w:tc>
        <w:tc>
          <w:tcPr>
            <w:tcW w:w="2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núcleos × 2 + 1</w:t>
            </w:r>
          </w:p>
        </w:tc>
        <w:tc>
          <w:tcPr>
            <w:tcW w:w="44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Regla habitual de dimensionamiento.</w:t>
            </w:r>
          </w:p>
        </w:tc>
      </w:tr>
      <w:tr>
        <w:tc>
          <w:tcPr>
            <w:tcW w:w="24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threads</w:t>
            </w:r>
          </w:p>
        </w:tc>
        <w:tc>
          <w:tcPr>
            <w:tcW w:w="2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2</w:t>
            </w:r>
          </w:p>
        </w:tc>
        <w:tc>
          <w:tcPr>
            <w:tcW w:w="44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Hilos por worker.</w:t>
            </w:r>
          </w:p>
        </w:tc>
      </w:tr>
      <w:tr>
        <w:tc>
          <w:tcPr>
            <w:tcW w:w="24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timeout</w:t>
            </w:r>
          </w:p>
        </w:tc>
        <w:tc>
          <w:tcPr>
            <w:tcW w:w="2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180 s</w:t>
            </w:r>
          </w:p>
        </w:tc>
        <w:tc>
          <w:tcPr>
            <w:tcW w:w="44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Las llamadas a la IA sobre documentos grandes superan los 30 s por defecto.</w:t>
            </w:r>
          </w:p>
        </w:tc>
      </w:tr>
      <w:tr>
        <w:tc>
          <w:tcPr>
            <w:tcW w:w="24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max_requests</w:t>
            </w:r>
          </w:p>
        </w:tc>
        <w:tc>
          <w:tcPr>
            <w:tcW w:w="2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200 (± 50)</w:t>
            </w:r>
          </w:p>
        </w:tc>
        <w:tc>
          <w:tcPr>
            <w:tcW w:w="44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Recicla los workers para mitigar fugas de memoria.</w:t>
            </w:r>
          </w:p>
        </w:tc>
      </w:tr>
      <w:tr>
        <w:tc>
          <w:tcPr>
            <w:tcW w:w="24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accesslog / errorlog</w:t>
            </w:r>
          </w:p>
        </w:tc>
        <w:tc>
          <w:tcPr>
            <w:tcW w:w="20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stdout / stderr</w:t>
            </w:r>
          </w:p>
        </w:tc>
        <w:tc>
          <w:tcPr>
            <w:tcW w:w="44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Los captura journald bajo systemd.</w:t>
            </w:r>
          </w:p>
        </w:tc>
      </w:tr>
    </w:tbl>
    <w:p>
      <w:pPr>
        <w:spacing w:before="0" w:after="80" w:line="264" w:lineRule="auto"/>
      </w:pPr>
    </w:p>
    <w:p>
      <w:pPr>
        <w:pStyle w:val="Titulo2"/>
      </w:pPr>
      <w:r>
        <w:rPr>
          <w:rFonts w:ascii="Tahoma" w:hAnsi="Tahoma" w:cs="Tahoma"/>
          <w:sz w:val="26"/>
          <w:szCs w:val="26"/>
          <w:b/>
          <w:color w:val="2E5C9A"/>
        </w:rPr>
        <w:t xml:space="preserve">13.3 Servicio systemd</w:t>
      </w:r>
    </w:p>
    <w:tbl>
      <w:tblPr>
        <w:tblW w:w="8838" w:type="dxa"/>
        <w:tblBorders>
          <w:left w:val="single" w:sz="18" w:space="0" w:color="2E5C9A"/>
          <w:top w:val="single" w:sz="2" w:space="0" w:color="BFBFBF"/>
          <w:bottom w:val="single" w:sz="2" w:space="0" w:color="BFBFBF"/>
          <w:right w:val="single" w:sz="2" w:space="0" w:color="BFBFBF"/>
        </w:tblBorders>
        <w:tblLayout w:type="fixed"/>
      </w:tblPr>
      <w:tblGrid>
        <w:gridCol w:w="8838"/>
      </w:tblGrid>
      <w:tr>
        <w:tc>
          <w:tcPr>
            <w:tcW w:w="8838" w:type="dxa"/>
            <w:shd w:val="clear" w:color="auto" w:fill="F2F2F2"/>
            <w:tcMar>
              <w:top w:w="100" w:type="dxa"/>
              <w:bottom w:w="100" w:type="dxa"/>
              <w:left w:w="140" w:type="dxa"/>
              <w:right w:w="100" w:type="dxa"/>
            </w:tcMar>
          </w:tcPr>
          <w:p>
            <w:pPr>
              <w:spacing w:before="0" w:after="0" w:line="240" w:lineRule="auto"/>
            </w:pPr>
            <w:r>
              <w:rPr>
                <w:rFonts w:ascii="Consolas" w:hAnsi="Consolas" w:cs="Consolas"/>
                <w:sz w:val="17"/>
                <w:szCs w:val="17"/>
              </w:rPr>
              <w:t xml:space="preserve">sudo cp deploy/colvatel.service /etc/systemd/system/</w:t>
            </w:r>
          </w:p>
          <w:p>
            <w:pPr>
              <w:spacing w:before="0" w:after="0" w:line="240" w:lineRule="auto"/>
            </w:pPr>
            <w:r>
              <w:rPr>
                <w:rFonts w:ascii="Consolas" w:hAnsi="Consolas" w:cs="Consolas"/>
                <w:sz w:val="17"/>
                <w:szCs w:val="17"/>
              </w:rPr>
              <w:t xml:space="preserve">sudo systemctl daemon-reload</w:t>
            </w:r>
          </w:p>
          <w:p>
            <w:pPr>
              <w:spacing w:before="0" w:after="0" w:line="240" w:lineRule="auto"/>
            </w:pPr>
            <w:r>
              <w:rPr>
                <w:rFonts w:ascii="Consolas" w:hAnsi="Consolas" w:cs="Consolas"/>
                <w:sz w:val="17"/>
                <w:szCs w:val="17"/>
              </w:rPr>
              <w:t xml:space="preserve">sudo systemctl enable --now colvatel</w:t>
            </w:r>
          </w:p>
          <w:p>
            <w:pPr>
              <w:spacing w:before="0" w:after="0" w:line="240" w:lineRule="auto"/>
            </w:pPr>
          </w:p>
          <w:p>
            <w:pPr>
              <w:spacing w:before="0" w:after="0" w:line="240" w:lineRule="auto"/>
            </w:pPr>
            <w:r>
              <w:rPr>
                <w:rFonts w:ascii="Consolas" w:hAnsi="Consolas" w:cs="Consolas"/>
                <w:sz w:val="17"/>
                <w:szCs w:val="17"/>
              </w:rPr>
              <w:t xml:space="preserve"># Operacion diaria</w:t>
            </w:r>
          </w:p>
          <w:p>
            <w:pPr>
              <w:spacing w:before="0" w:after="0" w:line="240" w:lineRule="auto"/>
            </w:pPr>
            <w:r>
              <w:rPr>
                <w:rFonts w:ascii="Consolas" w:hAnsi="Consolas" w:cs="Consolas"/>
                <w:sz w:val="17"/>
                <w:szCs w:val="17"/>
              </w:rPr>
              <w:t xml:space="preserve">sudo systemctl status|start|stop|restart colvatel</w:t>
            </w:r>
          </w:p>
          <w:p>
            <w:pPr>
              <w:spacing w:before="0" w:after="0" w:line="240" w:lineRule="auto"/>
            </w:pPr>
            <w:r>
              <w:rPr>
                <w:rFonts w:ascii="Consolas" w:hAnsi="Consolas" w:cs="Consolas"/>
                <w:sz w:val="17"/>
                <w:szCs w:val="17"/>
              </w:rPr>
              <w:t xml:space="preserve">journalctl -u colvatel -f          # ver logs en vivo</w:t>
            </w:r>
          </w:p>
        </w:tc>
      </w:tr>
    </w:tbl>
    <w:p>
      <w:pPr>
        <w:spacing w:before="0" w:after="100" w:line="264" w:lineRule="auto"/>
      </w:pPr>
    </w:p>
    <w:p>
      <w:pPr>
        <w:spacing w:before="0" w:after="120" w:line="264" w:lineRule="auto"/>
      </w:pPr>
      <w:r>
        <w:rPr>
          <w:rFonts w:ascii="Tahoma" w:hAnsi="Tahoma" w:cs="Tahoma"/>
          <w:sz w:val="20"/>
          <w:szCs w:val="20"/>
        </w:rPr>
        <w:t xml:space="preserve">El servicio corre bajo un usuario sin privilegios llamado colvatel y aplica blindaje del sistema: NoNewPrivileges, PrivateTmp, ProtectSystem=full y ProtectHome. Si DOCUMENT_STORAGE_ROOT apunta fuera de /opt/colvatel-app, hay que añadir esa ruta con ReadWritePaths.</w:t>
      </w:r>
    </w:p>
    <w:p>
      <w:pPr>
        <w:pStyle w:val="Titulo2"/>
      </w:pPr>
      <w:r>
        <w:rPr>
          <w:rFonts w:ascii="Tahoma" w:hAnsi="Tahoma" w:cs="Tahoma"/>
          <w:sz w:val="26"/>
          <w:szCs w:val="26"/>
          <w:b/>
          <w:color w:val="2E5C9A"/>
        </w:rPr>
        <w:t xml:space="preserve">13.4 Nginx</w:t>
      </w:r>
    </w:p>
    <w:tbl>
      <w:tblPr>
        <w:tblW w:w="8838" w:type="dxa"/>
        <w:tblBorders>
          <w:left w:val="single" w:sz="18" w:space="0" w:color="2E5C9A"/>
          <w:top w:val="single" w:sz="2" w:space="0" w:color="BFBFBF"/>
          <w:bottom w:val="single" w:sz="2" w:space="0" w:color="BFBFBF"/>
          <w:right w:val="single" w:sz="2" w:space="0" w:color="BFBFBF"/>
        </w:tblBorders>
        <w:tblLayout w:type="fixed"/>
      </w:tblPr>
      <w:tblGrid>
        <w:gridCol w:w="8838"/>
      </w:tblGrid>
      <w:tr>
        <w:tc>
          <w:tcPr>
            <w:tcW w:w="8838" w:type="dxa"/>
            <w:shd w:val="clear" w:color="auto" w:fill="F2F2F2"/>
            <w:tcMar>
              <w:top w:w="100" w:type="dxa"/>
              <w:bottom w:w="100" w:type="dxa"/>
              <w:left w:w="140" w:type="dxa"/>
              <w:right w:w="100" w:type="dxa"/>
            </w:tcMar>
          </w:tcPr>
          <w:p>
            <w:pPr>
              <w:spacing w:before="0" w:after="0" w:line="240" w:lineRule="auto"/>
            </w:pPr>
            <w:r>
              <w:rPr>
                <w:rFonts w:ascii="Consolas" w:hAnsi="Consolas" w:cs="Consolas"/>
                <w:sz w:val="17"/>
                <w:szCs w:val="17"/>
              </w:rPr>
              <w:t xml:space="preserve">sudo cp deploy/nginx.conf.example /etc/nginx/sites-available/colvatel</w:t>
            </w:r>
          </w:p>
          <w:p>
            <w:pPr>
              <w:spacing w:before="0" w:after="0" w:line="240" w:lineRule="auto"/>
            </w:pPr>
            <w:r>
              <w:rPr>
                <w:rFonts w:ascii="Consolas" w:hAnsi="Consolas" w:cs="Consolas"/>
                <w:sz w:val="17"/>
                <w:szCs w:val="17"/>
              </w:rPr>
              <w:t xml:space="preserve">sudo nano /etc/nginx/sites-available/colvatel     # ajustar server_name</w:t>
            </w:r>
          </w:p>
          <w:p>
            <w:pPr>
              <w:spacing w:before="0" w:after="0" w:line="240" w:lineRule="auto"/>
            </w:pPr>
            <w:r>
              <w:rPr>
                <w:rFonts w:ascii="Consolas" w:hAnsi="Consolas" w:cs="Consolas"/>
                <w:sz w:val="17"/>
                <w:szCs w:val="17"/>
              </w:rPr>
              <w:t xml:space="preserve">sudo ln -s /etc/nginx/sites-available/colvatel /etc/nginx/sites-enabled/</w:t>
            </w:r>
          </w:p>
          <w:p>
            <w:pPr>
              <w:spacing w:before="0" w:after="0" w:line="240" w:lineRule="auto"/>
            </w:pPr>
            <w:r>
              <w:rPr>
                <w:rFonts w:ascii="Consolas" w:hAnsi="Consolas" w:cs="Consolas"/>
                <w:sz w:val="17"/>
                <w:szCs w:val="17"/>
              </w:rPr>
              <w:t xml:space="preserve">sudo nginx -t &amp;&amp; sudo systemctl reload nginx</w:t>
            </w:r>
          </w:p>
        </w:tc>
      </w:tr>
    </w:tbl>
    <w:p>
      <w:pPr>
        <w:spacing w:before="0" w:after="100" w:line="264" w:lineRule="auto"/>
      </w:pPr>
    </w:p>
    <w:p>
      <w:pPr>
        <w:spacing w:before="0" w:after="120" w:line="264" w:lineRule="auto"/>
      </w:pPr>
      <w:r>
        <w:rPr>
          <w:rFonts w:ascii="Tahoma" w:hAnsi="Tahoma" w:cs="Tahoma"/>
          <w:sz w:val="20"/>
          <w:szCs w:val="20"/>
        </w:rPr>
        <w:t xml:space="preserve">El parámetro client_max_body_size debe estar en 55 MB. Sin él, Nginx rechazaría con error 413 cualquier envío mayor de 1 MB.</w:t>
      </w:r>
    </w:p>
    <w:p>
      <w:r>
        <w:br w:type="page"/>
      </w:r>
    </w:p>
    <w:p>
      <w:pPr>
        <w:pStyle w:val="Titulo1"/>
      </w:pPr>
      <w:r>
        <w:rPr>
          <w:rFonts w:ascii="Tahoma" w:hAnsi="Tahoma" w:cs="Tahoma"/>
          <w:sz w:val="32"/>
          <w:szCs w:val="32"/>
          <w:b/>
          <w:color w:val="1F3864"/>
        </w:rPr>
        <w:t xml:space="preserve">14. Operación y mantenimiento</w:t>
      </w:r>
    </w:p>
    <w:p>
      <w:pPr>
        <w:pStyle w:val="Titulo2"/>
      </w:pPr>
      <w:r>
        <w:rPr>
          <w:rFonts w:ascii="Tahoma" w:hAnsi="Tahoma" w:cs="Tahoma"/>
          <w:sz w:val="26"/>
          <w:szCs w:val="26"/>
          <w:b/>
          <w:color w:val="2E5C9A"/>
        </w:rPr>
        <w:t xml:space="preserve">14.1 Registros</w:t>
      </w:r>
    </w:p>
    <w:p>
      <w:pPr>
        <w:spacing w:before="0" w:after="120" w:line="264" w:lineRule="auto"/>
      </w:pPr>
      <w:r>
        <w:rPr>
          <w:rFonts w:ascii="Tahoma" w:hAnsi="Tahoma" w:cs="Tahoma"/>
          <w:sz w:val="20"/>
          <w:szCs w:val="20"/>
        </w:rPr>
        <w:t xml:space="preserve">La aplicación escribe a la salida estándar, sin archivo de log propio. En desarrollo aparecen en la consola; en producción los recoge journald. Líneas relevantes de cada análisis:</w:t>
      </w:r>
    </w:p>
    <w:tbl>
      <w:tblPr>
        <w:tblW w:w="8838" w:type="dxa"/>
        <w:tblBorders>
          <w:left w:val="single" w:sz="18" w:space="0" w:color="2E5C9A"/>
          <w:top w:val="single" w:sz="2" w:space="0" w:color="BFBFBF"/>
          <w:bottom w:val="single" w:sz="2" w:space="0" w:color="BFBFBF"/>
          <w:right w:val="single" w:sz="2" w:space="0" w:color="BFBFBF"/>
        </w:tblBorders>
        <w:tblLayout w:type="fixed"/>
      </w:tblPr>
      <w:tblGrid>
        <w:gridCol w:w="8838"/>
      </w:tblGrid>
      <w:tr>
        <w:tc>
          <w:tcPr>
            <w:tcW w:w="8838" w:type="dxa"/>
            <w:shd w:val="clear" w:color="auto" w:fill="F2F2F2"/>
            <w:tcMar>
              <w:top w:w="100" w:type="dxa"/>
              <w:bottom w:w="100" w:type="dxa"/>
              <w:left w:w="140" w:type="dxa"/>
              <w:right w:w="100" w:type="dxa"/>
            </w:tcMar>
          </w:tcPr>
          <w:p>
            <w:pPr>
              <w:spacing w:before="0" w:after="0" w:line="240" w:lineRule="auto"/>
            </w:pPr>
            <w:r>
              <w:rPr>
                <w:rFonts w:ascii="Consolas" w:hAnsi="Consolas" w:cs="Consolas"/>
                <w:sz w:val="17"/>
                <w:szCs w:val="17"/>
              </w:rPr>
              <w:t xml:space="preserve">Recorte contrato.pdf   75909 -&gt; 55948 chars (-19961, 26%) | paginas 18 -&gt; 15</w:t>
            </w:r>
          </w:p>
          <w:p>
            <w:pPr>
              <w:spacing w:before="0" w:after="0" w:line="240" w:lineRule="auto"/>
            </w:pPr>
            <w:r>
              <w:rPr>
                <w:rFonts w:ascii="Consolas" w:hAnsi="Consolas" w:cs="Consolas"/>
                <w:sz w:val="17"/>
                <w:szCs w:val="17"/>
              </w:rPr>
              <w:t xml:space="preserve">AHORRO POR RECORTE: -47.084 chars (~13.078 tokens) ...</w:t>
            </w:r>
          </w:p>
          <w:p>
            <w:pPr>
              <w:spacing w:before="0" w:after="0" w:line="240" w:lineRule="auto"/>
            </w:pPr>
            <w:r>
              <w:rPr>
                <w:rFonts w:ascii="Consolas" w:hAnsi="Consolas" w:cs="Consolas"/>
                <w:sz w:val="17"/>
                <w:szCs w:val="17"/>
              </w:rPr>
              <w:t xml:space="preserve">Estimacion previa de entrada: ~18.794 tokens (contrato+polizas)</w:t>
            </w:r>
          </w:p>
          <w:p>
            <w:pPr>
              <w:spacing w:before="0" w:after="0" w:line="240" w:lineRule="auto"/>
            </w:pPr>
            <w:r>
              <w:rPr>
                <w:rFonts w:ascii="Consolas" w:hAnsi="Consolas" w:cs="Consolas"/>
                <w:sz w:val="17"/>
                <w:szCs w:val="17"/>
              </w:rPr>
              <w:t xml:space="preserve">=== INFORME DE CONSUMO ===</w:t>
            </w:r>
          </w:p>
          <w:p>
            <w:pPr>
              <w:spacing w:before="0" w:after="0" w:line="240" w:lineRule="auto"/>
            </w:pPr>
            <w:r>
              <w:rPr>
                <w:rFonts w:ascii="Consolas" w:hAnsi="Consolas" w:cs="Consolas"/>
                <w:sz w:val="17"/>
                <w:szCs w:val="17"/>
              </w:rPr>
              <w:t xml:space="preserve">   Motor            : deepseek (deepseek-ai/deepseek-v4-pro)</w:t>
            </w:r>
          </w:p>
          <w:p>
            <w:pPr>
              <w:spacing w:before="0" w:after="0" w:line="240" w:lineRule="auto"/>
            </w:pPr>
            <w:r>
              <w:rPr>
                <w:rFonts w:ascii="Consolas" w:hAnsi="Consolas" w:cs="Consolas"/>
                <w:sz w:val="17"/>
                <w:szCs w:val="17"/>
              </w:rPr>
              <w:t xml:space="preserve">   Tokens ENTRADA   : ...</w:t>
            </w:r>
          </w:p>
          <w:p>
            <w:pPr>
              <w:spacing w:before="0" w:after="0" w:line="240" w:lineRule="auto"/>
            </w:pPr>
            <w:r>
              <w:rPr>
                <w:rFonts w:ascii="Consolas" w:hAnsi="Consolas" w:cs="Consolas"/>
                <w:sz w:val="17"/>
                <w:szCs w:val="17"/>
              </w:rPr>
              <w:t xml:space="preserve">   Tokens SALIDA    : ...</w:t>
            </w:r>
          </w:p>
          <w:p>
            <w:pPr>
              <w:spacing w:before="0" w:after="0" w:line="240" w:lineRule="auto"/>
            </w:pPr>
            <w:r>
              <w:rPr>
                <w:rFonts w:ascii="Consolas" w:hAnsi="Consolas" w:cs="Consolas"/>
                <w:sz w:val="17"/>
                <w:szCs w:val="17"/>
              </w:rPr>
              <w:t xml:space="preserve">   Tokens TOTAL     : ...</w:t>
            </w:r>
          </w:p>
        </w:tc>
      </w:tr>
    </w:tbl>
    <w:p>
      <w:pPr>
        <w:spacing w:before="0" w:after="100" w:line="264" w:lineRule="auto"/>
      </w:pPr>
    </w:p>
    <w:p>
      <w:pPr>
        <w:pStyle w:val="Titulo2"/>
      </w:pPr>
      <w:r>
        <w:rPr>
          <w:rFonts w:ascii="Tahoma" w:hAnsi="Tahoma" w:cs="Tahoma"/>
          <w:sz w:val="26"/>
          <w:szCs w:val="26"/>
          <w:b/>
          <w:color w:val="2E5C9A"/>
        </w:rPr>
        <w:t xml:space="preserve">14.2 Diagnóstico de problemas frecuentes</w:t>
      </w:r>
    </w:p>
    <w:tbl>
      <w:tblPr>
        <w:tblW w:w="8838"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Pr>
      <w:tblGrid>
        <w:gridCol w:w="2800"/>
        <w:gridCol w:w="6038"/>
      </w:tblGrid>
      <w:tr>
        <w:trPr>
          <w:tblHeader/>
        </w:trPr>
        <w:tc>
          <w:tcPr>
            <w:tcW w:w="2800"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Síntoma</w:t>
            </w:r>
          </w:p>
        </w:tc>
        <w:tc>
          <w:tcPr>
            <w:tcW w:w="6038" w:type="dxa"/>
            <w:shd w:val="clear" w:color="auto" w:fill="D9E2F3"/>
            <w:tcMar>
              <w:top w:w="60" w:type="dxa"/>
              <w:bottom w:w="60" w:type="dxa"/>
              <w:left w:w="90" w:type="dxa"/>
              <w:right w:w="90" w:type="dxa"/>
            </w:tcMar>
            <w:vAlign w:val="center"/>
          </w:tcPr>
          <w:p>
            <w:pPr>
              <w:spacing w:before="20" w:after="20" w:line="240" w:lineRule="auto"/>
            </w:pPr>
            <w:r>
              <w:rPr>
                <w:rFonts w:ascii="Tahoma" w:hAnsi="Tahoma" w:cs="Tahoma"/>
                <w:sz w:val="18"/>
                <w:szCs w:val="18"/>
                <w:b/>
                <w:color w:val="1F3864"/>
              </w:rPr>
              <w:t xml:space="preserve">Causa y solución</w:t>
            </w:r>
          </w:p>
        </w:tc>
      </w:tr>
      <w:tr>
        <w:tc>
          <w:tcPr>
            <w:tcW w:w="28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401 «falta o no coincide la cabecera X-Internal-Key»</w:t>
            </w:r>
          </w:p>
        </w:tc>
        <w:tc>
          <w:tcPr>
            <w:tcW w:w="60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Se accedió al motor sin pasar por el proxy de ColvaContratos. Entrar por ColvaContratos, o vaciar INTERNAL_API_KEY para uso local.</w:t>
            </w:r>
          </w:p>
        </w:tc>
      </w:tr>
      <w:tr>
        <w:tc>
          <w:tcPr>
            <w:tcW w:w="28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«No se pudo extraer texto»</w:t>
            </w:r>
          </w:p>
        </w:tc>
        <w:tc>
          <w:tcPr>
            <w:tcW w:w="60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El PDF es una imagen escaneada sin capa de texto. Requiere OCR previo.</w:t>
            </w:r>
          </w:p>
        </w:tc>
      </w:tr>
      <w:tr>
        <w:tc>
          <w:tcPr>
            <w:tcW w:w="28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429 en Gemini</w:t>
            </w:r>
          </w:p>
        </w:tc>
        <w:tc>
          <w:tcPr>
            <w:tcW w:w="60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Superado el tope de 16.000 tokens por minuto del tier gratuito. Esperar, cambiar de motor o activar facturación.</w:t>
            </w:r>
          </w:p>
        </w:tc>
      </w:tr>
      <w:tr>
        <w:tc>
          <w:tcPr>
            <w:tcW w:w="28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402 en OpenRouter</w:t>
            </w:r>
          </w:p>
        </w:tc>
        <w:tc>
          <w:tcPr>
            <w:tcW w:w="60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Saldo insuficiente frente al tope max_tokens reservado. Recargar o bajar el tope.</w:t>
            </w:r>
          </w:p>
        </w:tc>
      </w:tr>
      <w:tr>
        <w:tc>
          <w:tcPr>
            <w:tcW w:w="28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Faltan amparos en el resultado</w:t>
            </w:r>
          </w:p>
        </w:tc>
        <w:tc>
          <w:tcPr>
            <w:tcW w:w="60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La respuesta se truncó. El log lo indica con finish_reason=length. Subir el tope de tokens del motor.</w:t>
            </w:r>
          </w:p>
        </w:tc>
      </w:tr>
      <w:tr>
        <w:tc>
          <w:tcPr>
            <w:tcW w:w="2800"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Los cambios en el código no surten efecto</w:t>
            </w:r>
          </w:p>
        </w:tc>
        <w:tc>
          <w:tcPr>
            <w:tcW w:w="6038" w:type="dxa"/>
            <w:tcMar>
              <w:top w:w="60" w:type="dxa"/>
              <w:bottom w:w="60" w:type="dxa"/>
              <w:left w:w="90" w:type="dxa"/>
              <w:right w:w="90" w:type="dxa"/>
            </w:tcMar>
            <w:vAlign w:val="center"/>
          </w:tcPr>
          <w:p>
            <w:pPr>
              <w:spacing w:before="20" w:after="20" w:line="240" w:lineRule="auto"/>
            </w:pPr>
            <w:r>
              <w:rPr>
                <w:rFonts w:ascii="Tahoma" w:hAnsi="Tahoma" w:cs="Tahoma"/>
                <w:sz w:val="18"/>
                <w:szCs w:val="18"/>
              </w:rPr>
              <w:t xml:space="preserve">El proceso mantiene en memoria la versión anterior. Reiniciar el servicio.</w:t>
            </w:r>
          </w:p>
        </w:tc>
      </w:tr>
    </w:tbl>
    <w:p>
      <w:pPr>
        <w:spacing w:before="0" w:after="80" w:line="264" w:lineRule="auto"/>
      </w:pPr>
    </w:p>
    <w:p>
      <w:pPr>
        <w:pStyle w:val="Titulo2"/>
      </w:pPr>
      <w:r>
        <w:rPr>
          <w:rFonts w:ascii="Tahoma" w:hAnsi="Tahoma" w:cs="Tahoma"/>
          <w:sz w:val="26"/>
          <w:szCs w:val="26"/>
          <w:b/>
          <w:color w:val="2E5C9A"/>
        </w:rPr>
        <w:t xml:space="preserve">14.3 Mantenimiento periódico</w:t>
      </w:r>
    </w:p>
    <w:p>
      <w:pPr>
        <w:numPr>
          <w:ilvl w:val="0"/>
          <w:numId w:val="1"/>
        </w:numPr>
        <w:spacing w:after="60" w:line="264" w:lineRule="auto"/>
      </w:pPr>
      <w:r>
        <w:rPr>
          <w:rFonts w:ascii="Tahoma" w:hAnsi="Tahoma" w:cs="Tahoma"/>
          <w:sz w:val="20"/>
          <w:szCs w:val="20"/>
        </w:rPr>
        <w:t xml:space="preserve">Revisar el crecimiento de var/documentos_hist: cada análisis almacena los archivos originales cifrados.</w:t>
      </w:r>
    </w:p>
    <w:p>
      <w:pPr>
        <w:numPr>
          <w:ilvl w:val="0"/>
          <w:numId w:val="1"/>
        </w:numPr>
        <w:spacing w:after="60" w:line="264" w:lineRule="auto"/>
      </w:pPr>
      <w:r>
        <w:rPr>
          <w:rFonts w:ascii="Tahoma" w:hAnsi="Tahoma" w:cs="Tahoma"/>
          <w:sz w:val="20"/>
          <w:szCs w:val="20"/>
        </w:rPr>
        <w:t xml:space="preserve">Ejecutar tools/verificar_recorte.py cuando se incorporen documentos de una aseguradora nueva o una minuta de contrato distinta.</w:t>
      </w:r>
    </w:p>
    <w:p>
      <w:pPr>
        <w:numPr>
          <w:ilvl w:val="0"/>
          <w:numId w:val="1"/>
        </w:numPr>
        <w:spacing w:after="60" w:line="264" w:lineRule="auto"/>
      </w:pPr>
      <w:r>
        <w:rPr>
          <w:rFonts w:ascii="Tahoma" w:hAnsi="Tahoma" w:cs="Tahoma"/>
          <w:sz w:val="20"/>
          <w:szCs w:val="20"/>
        </w:rPr>
        <w:t xml:space="preserve">Actualizar el Manual de Contratación cuando cambien los porcentajes o las vigencias exigidas, y verificar los parámetros extraídos antes de activarlo.</w:t>
      </w:r>
    </w:p>
    <w:p>
      <w:pPr>
        <w:numPr>
          <w:ilvl w:val="0"/>
          <w:numId w:val="1"/>
        </w:numPr>
        <w:spacing w:after="60" w:line="264" w:lineRule="auto"/>
      </w:pPr>
      <w:r>
        <w:rPr>
          <w:rFonts w:ascii="Tahoma" w:hAnsi="Tahoma" w:cs="Tahoma"/>
          <w:sz w:val="20"/>
          <w:szCs w:val="20"/>
        </w:rPr>
        <w:t xml:space="preserve">Congelar las versiones de las dependencias tras validar una actualización: pip freeze &gt; requirements.lock</w:t>
      </w:r>
    </w:p>
    <w:p>
      <w:r>
        <w:br w:type="page"/>
      </w:r>
    </w:p>
    <w:p>
      <w:pPr>
        <w:pStyle w:val="Titulo1"/>
      </w:pPr>
      <w:r>
        <w:rPr>
          <w:rFonts w:ascii="Tahoma" w:hAnsi="Tahoma" w:cs="Tahoma"/>
          <w:sz w:val="32"/>
          <w:szCs w:val="32"/>
          <w:b/>
          <w:color w:val="1F3864"/>
        </w:rPr>
        <w:t xml:space="preserve">15. Limitaciones conocidas</w:t>
      </w:r>
    </w:p>
    <w:p>
      <w:pPr>
        <w:pStyle w:val="Titulo2"/>
      </w:pPr>
      <w:r>
        <w:rPr>
          <w:rFonts w:ascii="Tahoma" w:hAnsi="Tahoma" w:cs="Tahoma"/>
          <w:sz w:val="26"/>
          <w:szCs w:val="26"/>
          <w:b/>
          <w:color w:val="2E5C9A"/>
        </w:rPr>
        <w:t xml:space="preserve">15.1 Documentos escaneados</w:t>
      </w:r>
    </w:p>
    <w:p>
      <w:pPr>
        <w:spacing w:before="0" w:after="120" w:line="264" w:lineRule="auto"/>
      </w:pPr>
      <w:r>
        <w:rPr>
          <w:rFonts w:ascii="Tahoma" w:hAnsi="Tahoma" w:cs="Tahoma"/>
          <w:sz w:val="20"/>
          <w:szCs w:val="20"/>
        </w:rPr>
        <w:t xml:space="preserve">Ni pdfplumber ni ninguna alternativa de extracción de texto puede leer un PDF cuyo contenido sea una imagen. Se han verificado pólizas en las que el 94 % de la página es una imagen superpuesta a la plantilla, con el cuadro de amparos dentro del píxel: sus valores y vigencias resultan invisibles para el sistema. Resolverlo exige OCR o un modelo con capacidad de visión.</w:t>
      </w:r>
    </w:p>
    <w:p>
      <w:pPr>
        <w:pStyle w:val="Titulo2"/>
      </w:pPr>
      <w:r>
        <w:rPr>
          <w:rFonts w:ascii="Tahoma" w:hAnsi="Tahoma" w:cs="Tahoma"/>
          <w:sz w:val="26"/>
          <w:szCs w:val="26"/>
          <w:b/>
          <w:color w:val="2E5C9A"/>
        </w:rPr>
        <w:t xml:space="preserve">15.2 Calidad del texto reconocido</w:t>
      </w:r>
    </w:p>
    <w:p>
      <w:pPr>
        <w:spacing w:before="0" w:after="120" w:line="264" w:lineRule="auto"/>
      </w:pPr>
      <w:r>
        <w:rPr>
          <w:rFonts w:ascii="Tahoma" w:hAnsi="Tahoma" w:cs="Tahoma"/>
          <w:sz w:val="20"/>
          <w:szCs w:val="20"/>
        </w:rPr>
        <w:t xml:space="preserve">Algunas pólizas incorporan una capa de texto proveniente de un OCR de baja calidad, con resultados como «VIGENCIA DESOe» o «PLAN D£ PAGO». Un analizador determinista se rompe ante esas cadenas; el modelo de lenguaje las interpreta sin dificultad. Es una de las razones por las que el sistema emplea Inteligencia Artificial en la etapa de extracción.</w:t>
      </w:r>
    </w:p>
    <w:p>
      <w:pPr>
        <w:pStyle w:val="Titulo2"/>
      </w:pPr>
      <w:r>
        <w:rPr>
          <w:rFonts w:ascii="Tahoma" w:hAnsi="Tahoma" w:cs="Tahoma"/>
          <w:sz w:val="26"/>
          <w:szCs w:val="26"/>
          <w:b/>
          <w:color w:val="2E5C9A"/>
        </w:rPr>
        <w:t xml:space="preserve">15.3 Rescate del amparo de salarios</w:t>
      </w:r>
    </w:p>
    <w:p>
      <w:pPr>
        <w:spacing w:before="0" w:after="120" w:line="264" w:lineRule="auto"/>
      </w:pPr>
      <w:r>
        <w:rPr>
          <w:rFonts w:ascii="Tahoma" w:hAnsi="Tahoma" w:cs="Tahoma"/>
          <w:sz w:val="20"/>
          <w:szCs w:val="20"/>
        </w:rPr>
        <w:t xml:space="preserve">Cuando el modelo deja el amparo de salarios sin valor, el sistema intenta rescatarlo buscando en el texto de la póliza una cifra próxima al 5 % del contrato. Esa búsqueda puede seleccionar números que no son montos — se han identificado casos con un teléfono y con un número de transacción. Las advertencias que genera esa vía deben revisarse manualmente.</w:t>
      </w:r>
    </w:p>
    <w:p>
      <w:pPr>
        <w:pStyle w:val="Titulo2"/>
      </w:pPr>
      <w:r>
        <w:rPr>
          <w:rFonts w:ascii="Tahoma" w:hAnsi="Tahoma" w:cs="Tahoma"/>
          <w:sz w:val="26"/>
          <w:szCs w:val="26"/>
          <w:b/>
          <w:color w:val="2E5C9A"/>
        </w:rPr>
        <w:t xml:space="preserve">15.4 Entorno virtual</w:t>
      </w:r>
    </w:p>
    <w:p>
      <w:pPr>
        <w:spacing w:before="0" w:after="120" w:line="264" w:lineRule="auto"/>
      </w:pPr>
      <w:r>
        <w:rPr>
          <w:rFonts w:ascii="Tahoma" w:hAnsi="Tahoma" w:cs="Tahoma"/>
          <w:sz w:val="20"/>
          <w:szCs w:val="20"/>
        </w:rPr>
        <w:t xml:space="preserve">El proyecto usa el Python del sistema. Una actualización de dependencias motivada por otro proyecto de la misma máquina puede alterar el comportamiento del motor sin aviso. Ver el capítulo 5.</w:t>
      </w:r>
    </w:p>
    <w:p>
      <w:pPr>
        <w:spacing w:before="400" w:after="60" w:line="264" w:lineRule="auto"/>
      </w:pPr>
    </w:p>
    <w:p>
      <w:pPr>
        <w:jc w:val="center"/>
        <w:spacing w:before="0" w:after="20" w:line="264" w:lineRule="auto"/>
      </w:pPr>
      <w:r>
        <w:rPr>
          <w:rFonts w:ascii="Tahoma" w:hAnsi="Tahoma" w:cs="Tahoma"/>
          <w:sz w:val="18"/>
          <w:szCs w:val="18"/>
          <w:color w:val="808080"/>
        </w:rPr>
        <w:t xml:space="preserve">Manual Técnico · Agente de Aprobación de Pólizas · Colvatel S.A. E.S.P.</w:t>
      </w:r>
    </w:p>
    <w:p>
      <w:pPr>
        <w:jc w:val="center"/>
        <w:spacing w:before="0" w:after="120" w:line="264" w:lineRule="auto"/>
      </w:pPr>
      <w:r>
        <w:rPr>
          <w:rFonts w:ascii="Tahoma" w:hAnsi="Tahoma" w:cs="Tahoma"/>
          <w:sz w:val="18"/>
          <w:szCs w:val="18"/>
          <w:color w:val="808080"/>
        </w:rPr>
        <w:t xml:space="preserve">Versión 2.0 — 31 de julio de 2026</w:t>
      </w:r>
    </w:p>
    <w:sectPr w:rsidR="0009669E" w:rsidRPr="0009669E">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0167EC" w14:textId="77777777" w:rsidR="00D954F3" w:rsidRDefault="00D954F3" w:rsidP="00582D9F">
      <w:pPr>
        <w:spacing w:after="0" w:line="240" w:lineRule="auto"/>
      </w:pPr>
      <w:r>
        <w:separator/>
      </w:r>
    </w:p>
  </w:endnote>
  <w:endnote w:type="continuationSeparator" w:id="0">
    <w:p w14:paraId="4A8391CC" w14:textId="77777777" w:rsidR="00D954F3" w:rsidRDefault="00D954F3" w:rsidP="00582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6B9D60" w14:textId="1BF82708" w:rsidR="00AA6B29" w:rsidRDefault="005C05BF" w:rsidP="00AA6B29">
    <w:pPr>
      <w:pStyle w:val="Piedepgina"/>
      <w:jc w:val="right"/>
      <w:rPr>
        <w:rFonts w:cs="Tahoma"/>
        <w:sz w:val="18"/>
      </w:rPr>
    </w:pPr>
    <w:r w:rsidRPr="00582D9F">
      <w:rPr>
        <w:rFonts w:cs="Tahoma"/>
        <w:noProof/>
        <w:sz w:val="18"/>
        <w:lang w:eastAsia="es-CO"/>
      </w:rPr>
      <w:drawing>
        <wp:anchor distT="0" distB="0" distL="114300" distR="114300" simplePos="0" relativeHeight="251656704" behindDoc="0" locked="0" layoutInCell="1" allowOverlap="1" wp14:anchorId="566B9D6C" wp14:editId="19FE2D8F">
          <wp:simplePos x="0" y="0"/>
          <wp:positionH relativeFrom="leftMargin">
            <wp:align>right</wp:align>
          </wp:positionH>
          <wp:positionV relativeFrom="paragraph">
            <wp:posOffset>-5715</wp:posOffset>
          </wp:positionV>
          <wp:extent cx="631190" cy="847725"/>
          <wp:effectExtent l="0" t="0" r="0" b="0"/>
          <wp:wrapThrough wrapText="bothSides">
            <wp:wrapPolygon edited="0">
              <wp:start x="3260" y="0"/>
              <wp:lineTo x="1304" y="2427"/>
              <wp:lineTo x="652" y="16503"/>
              <wp:lineTo x="1956" y="20872"/>
              <wp:lineTo x="18905" y="20872"/>
              <wp:lineTo x="20209" y="16503"/>
              <wp:lineTo x="19557" y="2427"/>
              <wp:lineTo x="18254" y="0"/>
              <wp:lineTo x="3260" y="0"/>
            </wp:wrapPolygon>
          </wp:wrapThrough>
          <wp:docPr id="4" name="Imagen 4" descr="C:\Users\estefany.finoh\AppData\Local\Microsoft\Windows\INetCache\Content.Outlook\X508ADV9\ISO 9001 B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stefany.finoh\AppData\Local\Microsoft\Windows\INetCache\Content.Outlook\X508ADV9\ISO 9001 BN.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31190" cy="847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B4223">
      <w:rPr>
        <w:rFonts w:cs="Tahoma"/>
        <w:noProof/>
        <w:sz w:val="18"/>
        <w:lang w:eastAsia="es-CO"/>
      </w:rPr>
      <w:drawing>
        <wp:anchor distT="0" distB="0" distL="114300" distR="114300" simplePos="0" relativeHeight="251660800" behindDoc="0" locked="0" layoutInCell="1" allowOverlap="1" wp14:anchorId="5EABD49F" wp14:editId="7106D850">
          <wp:simplePos x="0" y="0"/>
          <wp:positionH relativeFrom="column">
            <wp:posOffset>91440</wp:posOffset>
          </wp:positionH>
          <wp:positionV relativeFrom="paragraph">
            <wp:posOffset>51435</wp:posOffset>
          </wp:positionV>
          <wp:extent cx="666750" cy="666750"/>
          <wp:effectExtent l="0" t="0" r="0" b="0"/>
          <wp:wrapThrough wrapText="bothSides">
            <wp:wrapPolygon edited="0">
              <wp:start x="5554" y="0"/>
              <wp:lineTo x="0" y="3703"/>
              <wp:lineTo x="0" y="15429"/>
              <wp:lineTo x="3086" y="19749"/>
              <wp:lineTo x="5554" y="20983"/>
              <wp:lineTo x="15429" y="20983"/>
              <wp:lineTo x="17897" y="19749"/>
              <wp:lineTo x="20983" y="15429"/>
              <wp:lineTo x="20983" y="3703"/>
              <wp:lineTo x="15429" y="0"/>
              <wp:lineTo x="5554" y="0"/>
            </wp:wrapPolygon>
          </wp:wrapThrough>
          <wp:docPr id="1" name="Imagen 1" descr="C:\Users\estefany.finoh.COLVATEL\AppData\Local\Temp\Temp1_LOGO IQNET PARA CLIENTES 2022 (002).zip\RGB (digitales)\AF CERT_MARKS_BLACK_POSITIVE_IQNET_Assoc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efany.finoh.COLVATEL\AppData\Local\Temp\Temp1_LOGO IQNET PARA CLIENTES 2022 (002).zip\RGB (digitales)\AF CERT_MARKS_BLACK_POSITIVE_IQNET_Assoc_RGB.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5037">
      <w:rPr>
        <w:rFonts w:cs="Tahoma"/>
        <w:sz w:val="18"/>
      </w:rPr>
      <w:t xml:space="preserve">                       </w:t>
    </w:r>
  </w:p>
  <w:p w14:paraId="566B9D61" w14:textId="45AA06ED" w:rsidR="00AA6B29" w:rsidRPr="00AA6B29" w:rsidRDefault="0009669E" w:rsidP="00AA6B29">
    <w:pPr>
      <w:pStyle w:val="Piedepgina"/>
      <w:jc w:val="right"/>
      <w:rPr>
        <w:rFonts w:cs="Tahoma"/>
        <w:sz w:val="18"/>
      </w:rPr>
    </w:pPr>
    <w:r>
      <w:rPr>
        <w:rFonts w:cs="Tahoma"/>
        <w:sz w:val="18"/>
        <w:szCs w:val="18"/>
        <w:lang w:val="es-MX"/>
      </w:rPr>
      <w:t xml:space="preserve">    </w:t>
    </w:r>
    <w:r w:rsidR="00AA6B29">
      <w:rPr>
        <w:rFonts w:cs="Tahoma"/>
        <w:sz w:val="18"/>
        <w:szCs w:val="18"/>
        <w:lang w:val="es-MX"/>
      </w:rPr>
      <w:t xml:space="preserve">  </w:t>
    </w:r>
    <w:r w:rsidR="00AA6B29" w:rsidRPr="00BB7644">
      <w:rPr>
        <w:rFonts w:cs="Tahoma"/>
        <w:sz w:val="18"/>
        <w:szCs w:val="18"/>
        <w:lang w:val="es-MX"/>
      </w:rPr>
      <w:t>Compañía Colombiana de Servicios de Valor Agregado y Telemáticos S.A E.</w:t>
    </w:r>
    <w:r w:rsidR="009040F6">
      <w:rPr>
        <w:rFonts w:cs="Tahoma"/>
        <w:sz w:val="18"/>
        <w:szCs w:val="18"/>
        <w:lang w:val="es-MX"/>
      </w:rPr>
      <w:t>S.</w:t>
    </w:r>
    <w:r w:rsidR="009040F6" w:rsidRPr="00BB7644">
      <w:rPr>
        <w:rFonts w:cs="Tahoma"/>
        <w:sz w:val="18"/>
        <w:szCs w:val="18"/>
        <w:lang w:val="es-MX"/>
      </w:rPr>
      <w:t>P</w:t>
    </w:r>
    <w:r w:rsidR="001D04F1">
      <w:rPr>
        <w:rFonts w:cs="Tahoma"/>
        <w:sz w:val="18"/>
        <w:szCs w:val="18"/>
        <w:lang w:val="es-MX"/>
      </w:rPr>
      <w:t>.</w:t>
    </w:r>
  </w:p>
  <w:p w14:paraId="566B9D62" w14:textId="2D067B2B" w:rsidR="00AA6B29" w:rsidRPr="00BB7644" w:rsidRDefault="00906BE6" w:rsidP="00AA6B29">
    <w:pPr>
      <w:spacing w:after="0"/>
      <w:jc w:val="right"/>
      <w:rPr>
        <w:rFonts w:cs="Tahoma"/>
        <w:sz w:val="18"/>
        <w:szCs w:val="18"/>
      </w:rPr>
    </w:pPr>
    <w:r>
      <w:rPr>
        <w:rFonts w:cs="Tahoma"/>
        <w:sz w:val="18"/>
        <w:szCs w:val="18"/>
      </w:rPr>
      <w:t>Car</w:t>
    </w:r>
    <w:r w:rsidR="007E11C8">
      <w:rPr>
        <w:rFonts w:cs="Tahoma"/>
        <w:sz w:val="18"/>
        <w:szCs w:val="18"/>
      </w:rPr>
      <w:t>rera 52 N° 44c – 55 Sede Principal</w:t>
    </w:r>
    <w:r>
      <w:rPr>
        <w:rFonts w:cs="Tahoma"/>
        <w:sz w:val="18"/>
        <w:szCs w:val="18"/>
      </w:rPr>
      <w:t xml:space="preserve"> Colvatel</w:t>
    </w:r>
  </w:p>
  <w:p w14:paraId="566B9D63" w14:textId="5A1C8C10" w:rsidR="00AA6B29" w:rsidRPr="00BB7644" w:rsidRDefault="00AA6B29" w:rsidP="00AA6B29">
    <w:pPr>
      <w:spacing w:after="0"/>
      <w:jc w:val="right"/>
      <w:rPr>
        <w:rFonts w:cs="Tahoma"/>
        <w:sz w:val="18"/>
        <w:szCs w:val="18"/>
        <w:lang w:val="es-MX"/>
      </w:rPr>
    </w:pPr>
    <w:r w:rsidRPr="00BB7644">
      <w:rPr>
        <w:rFonts w:cs="Tahoma"/>
        <w:sz w:val="18"/>
        <w:szCs w:val="18"/>
      </w:rPr>
      <w:t>PBX: (601) 438 7000 – Bogotá D.C. Colombia</w:t>
    </w:r>
    <w:r w:rsidRPr="00BB7644">
      <w:rPr>
        <w:rFonts w:cs="Tahoma"/>
        <w:sz w:val="18"/>
        <w:szCs w:val="18"/>
        <w:lang w:val="es-MX"/>
      </w:rPr>
      <w:t xml:space="preserve"> </w:t>
    </w:r>
  </w:p>
  <w:p w14:paraId="566B9D64" w14:textId="295C1405" w:rsidR="00AA6B29" w:rsidRPr="00BB7644" w:rsidRDefault="00AA6B29" w:rsidP="00AA6B29">
    <w:pPr>
      <w:spacing w:after="0"/>
      <w:jc w:val="right"/>
      <w:rPr>
        <w:rFonts w:cs="Tahoma"/>
        <w:sz w:val="18"/>
        <w:szCs w:val="18"/>
        <w:lang w:val="es-MX"/>
      </w:rPr>
    </w:pPr>
    <w:r w:rsidRPr="00BB7644">
      <w:rPr>
        <w:rFonts w:cs="Tahoma"/>
        <w:sz w:val="18"/>
        <w:szCs w:val="18"/>
        <w:lang w:val="es-MX"/>
      </w:rPr>
      <w:t>www.colvatel.com.co</w:t>
    </w:r>
  </w:p>
  <w:p w14:paraId="566B9D65" w14:textId="143628EB" w:rsidR="00E05037" w:rsidRDefault="005C05BF">
    <w:pPr>
      <w:pStyle w:val="Piedepgina"/>
    </w:pPr>
    <w:r w:rsidRPr="000E45C7">
      <w:rPr>
        <w:rFonts w:cs="Tahoma"/>
        <w:noProof/>
        <w:sz w:val="18"/>
        <w:lang w:eastAsia="es-CO"/>
      </w:rPr>
      <mc:AlternateContent>
        <mc:Choice Requires="wps">
          <w:drawing>
            <wp:anchor distT="45720" distB="45720" distL="114300" distR="114300" simplePos="0" relativeHeight="251658752" behindDoc="0" locked="0" layoutInCell="1" allowOverlap="1" wp14:anchorId="566B9D6E" wp14:editId="2D47E760">
              <wp:simplePos x="0" y="0"/>
              <wp:positionH relativeFrom="column">
                <wp:posOffset>-1428750</wp:posOffset>
              </wp:positionH>
              <wp:positionV relativeFrom="paragraph">
                <wp:posOffset>63500</wp:posOffset>
              </wp:positionV>
              <wp:extent cx="2360930" cy="1404620"/>
              <wp:effectExtent l="0" t="0" r="3175" b="12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66B9D70" w14:textId="11FFF9DE" w:rsidR="00E05037" w:rsidRPr="001C6CCE" w:rsidRDefault="00E05037" w:rsidP="000E45C7">
                          <w:pPr>
                            <w:jc w:val="center"/>
                            <w:rPr>
                              <w:rFonts w:cs="Tahoma"/>
                              <w:sz w:val="12"/>
                              <w:szCs w:val="10"/>
                            </w:rPr>
                          </w:pPr>
                          <w:r w:rsidRPr="001C6CCE">
                            <w:rPr>
                              <w:rFonts w:cs="Tahoma"/>
                              <w:sz w:val="12"/>
                              <w:szCs w:val="10"/>
                            </w:rPr>
                            <w:t>SC6866-1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66B9D6E" id="_x0000_t202" coordsize="21600,21600" o:spt="202" path="m,l,21600r21600,l21600,xe">
              <v:stroke joinstyle="miter"/>
              <v:path gradientshapeok="t" o:connecttype="rect"/>
            </v:shapetype>
            <v:shape id="Cuadro de texto 2" o:spid="_x0000_s1026" type="#_x0000_t202" style="position:absolute;margin-left:-112.5pt;margin-top:5pt;width:185.9pt;height:110.6pt;z-index:2516587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" stroked="f">
              <v:textbox style="mso-fit-shape-to-text:t">
                <w:txbxContent>
                  <w:p w14:paraId="566B9D70" w14:textId="11FFF9DE" w:rsidR="00E05037" w:rsidRPr="001C6CCE" w:rsidRDefault="00E05037" w:rsidP="000E45C7">
                    <w:pPr>
                      <w:jc w:val="center"/>
                      <w:rPr>
                        <w:rFonts w:cs="Tahoma"/>
                        <w:sz w:val="12"/>
                        <w:szCs w:val="10"/>
                      </w:rPr>
                    </w:pPr>
                    <w:r w:rsidRPr="001C6CCE">
                      <w:rPr>
                        <w:rFonts w:cs="Tahoma"/>
                        <w:sz w:val="12"/>
                        <w:szCs w:val="10"/>
                      </w:rPr>
                      <w:t>SC6866-1</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2FEB57" w14:textId="77777777" w:rsidR="00D954F3" w:rsidRDefault="00D954F3" w:rsidP="00582D9F">
      <w:pPr>
        <w:spacing w:after="0" w:line="240" w:lineRule="auto"/>
      </w:pPr>
      <w:r>
        <w:separator/>
      </w:r>
    </w:p>
  </w:footnote>
  <w:footnote w:type="continuationSeparator" w:id="0">
    <w:p w14:paraId="65063E41" w14:textId="77777777" w:rsidR="00D954F3" w:rsidRDefault="00D954F3" w:rsidP="00582D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6B9D5E" w14:textId="0EDA3AEB" w:rsidR="00E05037" w:rsidRDefault="007E11C8">
    <w:pPr>
      <w:pStyle w:val="Encabezado"/>
    </w:pPr>
    <w:r>
      <w:rPr>
        <w:noProof/>
        <w:lang w:eastAsia="es-CO"/>
      </w:rPr>
      <w:drawing>
        <wp:anchor distT="0" distB="0" distL="114300" distR="114300" simplePos="0" relativeHeight="251661824" behindDoc="0" locked="0" layoutInCell="1" allowOverlap="1" wp14:anchorId="28D4DD74" wp14:editId="031D6EB9">
          <wp:simplePos x="0" y="0"/>
          <wp:positionH relativeFrom="column">
            <wp:posOffset>4018915</wp:posOffset>
          </wp:positionH>
          <wp:positionV relativeFrom="paragraph">
            <wp:posOffset>-49530</wp:posOffset>
          </wp:positionV>
          <wp:extent cx="2063750" cy="490855"/>
          <wp:effectExtent l="0" t="0" r="0" b="4445"/>
          <wp:wrapThrough wrapText="bothSides">
            <wp:wrapPolygon edited="0">
              <wp:start x="1396" y="0"/>
              <wp:lineTo x="0" y="5868"/>
              <wp:lineTo x="0" y="19281"/>
              <wp:lineTo x="5782" y="20957"/>
              <wp:lineTo x="21334" y="20957"/>
              <wp:lineTo x="21334" y="12574"/>
              <wp:lineTo x="5782" y="0"/>
              <wp:lineTo x="1396"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curso 1logo_colvatel_nuevo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63750" cy="490855"/>
                  </a:xfrm>
                  <a:prstGeom prst="rect">
                    <a:avLst/>
                  </a:prstGeom>
                </pic:spPr>
              </pic:pic>
            </a:graphicData>
          </a:graphic>
        </wp:anchor>
      </w:drawing>
    </w:r>
    <w:r w:rsidR="008D6264">
      <w:t xml:space="preserve">                                                                  </w:t>
    </w:r>
  </w:p>
  <w:p w14:paraId="566B9D5F" w14:textId="77777777" w:rsidR="00E05037" w:rsidRDefault="00E05037">
    <w:pPr>
      <w:pStyle w:val="Encabezado"/>
    </w:pP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644"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D9F"/>
    <w:rsid w:val="00031C47"/>
    <w:rsid w:val="000658C3"/>
    <w:rsid w:val="00076234"/>
    <w:rsid w:val="0009669E"/>
    <w:rsid w:val="000E45C7"/>
    <w:rsid w:val="001446FE"/>
    <w:rsid w:val="00162127"/>
    <w:rsid w:val="001C5FA8"/>
    <w:rsid w:val="001C6CCE"/>
    <w:rsid w:val="001D04F1"/>
    <w:rsid w:val="002923AC"/>
    <w:rsid w:val="002A2D2F"/>
    <w:rsid w:val="002D3407"/>
    <w:rsid w:val="002D5105"/>
    <w:rsid w:val="002E3746"/>
    <w:rsid w:val="00307044"/>
    <w:rsid w:val="003525DA"/>
    <w:rsid w:val="00372F5E"/>
    <w:rsid w:val="003925EA"/>
    <w:rsid w:val="0044422E"/>
    <w:rsid w:val="00456AF6"/>
    <w:rsid w:val="004C6953"/>
    <w:rsid w:val="00582D9F"/>
    <w:rsid w:val="005C05BF"/>
    <w:rsid w:val="00602B8D"/>
    <w:rsid w:val="00627110"/>
    <w:rsid w:val="00647851"/>
    <w:rsid w:val="006B1BCB"/>
    <w:rsid w:val="006B4036"/>
    <w:rsid w:val="006C3E74"/>
    <w:rsid w:val="007435E6"/>
    <w:rsid w:val="0074679D"/>
    <w:rsid w:val="0076222D"/>
    <w:rsid w:val="007D58E7"/>
    <w:rsid w:val="007E11C8"/>
    <w:rsid w:val="00810F44"/>
    <w:rsid w:val="00863B56"/>
    <w:rsid w:val="0087056A"/>
    <w:rsid w:val="00875ECD"/>
    <w:rsid w:val="008D6264"/>
    <w:rsid w:val="009040F6"/>
    <w:rsid w:val="00906BE6"/>
    <w:rsid w:val="009B113F"/>
    <w:rsid w:val="009C5AAD"/>
    <w:rsid w:val="00A20F2F"/>
    <w:rsid w:val="00AA6B29"/>
    <w:rsid w:val="00AF3B02"/>
    <w:rsid w:val="00B55E3B"/>
    <w:rsid w:val="00B976C4"/>
    <w:rsid w:val="00BB0BAE"/>
    <w:rsid w:val="00CE3B38"/>
    <w:rsid w:val="00D1362C"/>
    <w:rsid w:val="00D26351"/>
    <w:rsid w:val="00D80C39"/>
    <w:rsid w:val="00D954F3"/>
    <w:rsid w:val="00E05037"/>
    <w:rsid w:val="00E87FF7"/>
    <w:rsid w:val="00EB4223"/>
    <w:rsid w:val="00F02476"/>
    <w:rsid w:val="00F3108C"/>
    <w:rsid w:val="00F6325D"/>
    <w:rsid w:val="00FA417E"/>
    <w:rsid w:val="00FC52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66B9D4F"/>
  <w15:chartTrackingRefBased/>
  <w15:docId w15:val="{4FCAF90F-C4BE-41E4-8F86-C6A1C52A6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ahoma" w:eastAsiaTheme="minorHAnsi" w:hAnsi="Tahoma" w:cstheme="minorBidi"/>
        <w:sz w:val="24"/>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82D9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2D9F"/>
  </w:style>
  <w:style w:type="paragraph" w:styleId="Piedepgina">
    <w:name w:val="footer"/>
    <w:basedOn w:val="Normal"/>
    <w:link w:val="PiedepginaCar"/>
    <w:uiPriority w:val="99"/>
    <w:unhideWhenUsed/>
    <w:rsid w:val="00582D9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82D9F"/>
  </w:style>
  <w:style w:type="paragraph" w:styleId="Textodeglobo">
    <w:name w:val="Balloon Text"/>
    <w:basedOn w:val="Normal"/>
    <w:link w:val="TextodegloboCar"/>
    <w:uiPriority w:val="99"/>
    <w:semiHidden/>
    <w:unhideWhenUsed/>
    <w:rsid w:val="00031C4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31C47"/>
    <w:rPr>
      <w:rFonts w:ascii="Segoe UI" w:hAnsi="Segoe UI" w:cs="Segoe UI"/>
      <w:sz w:val="18"/>
      <w:szCs w:val="18"/>
    </w:rPr>
  </w:style>
  <w:style w:type="paragraph" w:styleId="Titulo1">
    <w:name w:val="heading 1"/>
    <w:basedOn w:val="Normal"/>
    <w:next w:val="Normal"/>
    <w:uiPriority w:val="9"/>
    <w:qFormat/>
    <w:pPr>
      <w:keepNext/>
      <w:keepLines/>
      <w:spacing w:before="360" w:after="160"/>
      <w:outlineLvl w:val="0"/>
    </w:pPr>
    <w:rPr>
      <w:rFonts w:ascii="Tahoma" w:hAnsi="Tahoma" w:cs="Tahoma"/>
      <w:b/>
      <w:color w:val="1F3864"/>
      <w:sz w:val="32"/>
      <w:szCs w:val="32"/>
    </w:rPr>
  </w:style>
  <w:style w:type="paragraph" w:styleId="Titulo2">
    <w:name w:val="heading 2"/>
    <w:basedOn w:val="Normal"/>
    <w:next w:val="Normal"/>
    <w:uiPriority w:val="9"/>
    <w:qFormat/>
    <w:pPr>
      <w:keepNext/>
      <w:keepLines/>
      <w:spacing w:before="260" w:after="120"/>
      <w:outlineLvl w:val="1"/>
    </w:pPr>
    <w:rPr>
      <w:rFonts w:ascii="Tahoma" w:hAnsi="Tahoma" w:cs="Tahoma"/>
      <w:b/>
      <w:color w:val="2E5C9A"/>
      <w:sz w:val="26"/>
      <w:szCs w:val="26"/>
    </w:rPr>
  </w:style>
  <w:style w:type="paragraph" w:styleId="Titulo3">
    <w:name w:val="heading 3"/>
    <w:basedOn w:val="Normal"/>
    <w:next w:val="Normal"/>
    <w:uiPriority w:val="9"/>
    <w:qFormat/>
    <w:pPr>
      <w:keepNext/>
      <w:keepLines/>
      <w:spacing w:before="200" w:after="100"/>
      <w:outlineLvl w:val="2"/>
    </w:pPr>
    <w:rPr>
      <w:rFonts w:ascii="Tahoma" w:hAnsi="Tahoma" w:cs="Tahoma"/>
      <w:b/>
      <w:color w:val="333333"/>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Num1" Type="http://schemas.openxmlformats.org/officeDocument/2006/relationships/numbering" Target="numbering.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6673980F2B70D40808D345A81148629" ma:contentTypeVersion="17" ma:contentTypeDescription="Crear nuevo documento." ma:contentTypeScope="" ma:versionID="ed5f8d8b40e46dd4a01dce0beb39693e">
  <xsd:schema xmlns:xsd="http://www.w3.org/2001/XMLSchema" xmlns:xs="http://www.w3.org/2001/XMLSchema" xmlns:p="http://schemas.microsoft.com/office/2006/metadata/properties" xmlns:ns3="d9af11ca-d8a1-492a-a0c3-1724a511dfc3" xmlns:ns4="99c2bc69-de82-441c-a0e3-f48c582f6e67" targetNamespace="http://schemas.microsoft.com/office/2006/metadata/properties" ma:root="true" ma:fieldsID="5185fc8460a06ba2f381fd00349293a3" ns3:_="" ns4:_="">
    <xsd:import namespace="d9af11ca-d8a1-492a-a0c3-1724a511dfc3"/>
    <xsd:import namespace="99c2bc69-de82-441c-a0e3-f48c582f6e67"/>
    <xsd:element name="properties">
      <xsd:complexType>
        <xsd:sequence>
          <xsd:element name="documentManagement">
            <xsd:complexType>
              <xsd:all>
                <xsd:element ref="ns3:MediaServiceMetadata" minOccurs="0"/>
                <xsd:element ref="ns3:MediaServiceFastMetadata" minOccurs="0"/>
                <xsd:element ref="ns3:MediaLengthInSeconds" minOccurs="0"/>
                <xsd:element ref="ns3:MediaServiceDateTaken"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Location"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af11ca-d8a1-492a-a0c3-1724a511df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c2bc69-de82-441c-a0e3-f48c582f6e67"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9af11ca-d8a1-492a-a0c3-1724a511dfc3" xsi:nil="true"/>
  </documentManagement>
</p:properties>
</file>

<file path=customXml/itemProps1.xml><?xml version="1.0" encoding="utf-8"?>
<ds:datastoreItem xmlns:ds="http://schemas.openxmlformats.org/officeDocument/2006/customXml" ds:itemID="{9F01BF85-0548-4970-9735-495D3642B922}">
  <ds:schemaRefs>
    <ds:schemaRef ds:uri="http://schemas.microsoft.com/sharepoint/v3/contenttype/forms"/>
  </ds:schemaRefs>
</ds:datastoreItem>
</file>

<file path=customXml/itemProps2.xml><?xml version="1.0" encoding="utf-8"?>
<ds:datastoreItem xmlns:ds="http://schemas.openxmlformats.org/officeDocument/2006/customXml" ds:itemID="{0376C061-E78E-4234-B63B-697ACF0E53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af11ca-d8a1-492a-a0c3-1724a511dfc3"/>
    <ds:schemaRef ds:uri="99c2bc69-de82-441c-a0e3-f48c582f6e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04A790-E467-41C7-B3E1-51F4B46B843E}">
  <ds:schemaRefs>
    <ds:schemaRef ds:uri="http://purl.org/dc/dcmitype/"/>
    <ds:schemaRef ds:uri="http://schemas.microsoft.com/office/2006/documentManagement/types"/>
    <ds:schemaRef ds:uri="http://purl.org/dc/terms/"/>
    <ds:schemaRef ds:uri="http://purl.org/dc/elements/1.1/"/>
    <ds:schemaRef ds:uri="d9af11ca-d8a1-492a-a0c3-1724a511dfc3"/>
    <ds:schemaRef ds:uri="http://schemas.microsoft.com/office/2006/metadata/properties"/>
    <ds:schemaRef ds:uri="http://www.w3.org/XML/1998/namespace"/>
    <ds:schemaRef ds:uri="http://schemas.microsoft.com/office/infopath/2007/PartnerControls"/>
    <ds:schemaRef ds:uri="http://schemas.openxmlformats.org/package/2006/metadata/core-properties"/>
    <ds:schemaRef ds:uri="99c2bc69-de82-441c-a0e3-f48c582f6e67"/>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Pages>
  <Words>2</Words>
  <Characters>15</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Estefany Fino Hernandez</dc:creator>
  <cp:keywords/>
  <dc:description/>
  <cp:lastModifiedBy>Gloria Estefany Fino Hernandez</cp:lastModifiedBy>
  <cp:revision>7</cp:revision>
  <cp:lastPrinted>2022-07-21T13:17:00Z</cp:lastPrinted>
  <dcterms:created xsi:type="dcterms:W3CDTF">2026-05-11T16:14:00Z</dcterms:created>
  <dcterms:modified xsi:type="dcterms:W3CDTF">2026-05-11T20:48:00Z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0x010100A6673980F2B70D40808D345A81148629</vt:lpwstr>
  </property>
</Properties>
</file>