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SHOP ORDER SYSTEM</w:t>
      </w:r>
    </w:p>
    <w:p>
      <w:pPr>
        <w:jc w:val="center"/>
      </w:pPr>
      <w:r>
        <w:rPr>
          <w:b/>
          <w:sz w:val="26"/>
        </w:rPr>
        <w:t>Project Documentation and Test Evidence</w:t>
      </w:r>
    </w:p>
    <w:p>
      <w:pPr>
        <w:jc w:val="center"/>
      </w:pPr>
      <w:r>
        <w:t>React + Vite Frontend | Spring Boot Backend | Supabase PostgreSQL Database</w:t>
      </w:r>
    </w:p>
    <w:p/>
    <w:p>
      <w:pPr>
        <w:pStyle w:val="Heading1"/>
      </w:pPr>
      <w:r>
        <w:t>1. Project Description</w:t>
      </w:r>
    </w:p>
    <w:p>
      <w:r>
        <w:t>The Shop Order System is a web-based ordering application that allows a user to select a product, enter a quantity, and submit an order. The backend checks the available inventory before confirming or rejecting the order. Confirmed orders reduce available stock, while rejected orders do not reserve inventory.</w:t>
      </w:r>
    </w:p>
    <w:p>
      <w:pPr>
        <w:pStyle w:val="Heading1"/>
      </w:pPr>
      <w:r>
        <w:t>2. Technologies Used</w:t>
      </w:r>
    </w:p>
    <w:p>
      <w:pPr>
        <w:pStyle w:val="ListBullet"/>
      </w:pPr>
      <w:r>
        <w:t>Frontend: React, Vite, JavaScript, Fetch API</w:t>
      </w:r>
    </w:p>
    <w:p>
      <w:pPr>
        <w:pStyle w:val="ListBullet"/>
      </w:pPr>
      <w:r>
        <w:t>Backend: Java, Spring Boot, Spring Data JPA, Maven</w:t>
      </w:r>
    </w:p>
    <w:p>
      <w:pPr>
        <w:pStyle w:val="ListBullet"/>
      </w:pPr>
      <w:r>
        <w:t>Database: Supabase PostgreSQL</w:t>
      </w:r>
    </w:p>
    <w:p>
      <w:pPr>
        <w:pStyle w:val="Heading1"/>
      </w:pPr>
      <w:r>
        <w:t>3. System Modules</w:t>
      </w:r>
    </w:p>
    <w:p>
      <w:pPr>
        <w:pStyle w:val="Heading2"/>
      </w:pPr>
      <w:r>
        <w:t>3.1 Shop / Order Module</w:t>
      </w:r>
    </w:p>
    <w:p>
      <w:r>
        <w:t>Package: edu.cit.gabutan.shop</w:t>
      </w:r>
    </w:p>
    <w:p>
      <w:r>
        <w:t>The Order module receives order requests, checks inventory through the InventoryService interface, processes the order, saves the result, and returns the order status and inventory information.</w:t>
      </w:r>
    </w:p>
    <w:p>
      <w:pPr>
        <w:pStyle w:val="Heading2"/>
      </w:pPr>
      <w:r>
        <w:t>3.2 Inventory Module</w:t>
      </w:r>
    </w:p>
    <w:p>
      <w:r>
        <w:t>Package: edu.cit.gabutan.inventory</w:t>
      </w:r>
    </w:p>
    <w:p>
      <w:r>
        <w:t>The Inventory module retrieves products, checks available stock, reserves stock for valid orders, and updates the remaining quantity.</w:t>
      </w:r>
    </w:p>
    <w:p>
      <w:pPr>
        <w:pStyle w:val="Heading1"/>
      </w:pPr>
      <w:r>
        <w:t>4. Database</w:t>
      </w:r>
    </w:p>
    <w:p>
      <w:r>
        <w:t>The system uses Supabase PostgreSQL. The database contains the inventory and orders tables.</w:t>
      </w:r>
    </w:p>
    <w:p>
      <w:pPr>
        <w:pStyle w:val="Heading2"/>
      </w:pPr>
      <w:r>
        <w:t>4.1 Inventory Data</w:t>
      </w:r>
    </w:p>
    <w:tbl>
      <w:tblPr>
        <w:tblStyle w:val="TableGrid"/>
        <w:tblW w:type="auto" w:w="0"/>
        <w:tblLook w:firstColumn="1" w:firstRow="1" w:lastColumn="0" w:lastRow="0" w:noHBand="0" w:noVBand="1" w:val="04A0"/>
      </w:tblPr>
      <w:tblGrid>
        <w:gridCol w:w="3312"/>
        <w:gridCol w:w="3312"/>
        <w:gridCol w:w="3312"/>
      </w:tblGrid>
      <w:tr>
        <w:tc>
          <w:tcPr>
            <w:tcW w:type="dxa" w:w="3312"/>
          </w:tcPr>
          <w:p>
            <w:r>
              <w:t>Product ID</w:t>
            </w:r>
          </w:p>
        </w:tc>
        <w:tc>
          <w:tcPr>
            <w:tcW w:type="dxa" w:w="3312"/>
          </w:tcPr>
          <w:p>
            <w:r>
              <w:t>Product</w:t>
            </w:r>
          </w:p>
        </w:tc>
        <w:tc>
          <w:tcPr>
            <w:tcW w:type="dxa" w:w="3312"/>
          </w:tcPr>
          <w:p>
            <w:r>
              <w:t>Initial Stock</w:t>
            </w:r>
          </w:p>
        </w:tc>
      </w:tr>
      <w:tr>
        <w:tc>
          <w:tcPr>
            <w:tcW w:type="dxa" w:w="3312"/>
          </w:tcPr>
          <w:p>
            <w:r>
              <w:t>P100</w:t>
            </w:r>
          </w:p>
        </w:tc>
        <w:tc>
          <w:tcPr>
            <w:tcW w:type="dxa" w:w="3312"/>
          </w:tcPr>
          <w:p>
            <w:r>
              <w:t>Wireless Mouse</w:t>
            </w:r>
          </w:p>
        </w:tc>
        <w:tc>
          <w:tcPr>
            <w:tcW w:type="dxa" w:w="3312"/>
          </w:tcPr>
          <w:p>
            <w:r>
              <w:t>25</w:t>
            </w:r>
          </w:p>
        </w:tc>
      </w:tr>
      <w:tr>
        <w:tc>
          <w:tcPr>
            <w:tcW w:type="dxa" w:w="3312"/>
          </w:tcPr>
          <w:p>
            <w:r>
              <w:t>P200</w:t>
            </w:r>
          </w:p>
        </w:tc>
        <w:tc>
          <w:tcPr>
            <w:tcW w:type="dxa" w:w="3312"/>
          </w:tcPr>
          <w:p>
            <w:r>
              <w:t>Mechanical Keyboard</w:t>
            </w:r>
          </w:p>
        </w:tc>
        <w:tc>
          <w:tcPr>
            <w:tcW w:type="dxa" w:w="3312"/>
          </w:tcPr>
          <w:p>
            <w:r>
              <w:t>10</w:t>
            </w:r>
          </w:p>
        </w:tc>
      </w:tr>
      <w:tr>
        <w:tc>
          <w:tcPr>
            <w:tcW w:type="dxa" w:w="3312"/>
          </w:tcPr>
          <w:p>
            <w:r>
              <w:t>P300</w:t>
            </w:r>
          </w:p>
        </w:tc>
        <w:tc>
          <w:tcPr>
            <w:tcW w:type="dxa" w:w="3312"/>
          </w:tcPr>
          <w:p>
            <w:r>
              <w:t>USB-C Hub</w:t>
            </w:r>
          </w:p>
        </w:tc>
        <w:tc>
          <w:tcPr>
            <w:tcW w:type="dxa" w:w="3312"/>
          </w:tcPr>
          <w:p>
            <w:r>
              <w:t>0</w:t>
            </w:r>
          </w:p>
        </w:tc>
      </w:tr>
    </w:tbl>
    <w:p>
      <w:pPr>
        <w:pStyle w:val="Heading2"/>
      </w:pPr>
      <w:r>
        <w:t>4.2 Orders Table</w:t>
      </w:r>
    </w:p>
    <w:p>
      <w:r>
        <w:t>The orders table stores the order ID, product ID, quantity, status, reason, and creation time. Testing produced both CONFIRMED and REJECTED order records.</w:t>
      </w:r>
    </w:p>
    <w:p>
      <w:pPr>
        <w:pStyle w:val="Heading1"/>
      </w:pPr>
      <w:r>
        <w:t>5. API</w:t>
      </w:r>
    </w:p>
    <w:p>
      <w:r>
        <w:t>Endpoint: POST /api/orders</w:t>
      </w:r>
    </w:p>
    <w:p>
      <w:r>
        <w:t>Request:</w:t>
      </w:r>
    </w:p>
    <w:p>
      <w:r>
        <w:rPr>
          <w:rFonts w:ascii="Courier New" w:hAnsi="Courier New"/>
        </w:rPr>
        <w:t>{ "productId": "P100", "quantity": 1 }</w:t>
      </w:r>
    </w:p>
    <w:p>
      <w:r>
        <w:t>The API returns the order status, reason, and current inventory information.</w:t>
      </w:r>
    </w:p>
    <w:p>
      <w:pPr>
        <w:pStyle w:val="Heading1"/>
      </w:pPr>
      <w:r>
        <w:t>6. Test Results</w:t>
      </w:r>
    </w:p>
    <w:p>
      <w:pPr>
        <w:pStyle w:val="Heading2"/>
      </w:pPr>
      <w:r>
        <w:t>6.1 Confirmed Order Test</w:t>
      </w:r>
    </w:p>
    <w:p>
      <w:r>
        <w:t>Product: P100 – Wireless Mouse</w:t>
        <w:br/>
        <w:t>Quantity: 1</w:t>
        <w:br/>
        <w:t>Result: CONFIRMED</w:t>
        <w:br/>
        <w:t>Reason: Order confirmed</w:t>
      </w:r>
    </w:p>
    <w:p>
      <w:r>
        <w:t>The submitted order was successfully processed and the remaining inventory was returned by the API.</w:t>
      </w:r>
    </w:p>
    <w:p>
      <w:pPr>
        <w:pStyle w:val="Heading2"/>
      </w:pPr>
      <w:r>
        <w:t>6.2 Rejected Order Test</w:t>
      </w:r>
    </w:p>
    <w:p>
      <w:r>
        <w:t>Product: P300 – USB-C Hub</w:t>
        <w:br/>
        <w:t>Quantity: 1</w:t>
        <w:br/>
        <w:t>Result: REJECTED</w:t>
        <w:br/>
        <w:t>Reason: Insufficient stock</w:t>
        <w:br/>
        <w:t>Remaining Stock: 0</w:t>
      </w:r>
    </w:p>
    <w:p>
      <w:r>
        <w:t>The order was rejected because the product had zero available stock.</w:t>
      </w:r>
    </w:p>
    <w:p>
      <w:pPr>
        <w:pStyle w:val="Heading1"/>
      </w:pPr>
      <w:r>
        <w:t>7. Network/API Evidence</w:t>
      </w:r>
    </w:p>
    <w:p>
      <w:r>
        <w:t>The browser Network tab was used to verify the POST /api/orders requests and their responses. The evidence shows successful processing of a confirmed order and rejection of an order with insufficient stock.</w:t>
      </w:r>
    </w:p>
    <w:p>
      <w:pPr>
        <w:pStyle w:val="Heading2"/>
      </w:pPr>
      <w:r>
        <w:t>8.1 Evidence</w:t>
      </w:r>
    </w:p>
    <w:p>
      <w:pPr>
        <w:jc w:val="center"/>
      </w:pPr>
      <w:r>
        <w:drawing>
          <wp:inline xmlns:a="http://schemas.openxmlformats.org/drawingml/2006/main" xmlns:pic="http://schemas.openxmlformats.org/drawingml/2006/picture">
            <wp:extent cx="5212080" cy="5604622"/>
            <wp:docPr id="1" name="Picture 1"/>
            <wp:cNvGraphicFramePr>
              <a:graphicFrameLocks noChangeAspect="1"/>
            </wp:cNvGraphicFramePr>
            <a:graphic>
              <a:graphicData uri="http://schemas.openxmlformats.org/drawingml/2006/picture">
                <pic:pic>
                  <pic:nvPicPr>
                    <pic:cNvPr id="0" name="evidence_1.png"/>
                    <pic:cNvPicPr/>
                  </pic:nvPicPr>
                  <pic:blipFill>
                    <a:blip r:embed="rId9"/>
                    <a:stretch>
                      <a:fillRect/>
                    </a:stretch>
                  </pic:blipFill>
                  <pic:spPr>
                    <a:xfrm>
                      <a:off x="0" y="0"/>
                      <a:ext cx="5212080" cy="5604622"/>
                    </a:xfrm>
                    <a:prstGeom prst="rect"/>
                  </pic:spPr>
                </pic:pic>
              </a:graphicData>
            </a:graphic>
          </wp:inline>
        </w:drawing>
      </w:r>
    </w:p>
    <w:p>
      <w:pPr>
        <w:jc w:val="center"/>
      </w:pPr>
      <w:r>
        <w:rPr>
          <w:i/>
        </w:rPr>
        <w:t>Figure 1. Rejected order for P300 – USB-C Hub.</w:t>
      </w:r>
    </w:p>
    <w:p>
      <w:pPr>
        <w:pStyle w:val="Heading2"/>
      </w:pPr>
      <w:r>
        <w:t>8.2 Evidence</w:t>
      </w:r>
    </w:p>
    <w:p>
      <w:pPr>
        <w:jc w:val="center"/>
      </w:pPr>
      <w:r>
        <w:drawing>
          <wp:inline xmlns:a="http://schemas.openxmlformats.org/drawingml/2006/main" xmlns:pic="http://schemas.openxmlformats.org/drawingml/2006/picture">
            <wp:extent cx="5212080" cy="5615104"/>
            <wp:docPr id="2" name="Picture 2"/>
            <wp:cNvGraphicFramePr>
              <a:graphicFrameLocks noChangeAspect="1"/>
            </wp:cNvGraphicFramePr>
            <a:graphic>
              <a:graphicData uri="http://schemas.openxmlformats.org/drawingml/2006/picture">
                <pic:pic>
                  <pic:nvPicPr>
                    <pic:cNvPr id="0" name="evidence_2.png"/>
                    <pic:cNvPicPr/>
                  </pic:nvPicPr>
                  <pic:blipFill>
                    <a:blip r:embed="rId10"/>
                    <a:stretch>
                      <a:fillRect/>
                    </a:stretch>
                  </pic:blipFill>
                  <pic:spPr>
                    <a:xfrm>
                      <a:off x="0" y="0"/>
                      <a:ext cx="5212080" cy="5615104"/>
                    </a:xfrm>
                    <a:prstGeom prst="rect"/>
                  </pic:spPr>
                </pic:pic>
              </a:graphicData>
            </a:graphic>
          </wp:inline>
        </w:drawing>
      </w:r>
    </w:p>
    <w:p>
      <w:pPr>
        <w:jc w:val="center"/>
      </w:pPr>
      <w:r>
        <w:rPr>
          <w:i/>
        </w:rPr>
        <w:t>Figure 2. Confirmed order for P100 – Wireless Mouse and API response.</w:t>
      </w:r>
    </w:p>
    <w:p>
      <w:pPr>
        <w:pStyle w:val="Heading2"/>
      </w:pPr>
      <w:r>
        <w:t>8.3 Evidence</w:t>
      </w:r>
    </w:p>
    <w:p>
      <w:pPr>
        <w:jc w:val="center"/>
      </w:pPr>
      <w:r>
        <w:drawing>
          <wp:inline xmlns:a="http://schemas.openxmlformats.org/drawingml/2006/main" xmlns:pic="http://schemas.openxmlformats.org/drawingml/2006/picture">
            <wp:extent cx="5212080" cy="2932022"/>
            <wp:docPr id="3" name="Picture 3"/>
            <wp:cNvGraphicFramePr>
              <a:graphicFrameLocks noChangeAspect="1"/>
            </wp:cNvGraphicFramePr>
            <a:graphic>
              <a:graphicData uri="http://schemas.openxmlformats.org/drawingml/2006/picture">
                <pic:pic>
                  <pic:nvPicPr>
                    <pic:cNvPr id="0" name="evidence_3.png"/>
                    <pic:cNvPicPr/>
                  </pic:nvPicPr>
                  <pic:blipFill>
                    <a:blip r:embed="rId11"/>
                    <a:stretch>
                      <a:fillRect/>
                    </a:stretch>
                  </pic:blipFill>
                  <pic:spPr>
                    <a:xfrm>
                      <a:off x="0" y="0"/>
                      <a:ext cx="5212080" cy="2932022"/>
                    </a:xfrm>
                    <a:prstGeom prst="rect"/>
                  </pic:spPr>
                </pic:pic>
              </a:graphicData>
            </a:graphic>
          </wp:inline>
        </w:drawing>
      </w:r>
    </w:p>
    <w:p>
      <w:pPr>
        <w:jc w:val="center"/>
      </w:pPr>
      <w:r>
        <w:rPr>
          <w:i/>
        </w:rPr>
        <w:t>Figure 3. Supabase inventory table.</w:t>
      </w:r>
    </w:p>
    <w:p>
      <w:pPr>
        <w:pStyle w:val="Heading2"/>
      </w:pPr>
      <w:r>
        <w:t>8.4 Evidence</w:t>
      </w:r>
    </w:p>
    <w:p>
      <w:pPr>
        <w:jc w:val="center"/>
      </w:pPr>
      <w:r>
        <w:drawing>
          <wp:inline xmlns:a="http://schemas.openxmlformats.org/drawingml/2006/main" xmlns:pic="http://schemas.openxmlformats.org/drawingml/2006/picture">
            <wp:extent cx="5212080" cy="2932022"/>
            <wp:docPr id="4" name="Picture 4"/>
            <wp:cNvGraphicFramePr>
              <a:graphicFrameLocks noChangeAspect="1"/>
            </wp:cNvGraphicFramePr>
            <a:graphic>
              <a:graphicData uri="http://schemas.openxmlformats.org/drawingml/2006/picture">
                <pic:pic>
                  <pic:nvPicPr>
                    <pic:cNvPr id="0" name="evidence_4.png"/>
                    <pic:cNvPicPr/>
                  </pic:nvPicPr>
                  <pic:blipFill>
                    <a:blip r:embed="rId12"/>
                    <a:stretch>
                      <a:fillRect/>
                    </a:stretch>
                  </pic:blipFill>
                  <pic:spPr>
                    <a:xfrm>
                      <a:off x="0" y="0"/>
                      <a:ext cx="5212080" cy="2932022"/>
                    </a:xfrm>
                    <a:prstGeom prst="rect"/>
                  </pic:spPr>
                </pic:pic>
              </a:graphicData>
            </a:graphic>
          </wp:inline>
        </w:drawing>
      </w:r>
    </w:p>
    <w:p>
      <w:pPr>
        <w:jc w:val="center"/>
      </w:pPr>
      <w:r>
        <w:rPr>
          <w:i/>
        </w:rPr>
        <w:t>Figure 4. Supabase orders table.</w:t>
      </w:r>
    </w:p>
    <w:p>
      <w:pPr>
        <w:pStyle w:val="Heading2"/>
      </w:pPr>
      <w:r>
        <w:t>8.5 Evidence</w:t>
      </w:r>
    </w:p>
    <w:p>
      <w:pPr>
        <w:jc w:val="center"/>
      </w:pPr>
      <w:r>
        <w:drawing>
          <wp:inline xmlns:a="http://schemas.openxmlformats.org/drawingml/2006/main" xmlns:pic="http://schemas.openxmlformats.org/drawingml/2006/picture">
            <wp:extent cx="5212080" cy="5597557"/>
            <wp:docPr id="5" name="Picture 5"/>
            <wp:cNvGraphicFramePr>
              <a:graphicFrameLocks noChangeAspect="1"/>
            </wp:cNvGraphicFramePr>
            <a:graphic>
              <a:graphicData uri="http://schemas.openxmlformats.org/drawingml/2006/picture">
                <pic:pic>
                  <pic:nvPicPr>
                    <pic:cNvPr id="0" name="evidence_5.png"/>
                    <pic:cNvPicPr/>
                  </pic:nvPicPr>
                  <pic:blipFill>
                    <a:blip r:embed="rId13"/>
                    <a:stretch>
                      <a:fillRect/>
                    </a:stretch>
                  </pic:blipFill>
                  <pic:spPr>
                    <a:xfrm>
                      <a:off x="0" y="0"/>
                      <a:ext cx="5212080" cy="5597557"/>
                    </a:xfrm>
                    <a:prstGeom prst="rect"/>
                  </pic:spPr>
                </pic:pic>
              </a:graphicData>
            </a:graphic>
          </wp:inline>
        </w:drawing>
      </w:r>
    </w:p>
    <w:p>
      <w:pPr>
        <w:jc w:val="center"/>
      </w:pPr>
      <w:r>
        <w:rPr>
          <w:i/>
        </w:rPr>
        <w:t>Figure 5. Rejected P300 order and API response in the Network tab.</w:t>
      </w:r>
    </w:p>
    <w:p>
      <w:pPr>
        <w:pStyle w:val="Heading1"/>
      </w:pPr>
      <w:r>
        <w:t>9. Reflection</w:t>
      </w:r>
    </w:p>
    <w:p>
      <w:r>
        <w:t>This project helped demonstrate how a frontend, backend, and database work together in one system. The React frontend sends an order request to the Spring Boot backend, while the backend checks and updates inventory before returning the result. Testing both confirmed and rejected orders showed how the system handles different inventory conditions.</w:t>
      </w:r>
    </w:p>
    <w:p>
      <w:pPr>
        <w:pStyle w:val="Heading1"/>
      </w:pPr>
      <w:r>
        <w:t>10. Conclusion</w:t>
      </w:r>
    </w:p>
    <w:p>
      <w:r>
        <w:t>The Shop Order System successfully demonstrates an end-to-end ordering flow using React, Spring Boot, and Supabase PostgreSQL. The test evidence confirms that available products can be ordered successfully, insufficient-stock orders are rejected, inventory is updated for successful orders, and order results are stored in the database.</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Shop Order System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