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AWS Identity and Account Security Assessment</w:t>
      </w:r>
    </w:p>
    <w:p>
      <w:r>
        <w:rPr>
          <w:b/>
        </w:rPr>
        <w:t>A to Z portfolio delivery dossier and practical runbook</w:t>
      </w:r>
    </w:p>
    <w:p>
      <w:r>
        <w:t>Prepared by David Gaisey-Otoo | AWS Career Launchpad Pro | 12 September 2026</w:t>
      </w:r>
    </w:p>
    <w:p>
      <w:pPr>
        <w:pStyle w:val="Heading1"/>
      </w:pPr>
      <w:r>
        <w:t>Purpose and conclusion</w:t>
      </w:r>
    </w:p>
    <w:p>
      <w:r>
        <w:t>This self-directed portfolio engagement assesses an existing AWS training account through read-only console and CloudShell checks. It creates no AWS resources, does not change permissions, and converts verified results into a redacted security report and portfolio case study. Generated plans are not evidence; each completed claim requires an actual result and screenshot reference.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880"/>
            <w:shd w:fill="17365D"/>
            <w:vAlign w:val="center"/>
          </w:tcPr>
          <w:p>
            <w:r>
              <w:rPr>
                <w:b/>
                <w:color w:val="FFFFFF"/>
                <w:sz w:val="18"/>
              </w:rPr>
              <w:t>Field</w:t>
            </w:r>
          </w:p>
        </w:tc>
        <w:tc>
          <w:tcPr>
            <w:tcW w:type="dxa" w:w="7056"/>
            <w:shd w:fill="17365D"/>
            <w:vAlign w:val="center"/>
          </w:tcPr>
          <w:p>
            <w:r>
              <w:rPr>
                <w:b/>
                <w:color w:val="FFFFFF"/>
                <w:sz w:val="18"/>
              </w:rPr>
              <w:t>Approved value</w:t>
            </w:r>
          </w:p>
        </w:tc>
      </w:tr>
      <w:tr>
        <w:tc>
          <w:tcPr>
            <w:tcW w:type="dxa" w:w="2880"/>
            <w:vAlign w:val="center"/>
          </w:tcPr>
          <w:p>
            <w:r>
              <w:rPr>
                <w:sz w:val="17"/>
              </w:rPr>
              <w:t>Project owner</w:t>
            </w:r>
          </w:p>
        </w:tc>
        <w:tc>
          <w:tcPr>
            <w:tcW w:type="dxa" w:w="7056"/>
            <w:vAlign w:val="center"/>
          </w:tcPr>
          <w:p>
            <w:r>
              <w:rPr>
                <w:sz w:val="17"/>
              </w:rPr>
              <w:t>David Gaisey-Otoo</w:t>
            </w:r>
          </w:p>
        </w:tc>
      </w:tr>
      <w:tr>
        <w:tc>
          <w:tcPr>
            <w:tcW w:type="dxa" w:w="2880"/>
            <w:vAlign w:val="center"/>
            <w:shd w:fill="F3F5F7"/>
          </w:tcPr>
          <w:p>
            <w:r>
              <w:rPr>
                <w:sz w:val="17"/>
              </w:rPr>
              <w:t>Engagement type</w:t>
            </w:r>
          </w:p>
        </w:tc>
        <w:tc>
          <w:tcPr>
            <w:tcW w:type="dxa" w:w="7056"/>
            <w:vAlign w:val="center"/>
            <w:shd w:fill="F3F5F7"/>
          </w:tcPr>
          <w:p>
            <w:r>
              <w:rPr>
                <w:sz w:val="17"/>
              </w:rPr>
              <w:t>Self-directed AWS portfolio assessment</w:t>
            </w:r>
          </w:p>
        </w:tc>
      </w:tr>
      <w:tr>
        <w:tc>
          <w:tcPr>
            <w:tcW w:type="dxa" w:w="2880"/>
            <w:vAlign w:val="center"/>
          </w:tcPr>
          <w:p>
            <w:r>
              <w:rPr>
                <w:sz w:val="17"/>
              </w:rPr>
              <w:t>Environment</w:t>
            </w:r>
          </w:p>
        </w:tc>
        <w:tc>
          <w:tcPr>
            <w:tcW w:type="dxa" w:w="7056"/>
            <w:vAlign w:val="center"/>
          </w:tcPr>
          <w:p>
            <w:r>
              <w:rPr>
                <w:sz w:val="17"/>
              </w:rPr>
              <w:t>Existing AWS training account</w:t>
            </w:r>
          </w:p>
        </w:tc>
      </w:tr>
      <w:tr>
        <w:tc>
          <w:tcPr>
            <w:tcW w:type="dxa" w:w="2880"/>
            <w:vAlign w:val="center"/>
            <w:shd w:fill="F3F5F7"/>
          </w:tcPr>
          <w:p>
            <w:r>
              <w:rPr>
                <w:sz w:val="17"/>
              </w:rPr>
              <w:t>Execution mode</w:t>
            </w:r>
          </w:p>
        </w:tc>
        <w:tc>
          <w:tcPr>
            <w:tcW w:type="dxa" w:w="7056"/>
            <w:vAlign w:val="center"/>
            <w:shd w:fill="F3F5F7"/>
          </w:tcPr>
          <w:p>
            <w:r>
              <w:rPr>
                <w:sz w:val="17"/>
              </w:rPr>
              <w:t>Read-only AWS assessment</w:t>
            </w:r>
          </w:p>
        </w:tc>
      </w:tr>
      <w:tr>
        <w:tc>
          <w:tcPr>
            <w:tcW w:type="dxa" w:w="2880"/>
            <w:vAlign w:val="center"/>
          </w:tcPr>
          <w:p>
            <w:r>
              <w:rPr>
                <w:sz w:val="17"/>
              </w:rPr>
              <w:t>Resource creation</w:t>
            </w:r>
          </w:p>
        </w:tc>
        <w:tc>
          <w:tcPr>
            <w:tcW w:type="dxa" w:w="7056"/>
            <w:vAlign w:val="center"/>
          </w:tcPr>
          <w:p>
            <w:r>
              <w:rPr>
                <w:sz w:val="17"/>
              </w:rPr>
              <w:t>Prohibited</w:t>
            </w:r>
          </w:p>
        </w:tc>
      </w:tr>
      <w:tr>
        <w:tc>
          <w:tcPr>
            <w:tcW w:type="dxa" w:w="2880"/>
            <w:vAlign w:val="center"/>
            <w:shd w:fill="F3F5F7"/>
          </w:tcPr>
          <w:p>
            <w:r>
              <w:rPr>
                <w:sz w:val="17"/>
              </w:rPr>
              <w:t>Target duration</w:t>
            </w:r>
          </w:p>
        </w:tc>
        <w:tc>
          <w:tcPr>
            <w:tcW w:type="dxa" w:w="7056"/>
            <w:vAlign w:val="center"/>
            <w:shd w:fill="F3F5F7"/>
          </w:tcPr>
          <w:p>
            <w:r>
              <w:rPr>
                <w:sz w:val="17"/>
              </w:rPr>
              <w:t>One working week</w:t>
            </w:r>
          </w:p>
        </w:tc>
      </w:tr>
      <w:tr>
        <w:tc>
          <w:tcPr>
            <w:tcW w:type="dxa" w:w="2880"/>
            <w:vAlign w:val="center"/>
          </w:tcPr>
          <w:p>
            <w:r>
              <w:rPr>
                <w:sz w:val="17"/>
              </w:rPr>
              <w:t>Success criterion</w:t>
            </w:r>
          </w:p>
        </w:tc>
        <w:tc>
          <w:tcPr>
            <w:tcW w:type="dxa" w:w="7056"/>
            <w:vAlign w:val="center"/>
          </w:tcPr>
          <w:p>
            <w:r>
              <w:rPr>
                <w:sz w:val="17"/>
              </w:rPr>
              <w:t>Evidence-backed findings, no secrets, and proof that no resources were created</w:t>
            </w:r>
          </w:p>
        </w:tc>
      </w:tr>
    </w:tbl>
    <w:p/>
    <w:p>
      <w:pPr>
        <w:pStyle w:val="Heading1"/>
      </w:pPr>
      <w:r>
        <w:t>Proposal and scope agreement</w:t>
      </w:r>
    </w:p>
    <w:p>
      <w:r>
        <w:t>Proposal. David Gaisey-Otoo will perform a read-only identity, resource-inventory, audit-history, and cost-governance assessment. The work will produce an architecture specification, command log, test record, findings register, external-review package, handover record, and portfolio-safe case study.</w:t>
      </w:r>
    </w:p>
    <w:p>
      <w:pPr>
        <w:pStyle w:val="Heading2"/>
      </w:pPr>
      <w:r>
        <w:t>Included work</w:t>
      </w:r>
    </w:p>
    <w:p>
      <w:pPr>
        <w:pStyle w:val="ListBullet"/>
      </w:pPr>
      <w:r>
        <w:t>Verify the active AWS identity with STS.</w:t>
      </w:r>
    </w:p>
    <w:p>
      <w:pPr>
        <w:pStyle w:val="ListBullet"/>
      </w:pPr>
      <w:r>
        <w:t>Review the IAM account summary, credential report, users, groups, roles, policies and MFA indicators where permitted.</w:t>
      </w:r>
    </w:p>
    <w:p>
      <w:pPr>
        <w:pStyle w:val="ListBullet"/>
      </w:pPr>
      <w:r>
        <w:t>Confirm S3 and CloudFront inventory after the previous hosting teardown.</w:t>
      </w:r>
    </w:p>
    <w:p>
      <w:pPr>
        <w:pStyle w:val="ListBullet"/>
      </w:pPr>
      <w:r>
        <w:t>Review recent CloudTrail event history where permitted.</w:t>
      </w:r>
    </w:p>
    <w:p>
      <w:pPr>
        <w:pStyle w:val="ListBullet"/>
      </w:pPr>
      <w:r>
        <w:t>Review current billing data where permitted.</w:t>
      </w:r>
    </w:p>
    <w:p>
      <w:pPr>
        <w:pStyle w:val="ListBullet"/>
      </w:pPr>
      <w:r>
        <w:t>Capture and redact evidence, record AccessDenied as a finding, and prepare remediation recommendations without applying them.</w:t>
      </w:r>
    </w:p>
    <w:p>
      <w:pPr>
        <w:pStyle w:val="Heading2"/>
      </w:pPr>
      <w:r>
        <w:t>Exclusions and agreement controls</w:t>
      </w:r>
    </w:p>
    <w:p>
      <w:pPr>
        <w:pStyle w:val="ListBullet"/>
      </w:pPr>
      <w:r>
        <w:t>No IAM, EC2, S3, CloudFront, VPC, database, logging, backup, or monitoring resource will be created.</w:t>
      </w:r>
    </w:p>
    <w:p>
      <w:pPr>
        <w:pStyle w:val="ListBullet"/>
      </w:pPr>
      <w:r>
        <w:t>No permissions, policies, credentials, MFA devices, budgets, trails, or account settings will be changed.</w:t>
      </w:r>
    </w:p>
    <w:p>
      <w:pPr>
        <w:pStyle w:val="ListBullet"/>
      </w:pPr>
      <w:r>
        <w:t>No access key, secret key, session token, password, MFA seed, full account number, or private email will enter the portfolio package.</w:t>
      </w:r>
    </w:p>
    <w:p>
      <w:pPr>
        <w:pStyle w:val="ListBullet"/>
      </w:pPr>
      <w:r>
        <w:t>This is training evidence and must not be represented as paid client or production experience.</w:t>
      </w:r>
    </w:p>
    <w:p>
      <w:pPr>
        <w:pStyle w:val="Heading1"/>
      </w:pPr>
      <w:r>
        <w:t>Architecture and trust boundaries</w:t>
      </w:r>
    </w:p>
    <w:p>
      <w:r>
        <w:t>Operator with MFA -&gt; AWS Console or CloudShell -&gt; STS identity verification -&gt; IAM, S3, CloudFront, CloudTrail and Billing read-only queries -&gt; local redaction workspace -&gt; independent AI review -&gt; portfolio case study.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2592"/>
            <w:shd w:fill="17365D"/>
            <w:vAlign w:val="center"/>
          </w:tcPr>
          <w:p>
            <w:r>
              <w:rPr>
                <w:b/>
                <w:color w:val="FFFFFF"/>
                <w:sz w:val="18"/>
              </w:rPr>
              <w:t>Boundary</w:t>
            </w:r>
          </w:p>
        </w:tc>
        <w:tc>
          <w:tcPr>
            <w:tcW w:type="dxa" w:w="3456"/>
            <w:shd w:fill="17365D"/>
            <w:vAlign w:val="center"/>
          </w:tcPr>
          <w:p>
            <w:r>
              <w:rPr>
                <w:b/>
                <w:color w:val="FFFFFF"/>
                <w:sz w:val="18"/>
              </w:rPr>
              <w:t>Allowed flow</w:t>
            </w:r>
          </w:p>
        </w:tc>
        <w:tc>
          <w:tcPr>
            <w:tcW w:type="dxa" w:w="3888"/>
            <w:shd w:fill="17365D"/>
            <w:vAlign w:val="center"/>
          </w:tcPr>
          <w:p>
            <w:r>
              <w:rPr>
                <w:b/>
                <w:color w:val="FFFFFF"/>
                <w:sz w:val="18"/>
              </w:rPr>
              <w:t>Control</w:t>
            </w:r>
          </w:p>
        </w:tc>
      </w:tr>
      <w:tr>
        <w:tc>
          <w:tcPr>
            <w:tcW w:type="dxa" w:w="2592"/>
            <w:vAlign w:val="center"/>
          </w:tcPr>
          <w:p>
            <w:r>
              <w:rPr>
                <w:sz w:val="17"/>
              </w:rPr>
              <w:t>Operator device to AWS</w:t>
            </w:r>
          </w:p>
        </w:tc>
        <w:tc>
          <w:tcPr>
            <w:tcW w:type="dxa" w:w="3456"/>
            <w:vAlign w:val="center"/>
          </w:tcPr>
          <w:p>
            <w:r>
              <w:rPr>
                <w:sz w:val="17"/>
              </w:rPr>
              <w:t>HTTPS console and CloudShell session</w:t>
            </w:r>
          </w:p>
        </w:tc>
        <w:tc>
          <w:tcPr>
            <w:tcW w:type="dxa" w:w="3888"/>
            <w:vAlign w:val="center"/>
          </w:tcPr>
          <w:p>
            <w:r>
              <w:rPr>
                <w:sz w:val="17"/>
              </w:rPr>
              <w:t>MFA-protected operator; temporary authenticated session</w:t>
            </w:r>
          </w:p>
        </w:tc>
      </w:tr>
      <w:tr>
        <w:tc>
          <w:tcPr>
            <w:tcW w:type="dxa" w:w="2592"/>
            <w:vAlign w:val="center"/>
            <w:shd w:fill="F3F5F7"/>
          </w:tcPr>
          <w:p>
            <w:r>
              <w:rPr>
                <w:sz w:val="17"/>
              </w:rPr>
              <w:t>AWS account services</w:t>
            </w:r>
          </w:p>
        </w:tc>
        <w:tc>
          <w:tcPr>
            <w:tcW w:type="dxa" w:w="3456"/>
            <w:vAlign w:val="center"/>
            <w:shd w:fill="F3F5F7"/>
          </w:tcPr>
          <w:p>
            <w:r>
              <w:rPr>
                <w:sz w:val="17"/>
              </w:rPr>
              <w:t>Read-only List, Get, Describe and Lookup operations</w:t>
            </w:r>
          </w:p>
        </w:tc>
        <w:tc>
          <w:tcPr>
            <w:tcW w:type="dxa" w:w="3888"/>
            <w:vAlign w:val="center"/>
            <w:shd w:fill="F3F5F7"/>
          </w:tcPr>
          <w:p>
            <w:r>
              <w:rPr>
                <w:sz w:val="17"/>
              </w:rPr>
              <w:t>No Create, Put, Update, Attach, Detach or Delete actions</w:t>
            </w:r>
          </w:p>
        </w:tc>
      </w:tr>
      <w:tr>
        <w:tc>
          <w:tcPr>
            <w:tcW w:type="dxa" w:w="2592"/>
            <w:vAlign w:val="center"/>
          </w:tcPr>
          <w:p>
            <w:r>
              <w:rPr>
                <w:sz w:val="17"/>
              </w:rPr>
              <w:t>AWS results to evidence</w:t>
            </w:r>
          </w:p>
        </w:tc>
        <w:tc>
          <w:tcPr>
            <w:tcW w:type="dxa" w:w="3456"/>
            <w:vAlign w:val="center"/>
          </w:tcPr>
          <w:p>
            <w:r>
              <w:rPr>
                <w:sz w:val="17"/>
              </w:rPr>
              <w:t>Screenshots and copied query output</w:t>
            </w:r>
          </w:p>
        </w:tc>
        <w:tc>
          <w:tcPr>
            <w:tcW w:type="dxa" w:w="3888"/>
            <w:vAlign w:val="center"/>
          </w:tcPr>
          <w:p>
            <w:r>
              <w:rPr>
                <w:sz w:val="17"/>
              </w:rPr>
              <w:t>Redact identifiers and exclude credentials</w:t>
            </w:r>
          </w:p>
        </w:tc>
      </w:tr>
      <w:tr>
        <w:tc>
          <w:tcPr>
            <w:tcW w:type="dxa" w:w="2592"/>
            <w:vAlign w:val="center"/>
            <w:shd w:fill="F3F5F7"/>
          </w:tcPr>
          <w:p>
            <w:r>
              <w:rPr>
                <w:sz w:val="17"/>
              </w:rPr>
              <w:t>Evidence to external AI</w:t>
            </w:r>
          </w:p>
        </w:tc>
        <w:tc>
          <w:tcPr>
            <w:tcW w:type="dxa" w:w="3456"/>
            <w:vAlign w:val="center"/>
            <w:shd w:fill="F3F5F7"/>
          </w:tcPr>
          <w:p>
            <w:r>
              <w:rPr>
                <w:sz w:val="17"/>
              </w:rPr>
              <w:t>Consolidated review package</w:t>
            </w:r>
          </w:p>
        </w:tc>
        <w:tc>
          <w:tcPr>
            <w:tcW w:type="dxa" w:w="3888"/>
            <w:vAlign w:val="center"/>
            <w:shd w:fill="F3F5F7"/>
          </w:tcPr>
          <w:p>
            <w:r>
              <w:rPr>
                <w:sz w:val="17"/>
              </w:rPr>
              <w:t>Share only approved redacted content</w:t>
            </w:r>
          </w:p>
        </w:tc>
      </w:tr>
    </w:tbl>
    <w:p/>
    <w:p>
      <w:pPr>
        <w:pStyle w:val="Heading1"/>
      </w:pPr>
      <w:r>
        <w:t>Project plan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944"/>
            <w:shd w:fill="17365D"/>
            <w:vAlign w:val="center"/>
          </w:tcPr>
          <w:p>
            <w:r>
              <w:rPr>
                <w:b/>
                <w:color w:val="FFFFFF"/>
                <w:sz w:val="18"/>
              </w:rPr>
              <w:t>Phase</w:t>
            </w:r>
          </w:p>
        </w:tc>
        <w:tc>
          <w:tcPr>
            <w:tcW w:type="dxa" w:w="5040"/>
            <w:shd w:fill="17365D"/>
            <w:vAlign w:val="center"/>
          </w:tcPr>
          <w:p>
            <w:r>
              <w:rPr>
                <w:b/>
                <w:color w:val="FFFFFF"/>
                <w:sz w:val="18"/>
              </w:rPr>
              <w:t>Activities</w:t>
            </w:r>
          </w:p>
        </w:tc>
        <w:tc>
          <w:tcPr>
            <w:tcW w:type="dxa" w:w="2952"/>
            <w:shd w:fill="17365D"/>
            <w:vAlign w:val="center"/>
          </w:tcPr>
          <w:p>
            <w:r>
              <w:rPr>
                <w:b/>
                <w:color w:val="FFFFFF"/>
                <w:sz w:val="18"/>
              </w:rPr>
              <w:t>Output</w:t>
            </w:r>
          </w:p>
        </w:tc>
      </w:tr>
      <w:tr>
        <w:tc>
          <w:tcPr>
            <w:tcW w:type="dxa" w:w="1944"/>
            <w:vAlign w:val="center"/>
          </w:tcPr>
          <w:p>
            <w:r>
              <w:rPr>
                <w:sz w:val="17"/>
              </w:rPr>
              <w:t>1 Scope and access</w:t>
            </w:r>
          </w:p>
        </w:tc>
        <w:tc>
          <w:tcPr>
            <w:tcW w:type="dxa" w:w="5040"/>
            <w:vAlign w:val="center"/>
          </w:tcPr>
          <w:p>
            <w:r>
              <w:rPr>
                <w:sz w:val="17"/>
              </w:rPr>
              <w:t>Confirm read-only rule, identity, evidence naming and redaction standard</w:t>
            </w:r>
          </w:p>
        </w:tc>
        <w:tc>
          <w:tcPr>
            <w:tcW w:type="dxa" w:w="2952"/>
            <w:vAlign w:val="center"/>
          </w:tcPr>
          <w:p>
            <w:r>
              <w:rPr>
                <w:sz w:val="17"/>
              </w:rPr>
              <w:t>Approved scope record</w:t>
            </w:r>
          </w:p>
        </w:tc>
      </w:tr>
      <w:tr>
        <w:tc>
          <w:tcPr>
            <w:tcW w:type="dxa" w:w="1944"/>
            <w:vAlign w:val="center"/>
            <w:shd w:fill="F3F5F7"/>
          </w:tcPr>
          <w:p>
            <w:r>
              <w:rPr>
                <w:sz w:val="17"/>
              </w:rPr>
              <w:t>2 Inventory</w:t>
            </w:r>
          </w:p>
        </w:tc>
        <w:tc>
          <w:tcPr>
            <w:tcW w:type="dxa" w:w="5040"/>
            <w:vAlign w:val="center"/>
            <w:shd w:fill="F3F5F7"/>
          </w:tcPr>
          <w:p>
            <w:r>
              <w:rPr>
                <w:sz w:val="17"/>
              </w:rPr>
              <w:t>Run IAM, S3 and CloudFront checks</w:t>
            </w:r>
          </w:p>
        </w:tc>
        <w:tc>
          <w:tcPr>
            <w:tcW w:type="dxa" w:w="2952"/>
            <w:vAlign w:val="center"/>
            <w:shd w:fill="F3F5F7"/>
          </w:tcPr>
          <w:p>
            <w:r>
              <w:rPr>
                <w:sz w:val="17"/>
              </w:rPr>
              <w:t>Inventory and screenshots</w:t>
            </w:r>
          </w:p>
        </w:tc>
      </w:tr>
      <w:tr>
        <w:tc>
          <w:tcPr>
            <w:tcW w:type="dxa" w:w="1944"/>
            <w:vAlign w:val="center"/>
          </w:tcPr>
          <w:p>
            <w:r>
              <w:rPr>
                <w:sz w:val="17"/>
              </w:rPr>
              <w:t>3 Validate</w:t>
            </w:r>
          </w:p>
        </w:tc>
        <w:tc>
          <w:tcPr>
            <w:tcW w:type="dxa" w:w="5040"/>
            <w:vAlign w:val="center"/>
          </w:tcPr>
          <w:p>
            <w:r>
              <w:rPr>
                <w:sz w:val="17"/>
              </w:rPr>
              <w:t>Review MFA, credentials, CloudTrail and billing</w:t>
            </w:r>
          </w:p>
        </w:tc>
        <w:tc>
          <w:tcPr>
            <w:tcW w:type="dxa" w:w="2952"/>
            <w:vAlign w:val="center"/>
          </w:tcPr>
          <w:p>
            <w:r>
              <w:rPr>
                <w:sz w:val="17"/>
              </w:rPr>
              <w:t>Test results and findings</w:t>
            </w:r>
          </w:p>
        </w:tc>
      </w:tr>
      <w:tr>
        <w:tc>
          <w:tcPr>
            <w:tcW w:type="dxa" w:w="1944"/>
            <w:vAlign w:val="center"/>
            <w:shd w:fill="F3F5F7"/>
          </w:tcPr>
          <w:p>
            <w:r>
              <w:rPr>
                <w:sz w:val="17"/>
              </w:rPr>
              <w:t>4 Review</w:t>
            </w:r>
          </w:p>
        </w:tc>
        <w:tc>
          <w:tcPr>
            <w:tcW w:type="dxa" w:w="5040"/>
            <w:vAlign w:val="center"/>
            <w:shd w:fill="F3F5F7"/>
          </w:tcPr>
          <w:p>
            <w:r>
              <w:rPr>
                <w:sz w:val="17"/>
              </w:rPr>
              <w:t>Export one-form AI package and record corrections</w:t>
            </w:r>
          </w:p>
        </w:tc>
        <w:tc>
          <w:tcPr>
            <w:tcW w:type="dxa" w:w="2952"/>
            <w:vAlign w:val="center"/>
            <w:shd w:fill="F3F5F7"/>
          </w:tcPr>
          <w:p>
            <w:r>
              <w:rPr>
                <w:sz w:val="17"/>
              </w:rPr>
              <w:t>Independent review record</w:t>
            </w:r>
          </w:p>
        </w:tc>
      </w:tr>
      <w:tr>
        <w:tc>
          <w:tcPr>
            <w:tcW w:type="dxa" w:w="1944"/>
            <w:vAlign w:val="center"/>
          </w:tcPr>
          <w:p>
            <w:r>
              <w:rPr>
                <w:sz w:val="17"/>
              </w:rPr>
              <w:t>5 Handover</w:t>
            </w:r>
          </w:p>
        </w:tc>
        <w:tc>
          <w:tcPr>
            <w:tcW w:type="dxa" w:w="5040"/>
            <w:vAlign w:val="center"/>
          </w:tcPr>
          <w:p>
            <w:r>
              <w:rPr>
                <w:sz w:val="17"/>
              </w:rPr>
              <w:t>Finalize portfolio case study and lessons learned</w:t>
            </w:r>
          </w:p>
        </w:tc>
        <w:tc>
          <w:tcPr>
            <w:tcW w:type="dxa" w:w="2952"/>
            <w:vAlign w:val="center"/>
          </w:tcPr>
          <w:p>
            <w:r>
              <w:rPr>
                <w:sz w:val="17"/>
              </w:rPr>
              <w:t>Portfolio dossier</w:t>
            </w:r>
          </w:p>
        </w:tc>
      </w:tr>
    </w:tbl>
    <w:p/>
    <w:p>
      <w:pPr>
        <w:pStyle w:val="Heading1"/>
      </w:pPr>
      <w:r>
        <w:t>Practical AWS console runbook</w:t>
      </w:r>
    </w:p>
    <w:p>
      <w:pPr>
        <w:pStyle w:val="ListNumber"/>
      </w:pPr>
      <w:r>
        <w:t>Sign in as the MFA-protected operator, not the root user.</w:t>
      </w:r>
    </w:p>
    <w:p>
      <w:pPr>
        <w:pStyle w:val="ListNumber"/>
      </w:pPr>
      <w:r>
        <w:t>Open CloudShell and run aws sts get-caller-identity. Confirm the expected identity, then redact the account number in evidence.</w:t>
      </w:r>
    </w:p>
    <w:p>
      <w:pPr>
        <w:pStyle w:val="ListNumber"/>
      </w:pPr>
      <w:r>
        <w:t>Run aws iam get-account-summary. Record the root MFA indicator and account-level counts.</w:t>
      </w:r>
    </w:p>
    <w:p>
      <w:pPr>
        <w:pStyle w:val="ListNumber"/>
      </w:pPr>
      <w:r>
        <w:t>Run aws iam generate-credential-report, wait for completion, then run aws iam get-credential-report --query Content --output text. Do not publish the raw report.</w:t>
      </w:r>
    </w:p>
    <w:p>
      <w:pPr>
        <w:pStyle w:val="ListNumber"/>
      </w:pPr>
      <w:r>
        <w:t>Run aws iam list-users, aws iam list-groups, aws iam list-roles and aws iam list-policies --scope Local. Record only security-relevant summaries.</w:t>
      </w:r>
    </w:p>
    <w:p>
      <w:pPr>
        <w:pStyle w:val="ListNumber"/>
      </w:pPr>
      <w:r>
        <w:t>Run aws s3api list-buckets --query "Buckets[].Name". Expected post-teardown result is an empty list.</w:t>
      </w:r>
    </w:p>
    <w:p>
      <w:pPr>
        <w:pStyle w:val="ListNumber"/>
      </w:pPr>
      <w:r>
        <w:t>Run aws cloudfront list-distributions --query "DistributionList.Items[].{Id:Id,Domain:DomainName,Enabled:Enabled}". Expected post-teardown result is null or an empty list.</w:t>
      </w:r>
    </w:p>
    <w:p>
      <w:pPr>
        <w:pStyle w:val="ListNumber"/>
      </w:pPr>
      <w:r>
        <w:t>Open CloudTrail Event history or run aws cloudtrail lookup-events --max-results 20. Record successful activity or AccessDenied. Do not enable a trail.</w:t>
      </w:r>
    </w:p>
    <w:p>
      <w:pPr>
        <w:pStyle w:val="ListNumber"/>
      </w:pPr>
      <w:r>
        <w:t>Open Billing and Cost Management. Review current-month charges and credits for S3, CloudFront and EC2. Do not claim zero cost until the billing view supports it.</w:t>
      </w:r>
    </w:p>
    <w:p>
      <w:pPr>
        <w:pStyle w:val="ListNumber"/>
      </w:pPr>
      <w:r>
        <w:t>Complete the test table, redact screenshots, export the one-form AI verification package, paste the independent findings back into the application, correct the dossier and retest.</w:t>
      </w:r>
    </w:p>
    <w:p>
      <w:pPr>
        <w:pStyle w:val="Heading2"/>
      </w:pPr>
      <w:r>
        <w:t>Command safety rule</w:t>
      </w:r>
    </w:p>
    <w:p>
      <w:r>
        <w:t>Before pressing Enter, confirm the command begins with aws and uses only get, list, describe or lookup semantics. Stop if a command contains create, put, update, attach, detach, enable, disable, delete, terminate or modify.</w:t>
      </w:r>
    </w:p>
    <w:p>
      <w:pPr>
        <w:pStyle w:val="Heading1"/>
      </w:pPr>
      <w:r>
        <w:t>Test and evidence matrix</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c>
          <w:tcPr>
            <w:tcW w:type="dxa" w:w="792"/>
            <w:shd w:fill="17365D"/>
            <w:vAlign w:val="center"/>
          </w:tcPr>
          <w:p>
            <w:r>
              <w:rPr>
                <w:b/>
                <w:color w:val="FFFFFF"/>
                <w:sz w:val="18"/>
              </w:rPr>
              <w:t>ID</w:t>
            </w:r>
          </w:p>
        </w:tc>
        <w:tc>
          <w:tcPr>
            <w:tcW w:type="dxa" w:w="1944"/>
            <w:shd w:fill="17365D"/>
            <w:vAlign w:val="center"/>
          </w:tcPr>
          <w:p>
            <w:r>
              <w:rPr>
                <w:b/>
                <w:color w:val="FFFFFF"/>
                <w:sz w:val="18"/>
              </w:rPr>
              <w:t>Test</w:t>
            </w:r>
          </w:p>
        </w:tc>
        <w:tc>
          <w:tcPr>
            <w:tcW w:type="dxa" w:w="3240"/>
            <w:shd w:fill="17365D"/>
            <w:vAlign w:val="center"/>
          </w:tcPr>
          <w:p>
            <w:r>
              <w:rPr>
                <w:b/>
                <w:color w:val="FFFFFF"/>
                <w:sz w:val="18"/>
              </w:rPr>
              <w:t>Expected result</w:t>
            </w:r>
          </w:p>
        </w:tc>
        <w:tc>
          <w:tcPr>
            <w:tcW w:type="dxa" w:w="1512"/>
            <w:shd w:fill="17365D"/>
            <w:vAlign w:val="center"/>
          </w:tcPr>
          <w:p>
            <w:r>
              <w:rPr>
                <w:b/>
                <w:color w:val="FFFFFF"/>
                <w:sz w:val="18"/>
              </w:rPr>
              <w:t>Actual result</w:t>
            </w:r>
          </w:p>
        </w:tc>
        <w:tc>
          <w:tcPr>
            <w:tcW w:type="dxa" w:w="2520"/>
            <w:shd w:fill="17365D"/>
            <w:vAlign w:val="center"/>
          </w:tcPr>
          <w:p>
            <w:r>
              <w:rPr>
                <w:b/>
                <w:color w:val="FFFFFF"/>
                <w:sz w:val="18"/>
              </w:rPr>
              <w:t>Screenshot</w:t>
            </w:r>
          </w:p>
        </w:tc>
      </w:tr>
      <w:tr>
        <w:tc>
          <w:tcPr>
            <w:tcW w:type="dxa" w:w="792"/>
            <w:vAlign w:val="center"/>
          </w:tcPr>
          <w:p>
            <w:r>
              <w:rPr>
                <w:sz w:val="17"/>
              </w:rPr>
              <w:t>T01</w:t>
            </w:r>
          </w:p>
        </w:tc>
        <w:tc>
          <w:tcPr>
            <w:tcW w:type="dxa" w:w="1944"/>
            <w:vAlign w:val="center"/>
          </w:tcPr>
          <w:p>
            <w:r>
              <w:rPr>
                <w:sz w:val="17"/>
              </w:rPr>
              <w:t>Caller identity</w:t>
            </w:r>
          </w:p>
        </w:tc>
        <w:tc>
          <w:tcPr>
            <w:tcW w:type="dxa" w:w="3240"/>
            <w:vAlign w:val="center"/>
          </w:tcPr>
          <w:p>
            <w:r>
              <w:rPr>
                <w:sz w:val="17"/>
              </w:rPr>
              <w:t>Expected operator returned</w:t>
            </w:r>
          </w:p>
        </w:tc>
        <w:tc>
          <w:tcPr>
            <w:tcW w:type="dxa" w:w="1512"/>
            <w:vAlign w:val="center"/>
          </w:tcPr>
          <w:p>
            <w:r>
              <w:rPr>
                <w:sz w:val="17"/>
              </w:rPr>
              <w:t>Pending</w:t>
            </w:r>
          </w:p>
        </w:tc>
        <w:tc>
          <w:tcPr>
            <w:tcW w:type="dxa" w:w="2520"/>
            <w:vAlign w:val="center"/>
          </w:tcPr>
          <w:p>
            <w:r>
              <w:rPr>
                <w:sz w:val="17"/>
              </w:rPr>
              <w:t>01-sts-caller-redacted.png</w:t>
            </w:r>
          </w:p>
        </w:tc>
      </w:tr>
      <w:tr>
        <w:tc>
          <w:tcPr>
            <w:tcW w:type="dxa" w:w="792"/>
            <w:vAlign w:val="center"/>
            <w:shd w:fill="F3F5F7"/>
          </w:tcPr>
          <w:p>
            <w:r>
              <w:rPr>
                <w:sz w:val="17"/>
              </w:rPr>
              <w:t>T02</w:t>
            </w:r>
          </w:p>
        </w:tc>
        <w:tc>
          <w:tcPr>
            <w:tcW w:type="dxa" w:w="1944"/>
            <w:vAlign w:val="center"/>
            <w:shd w:fill="F3F5F7"/>
          </w:tcPr>
          <w:p>
            <w:r>
              <w:rPr>
                <w:sz w:val="17"/>
              </w:rPr>
              <w:t>Root MFA indicator</w:t>
            </w:r>
          </w:p>
        </w:tc>
        <w:tc>
          <w:tcPr>
            <w:tcW w:type="dxa" w:w="3240"/>
            <w:vAlign w:val="center"/>
            <w:shd w:fill="F3F5F7"/>
          </w:tcPr>
          <w:p>
            <w:r>
              <w:rPr>
                <w:sz w:val="17"/>
              </w:rPr>
              <w:t>MFA enabled value recorded</w:t>
            </w:r>
          </w:p>
        </w:tc>
        <w:tc>
          <w:tcPr>
            <w:tcW w:type="dxa" w:w="1512"/>
            <w:vAlign w:val="center"/>
            <w:shd w:fill="F3F5F7"/>
          </w:tcPr>
          <w:p>
            <w:r>
              <w:rPr>
                <w:sz w:val="17"/>
              </w:rPr>
              <w:t>Pending</w:t>
            </w:r>
          </w:p>
        </w:tc>
        <w:tc>
          <w:tcPr>
            <w:tcW w:type="dxa" w:w="2520"/>
            <w:vAlign w:val="center"/>
            <w:shd w:fill="F3F5F7"/>
          </w:tcPr>
          <w:p>
            <w:r>
              <w:rPr>
                <w:sz w:val="17"/>
              </w:rPr>
              <w:t>02-iam-summary-redacted.png</w:t>
            </w:r>
          </w:p>
        </w:tc>
      </w:tr>
      <w:tr>
        <w:tc>
          <w:tcPr>
            <w:tcW w:type="dxa" w:w="792"/>
            <w:vAlign w:val="center"/>
          </w:tcPr>
          <w:p>
            <w:r>
              <w:rPr>
                <w:sz w:val="17"/>
              </w:rPr>
              <w:t>T03</w:t>
            </w:r>
          </w:p>
        </w:tc>
        <w:tc>
          <w:tcPr>
            <w:tcW w:type="dxa" w:w="1944"/>
            <w:vAlign w:val="center"/>
          </w:tcPr>
          <w:p>
            <w:r>
              <w:rPr>
                <w:sz w:val="17"/>
              </w:rPr>
              <w:t>Credential hygiene</w:t>
            </w:r>
          </w:p>
        </w:tc>
        <w:tc>
          <w:tcPr>
            <w:tcW w:type="dxa" w:w="3240"/>
            <w:vAlign w:val="center"/>
          </w:tcPr>
          <w:p>
            <w:r>
              <w:rPr>
                <w:sz w:val="17"/>
              </w:rPr>
              <w:t>Credential report reviewed locally</w:t>
            </w:r>
          </w:p>
        </w:tc>
        <w:tc>
          <w:tcPr>
            <w:tcW w:type="dxa" w:w="1512"/>
            <w:vAlign w:val="center"/>
          </w:tcPr>
          <w:p>
            <w:r>
              <w:rPr>
                <w:sz w:val="17"/>
              </w:rPr>
              <w:t>Pending</w:t>
            </w:r>
          </w:p>
        </w:tc>
        <w:tc>
          <w:tcPr>
            <w:tcW w:type="dxa" w:w="2520"/>
            <w:vAlign w:val="center"/>
          </w:tcPr>
          <w:p>
            <w:r>
              <w:rPr>
                <w:sz w:val="17"/>
              </w:rPr>
              <w:t>03-credential-findings.png</w:t>
            </w:r>
          </w:p>
        </w:tc>
      </w:tr>
      <w:tr>
        <w:tc>
          <w:tcPr>
            <w:tcW w:type="dxa" w:w="792"/>
            <w:vAlign w:val="center"/>
            <w:shd w:fill="F3F5F7"/>
          </w:tcPr>
          <w:p>
            <w:r>
              <w:rPr>
                <w:sz w:val="17"/>
              </w:rPr>
              <w:t>T04</w:t>
            </w:r>
          </w:p>
        </w:tc>
        <w:tc>
          <w:tcPr>
            <w:tcW w:type="dxa" w:w="1944"/>
            <w:vAlign w:val="center"/>
            <w:shd w:fill="F3F5F7"/>
          </w:tcPr>
          <w:p>
            <w:r>
              <w:rPr>
                <w:sz w:val="17"/>
              </w:rPr>
              <w:t>S3 inventory</w:t>
            </w:r>
          </w:p>
        </w:tc>
        <w:tc>
          <w:tcPr>
            <w:tcW w:type="dxa" w:w="3240"/>
            <w:vAlign w:val="center"/>
            <w:shd w:fill="F3F5F7"/>
          </w:tcPr>
          <w:p>
            <w:r>
              <w:rPr>
                <w:sz w:val="17"/>
              </w:rPr>
              <w:t>No buckets after teardown</w:t>
            </w:r>
          </w:p>
        </w:tc>
        <w:tc>
          <w:tcPr>
            <w:tcW w:type="dxa" w:w="1512"/>
            <w:vAlign w:val="center"/>
            <w:shd w:fill="F3F5F7"/>
          </w:tcPr>
          <w:p>
            <w:r>
              <w:rPr>
                <w:sz w:val="17"/>
              </w:rPr>
              <w:t>Pending</w:t>
            </w:r>
          </w:p>
        </w:tc>
        <w:tc>
          <w:tcPr>
            <w:tcW w:type="dxa" w:w="2520"/>
            <w:vAlign w:val="center"/>
            <w:shd w:fill="F3F5F7"/>
          </w:tcPr>
          <w:p>
            <w:r>
              <w:rPr>
                <w:sz w:val="17"/>
              </w:rPr>
              <w:t>04-s3-inventory.png</w:t>
            </w:r>
          </w:p>
        </w:tc>
      </w:tr>
      <w:tr>
        <w:tc>
          <w:tcPr>
            <w:tcW w:type="dxa" w:w="792"/>
            <w:vAlign w:val="center"/>
          </w:tcPr>
          <w:p>
            <w:r>
              <w:rPr>
                <w:sz w:val="17"/>
              </w:rPr>
              <w:t>T05</w:t>
            </w:r>
          </w:p>
        </w:tc>
        <w:tc>
          <w:tcPr>
            <w:tcW w:type="dxa" w:w="1944"/>
            <w:vAlign w:val="center"/>
          </w:tcPr>
          <w:p>
            <w:r>
              <w:rPr>
                <w:sz w:val="17"/>
              </w:rPr>
              <w:t>CloudFront inventory</w:t>
            </w:r>
          </w:p>
        </w:tc>
        <w:tc>
          <w:tcPr>
            <w:tcW w:type="dxa" w:w="3240"/>
            <w:vAlign w:val="center"/>
          </w:tcPr>
          <w:p>
            <w:r>
              <w:rPr>
                <w:sz w:val="17"/>
              </w:rPr>
              <w:t>No distributions after teardown</w:t>
            </w:r>
          </w:p>
        </w:tc>
        <w:tc>
          <w:tcPr>
            <w:tcW w:type="dxa" w:w="1512"/>
            <w:vAlign w:val="center"/>
          </w:tcPr>
          <w:p>
            <w:r>
              <w:rPr>
                <w:sz w:val="17"/>
              </w:rPr>
              <w:t>Pending</w:t>
            </w:r>
          </w:p>
        </w:tc>
        <w:tc>
          <w:tcPr>
            <w:tcW w:type="dxa" w:w="2520"/>
            <w:vAlign w:val="center"/>
          </w:tcPr>
          <w:p>
            <w:r>
              <w:rPr>
                <w:sz w:val="17"/>
              </w:rPr>
              <w:t>05-cloudfront-inventory.png</w:t>
            </w:r>
          </w:p>
        </w:tc>
      </w:tr>
      <w:tr>
        <w:tc>
          <w:tcPr>
            <w:tcW w:type="dxa" w:w="792"/>
            <w:vAlign w:val="center"/>
            <w:shd w:fill="F3F5F7"/>
          </w:tcPr>
          <w:p>
            <w:r>
              <w:rPr>
                <w:sz w:val="17"/>
              </w:rPr>
              <w:t>T06</w:t>
            </w:r>
          </w:p>
        </w:tc>
        <w:tc>
          <w:tcPr>
            <w:tcW w:type="dxa" w:w="1944"/>
            <w:vAlign w:val="center"/>
            <w:shd w:fill="F3F5F7"/>
          </w:tcPr>
          <w:p>
            <w:r>
              <w:rPr>
                <w:sz w:val="17"/>
              </w:rPr>
              <w:t>Audit history</w:t>
            </w:r>
          </w:p>
        </w:tc>
        <w:tc>
          <w:tcPr>
            <w:tcW w:type="dxa" w:w="3240"/>
            <w:vAlign w:val="center"/>
            <w:shd w:fill="F3F5F7"/>
          </w:tcPr>
          <w:p>
            <w:r>
              <w:rPr>
                <w:sz w:val="17"/>
              </w:rPr>
              <w:t>Events reviewed or AccessDenied recorded</w:t>
            </w:r>
          </w:p>
        </w:tc>
        <w:tc>
          <w:tcPr>
            <w:tcW w:type="dxa" w:w="1512"/>
            <w:vAlign w:val="center"/>
            <w:shd w:fill="F3F5F7"/>
          </w:tcPr>
          <w:p>
            <w:r>
              <w:rPr>
                <w:sz w:val="17"/>
              </w:rPr>
              <w:t>Pending</w:t>
            </w:r>
          </w:p>
        </w:tc>
        <w:tc>
          <w:tcPr>
            <w:tcW w:type="dxa" w:w="2520"/>
            <w:vAlign w:val="center"/>
            <w:shd w:fill="F3F5F7"/>
          </w:tcPr>
          <w:p>
            <w:r>
              <w:rPr>
                <w:sz w:val="17"/>
              </w:rPr>
              <w:t>06-cloudtrail-review.png</w:t>
            </w:r>
          </w:p>
        </w:tc>
      </w:tr>
      <w:tr>
        <w:tc>
          <w:tcPr>
            <w:tcW w:type="dxa" w:w="792"/>
            <w:vAlign w:val="center"/>
          </w:tcPr>
          <w:p>
            <w:r>
              <w:rPr>
                <w:sz w:val="17"/>
              </w:rPr>
              <w:t>T07</w:t>
            </w:r>
          </w:p>
        </w:tc>
        <w:tc>
          <w:tcPr>
            <w:tcW w:type="dxa" w:w="1944"/>
            <w:vAlign w:val="center"/>
          </w:tcPr>
          <w:p>
            <w:r>
              <w:rPr>
                <w:sz w:val="17"/>
              </w:rPr>
              <w:t>Billing review</w:t>
            </w:r>
          </w:p>
        </w:tc>
        <w:tc>
          <w:tcPr>
            <w:tcW w:type="dxa" w:w="3240"/>
            <w:vAlign w:val="center"/>
          </w:tcPr>
          <w:p>
            <w:r>
              <w:rPr>
                <w:sz w:val="17"/>
              </w:rPr>
              <w:t>Current charges and credits recorded</w:t>
            </w:r>
          </w:p>
        </w:tc>
        <w:tc>
          <w:tcPr>
            <w:tcW w:type="dxa" w:w="1512"/>
            <w:vAlign w:val="center"/>
          </w:tcPr>
          <w:p>
            <w:r>
              <w:rPr>
                <w:sz w:val="17"/>
              </w:rPr>
              <w:t>Pending</w:t>
            </w:r>
          </w:p>
        </w:tc>
        <w:tc>
          <w:tcPr>
            <w:tcW w:type="dxa" w:w="2520"/>
            <w:vAlign w:val="center"/>
          </w:tcPr>
          <w:p>
            <w:r>
              <w:rPr>
                <w:sz w:val="17"/>
              </w:rPr>
              <w:t>07-billing-redacted.png</w:t>
            </w:r>
          </w:p>
        </w:tc>
      </w:tr>
      <w:tr>
        <w:tc>
          <w:tcPr>
            <w:tcW w:type="dxa" w:w="792"/>
            <w:vAlign w:val="center"/>
            <w:shd w:fill="F3F5F7"/>
          </w:tcPr>
          <w:p>
            <w:r>
              <w:rPr>
                <w:sz w:val="17"/>
              </w:rPr>
              <w:t>T08</w:t>
            </w:r>
          </w:p>
        </w:tc>
        <w:tc>
          <w:tcPr>
            <w:tcW w:type="dxa" w:w="1944"/>
            <w:vAlign w:val="center"/>
            <w:shd w:fill="F3F5F7"/>
          </w:tcPr>
          <w:p>
            <w:r>
              <w:rPr>
                <w:sz w:val="17"/>
              </w:rPr>
              <w:t>No resource creation</w:t>
            </w:r>
          </w:p>
        </w:tc>
        <w:tc>
          <w:tcPr>
            <w:tcW w:type="dxa" w:w="3240"/>
            <w:vAlign w:val="center"/>
            <w:shd w:fill="F3F5F7"/>
          </w:tcPr>
          <w:p>
            <w:r>
              <w:rPr>
                <w:sz w:val="17"/>
              </w:rPr>
              <w:t>Final inventory unchanged</w:t>
            </w:r>
          </w:p>
        </w:tc>
        <w:tc>
          <w:tcPr>
            <w:tcW w:type="dxa" w:w="1512"/>
            <w:vAlign w:val="center"/>
            <w:shd w:fill="F3F5F7"/>
          </w:tcPr>
          <w:p>
            <w:r>
              <w:rPr>
                <w:sz w:val="17"/>
              </w:rPr>
              <w:t>Pending</w:t>
            </w:r>
          </w:p>
        </w:tc>
        <w:tc>
          <w:tcPr>
            <w:tcW w:type="dxa" w:w="2520"/>
            <w:vAlign w:val="center"/>
            <w:shd w:fill="F3F5F7"/>
          </w:tcPr>
          <w:p>
            <w:r>
              <w:rPr>
                <w:sz w:val="17"/>
              </w:rPr>
              <w:t>08-final-attestation.png</w:t>
            </w:r>
          </w:p>
        </w:tc>
      </w:tr>
    </w:tbl>
    <w:p/>
    <w:p>
      <w:pPr>
        <w:pStyle w:val="Heading1"/>
      </w:pPr>
      <w:r>
        <w:t>Screenshot standard</w:t>
      </w:r>
    </w:p>
    <w:p>
      <w:pPr>
        <w:pStyle w:val="ListBullet"/>
      </w:pPr>
      <w:r>
        <w:t>Capture the whole relevant AWS panel so the service and result are visible.</w:t>
      </w:r>
    </w:p>
    <w:p>
      <w:pPr>
        <w:pStyle w:val="ListBullet"/>
      </w:pPr>
      <w:r>
        <w:t>Hide account number, email address, user IDs, ARNs where unnecessary, access keys, tokens, passwords and MFA details.</w:t>
      </w:r>
    </w:p>
    <w:p>
      <w:pPr>
        <w:pStyle w:val="ListBullet"/>
      </w:pPr>
      <w:r>
        <w:t>Use the exact filenames in the test matrix.</w:t>
      </w:r>
    </w:p>
    <w:p>
      <w:pPr>
        <w:pStyle w:val="ListBullet"/>
      </w:pPr>
      <w:r>
        <w:t>Do not mark a test Passed until the screenshot is reviewed for redaction and matches the expected result.</w:t>
      </w:r>
    </w:p>
    <w:p>
      <w:pPr>
        <w:pStyle w:val="ListBullet"/>
      </w:pPr>
      <w:r>
        <w:t>Store screenshots in the linked portfolio evidence workspace; use captions explaining what each image proves.</w:t>
      </w:r>
    </w:p>
    <w:p>
      <w:pPr>
        <w:pStyle w:val="Heading1"/>
      </w:pPr>
      <w:r>
        <w:t>Findings and remediation record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0"/>
        <w:gridCol w:w="1680"/>
        <w:gridCol w:w="1680"/>
        <w:gridCol w:w="1680"/>
        <w:gridCol w:w="1680"/>
        <w:gridCol w:w="1680"/>
      </w:tblGrid>
      <w:tr>
        <w:tc>
          <w:tcPr>
            <w:tcW w:type="dxa" w:w="576"/>
            <w:shd w:fill="17365D"/>
            <w:vAlign w:val="center"/>
          </w:tcPr>
          <w:p>
            <w:r>
              <w:rPr>
                <w:b/>
                <w:color w:val="FFFFFF"/>
                <w:sz w:val="18"/>
              </w:rPr>
              <w:t>ID</w:t>
            </w:r>
          </w:p>
        </w:tc>
        <w:tc>
          <w:tcPr>
            <w:tcW w:type="dxa" w:w="1800"/>
            <w:shd w:fill="17365D"/>
            <w:vAlign w:val="center"/>
          </w:tcPr>
          <w:p>
            <w:r>
              <w:rPr>
                <w:b/>
                <w:color w:val="FFFFFF"/>
                <w:sz w:val="18"/>
              </w:rPr>
              <w:t>Finding</w:t>
            </w:r>
          </w:p>
        </w:tc>
        <w:tc>
          <w:tcPr>
            <w:tcW w:type="dxa" w:w="936"/>
            <w:shd w:fill="17365D"/>
            <w:vAlign w:val="center"/>
          </w:tcPr>
          <w:p>
            <w:r>
              <w:rPr>
                <w:b/>
                <w:color w:val="FFFFFF"/>
                <w:sz w:val="18"/>
              </w:rPr>
              <w:t>Severity</w:t>
            </w:r>
          </w:p>
        </w:tc>
        <w:tc>
          <w:tcPr>
            <w:tcW w:type="dxa" w:w="1728"/>
            <w:shd w:fill="17365D"/>
            <w:vAlign w:val="center"/>
          </w:tcPr>
          <w:p>
            <w:r>
              <w:rPr>
                <w:b/>
                <w:color w:val="FFFFFF"/>
                <w:sz w:val="18"/>
              </w:rPr>
              <w:t>Evidence</w:t>
            </w:r>
          </w:p>
        </w:tc>
        <w:tc>
          <w:tcPr>
            <w:tcW w:type="dxa" w:w="3960"/>
            <w:shd w:fill="17365D"/>
            <w:vAlign w:val="center"/>
          </w:tcPr>
          <w:p>
            <w:r>
              <w:rPr>
                <w:b/>
                <w:color w:val="FFFFFF"/>
                <w:sz w:val="18"/>
              </w:rPr>
              <w:t>Recommendation</w:t>
            </w:r>
          </w:p>
        </w:tc>
        <w:tc>
          <w:tcPr>
            <w:tcW w:type="dxa" w:w="936"/>
            <w:shd w:fill="17365D"/>
            <w:vAlign w:val="center"/>
          </w:tcPr>
          <w:p>
            <w:r>
              <w:rPr>
                <w:b/>
                <w:color w:val="FFFFFF"/>
                <w:sz w:val="18"/>
              </w:rPr>
              <w:t>Status</w:t>
            </w:r>
          </w:p>
        </w:tc>
      </w:tr>
      <w:tr>
        <w:tc>
          <w:tcPr>
            <w:tcW w:type="dxa" w:w="576"/>
            <w:vAlign w:val="center"/>
          </w:tcPr>
          <w:p>
            <w:r>
              <w:rPr>
                <w:sz w:val="17"/>
              </w:rPr>
              <w:t>F01</w:t>
            </w:r>
          </w:p>
        </w:tc>
        <w:tc>
          <w:tcPr>
            <w:tcW w:type="dxa" w:w="1800"/>
            <w:vAlign w:val="center"/>
          </w:tcPr>
          <w:p>
            <w:r>
              <w:rPr>
                <w:sz w:val="17"/>
              </w:rPr>
              <w:t>Permissions prevent one or more checks</w:t>
            </w:r>
          </w:p>
        </w:tc>
        <w:tc>
          <w:tcPr>
            <w:tcW w:type="dxa" w:w="936"/>
            <w:vAlign w:val="center"/>
          </w:tcPr>
          <w:p>
            <w:r>
              <w:rPr>
                <w:sz w:val="17"/>
              </w:rPr>
              <w:t>To assess</w:t>
            </w:r>
          </w:p>
        </w:tc>
        <w:tc>
          <w:tcPr>
            <w:tcW w:type="dxa" w:w="1728"/>
            <w:vAlign w:val="center"/>
          </w:tcPr>
          <w:p>
            <w:r>
              <w:rPr>
                <w:sz w:val="17"/>
              </w:rPr>
              <w:t>AccessDenied screenshot</w:t>
            </w:r>
          </w:p>
        </w:tc>
        <w:tc>
          <w:tcPr>
            <w:tcW w:type="dxa" w:w="3960"/>
            <w:vAlign w:val="center"/>
          </w:tcPr>
          <w:p>
            <w:r>
              <w:rPr>
                <w:sz w:val="17"/>
              </w:rPr>
              <w:t>Treat as least-privilege evidence; request only the minimum read permission if essential</w:t>
            </w:r>
          </w:p>
        </w:tc>
        <w:tc>
          <w:tcPr>
            <w:tcW w:type="dxa" w:w="936"/>
            <w:vAlign w:val="center"/>
          </w:tcPr>
          <w:p>
            <w:r>
              <w:rPr>
                <w:sz w:val="17"/>
              </w:rPr>
              <w:t>Open</w:t>
            </w:r>
          </w:p>
        </w:tc>
      </w:tr>
      <w:tr>
        <w:tc>
          <w:tcPr>
            <w:tcW w:type="dxa" w:w="576"/>
            <w:vAlign w:val="center"/>
            <w:shd w:fill="F3F5F7"/>
          </w:tcPr>
          <w:p>
            <w:r>
              <w:rPr>
                <w:sz w:val="17"/>
              </w:rPr>
              <w:t>F02</w:t>
            </w:r>
          </w:p>
        </w:tc>
        <w:tc>
          <w:tcPr>
            <w:tcW w:type="dxa" w:w="1800"/>
            <w:vAlign w:val="center"/>
            <w:shd w:fill="F3F5F7"/>
          </w:tcPr>
          <w:p>
            <w:r>
              <w:rPr>
                <w:sz w:val="17"/>
              </w:rPr>
              <w:t>Long-lived credentials or inactive identities</w:t>
            </w:r>
          </w:p>
        </w:tc>
        <w:tc>
          <w:tcPr>
            <w:tcW w:type="dxa" w:w="936"/>
            <w:vAlign w:val="center"/>
            <w:shd w:fill="F3F5F7"/>
          </w:tcPr>
          <w:p>
            <w:r>
              <w:rPr>
                <w:sz w:val="17"/>
              </w:rPr>
              <w:t>To assess</w:t>
            </w:r>
          </w:p>
        </w:tc>
        <w:tc>
          <w:tcPr>
            <w:tcW w:type="dxa" w:w="1728"/>
            <w:vAlign w:val="center"/>
            <w:shd w:fill="F3F5F7"/>
          </w:tcPr>
          <w:p>
            <w:r>
              <w:rPr>
                <w:sz w:val="17"/>
              </w:rPr>
              <w:t>Credential report finding</w:t>
            </w:r>
          </w:p>
        </w:tc>
        <w:tc>
          <w:tcPr>
            <w:tcW w:type="dxa" w:w="3960"/>
            <w:vAlign w:val="center"/>
            <w:shd w:fill="F3F5F7"/>
          </w:tcPr>
          <w:p>
            <w:r>
              <w:rPr>
                <w:sz w:val="17"/>
              </w:rPr>
              <w:t>Disable or rotate only through a separately approved change</w:t>
            </w:r>
          </w:p>
        </w:tc>
        <w:tc>
          <w:tcPr>
            <w:tcW w:type="dxa" w:w="936"/>
            <w:vAlign w:val="center"/>
            <w:shd w:fill="F3F5F7"/>
          </w:tcPr>
          <w:p>
            <w:r>
              <w:rPr>
                <w:sz w:val="17"/>
              </w:rPr>
              <w:t>Open</w:t>
            </w:r>
          </w:p>
        </w:tc>
      </w:tr>
      <w:tr>
        <w:tc>
          <w:tcPr>
            <w:tcW w:type="dxa" w:w="576"/>
            <w:vAlign w:val="center"/>
          </w:tcPr>
          <w:p>
            <w:r>
              <w:rPr>
                <w:sz w:val="17"/>
              </w:rPr>
              <w:t>F03</w:t>
            </w:r>
          </w:p>
        </w:tc>
        <w:tc>
          <w:tcPr>
            <w:tcW w:type="dxa" w:w="1800"/>
            <w:vAlign w:val="center"/>
          </w:tcPr>
          <w:p>
            <w:r>
              <w:rPr>
                <w:sz w:val="17"/>
              </w:rPr>
              <w:t>Residual AWS charge after teardown</w:t>
            </w:r>
          </w:p>
        </w:tc>
        <w:tc>
          <w:tcPr>
            <w:tcW w:type="dxa" w:w="936"/>
            <w:vAlign w:val="center"/>
          </w:tcPr>
          <w:p>
            <w:r>
              <w:rPr>
                <w:sz w:val="17"/>
              </w:rPr>
              <w:t>To assess</w:t>
            </w:r>
          </w:p>
        </w:tc>
        <w:tc>
          <w:tcPr>
            <w:tcW w:type="dxa" w:w="1728"/>
            <w:vAlign w:val="center"/>
          </w:tcPr>
          <w:p>
            <w:r>
              <w:rPr>
                <w:sz w:val="17"/>
              </w:rPr>
              <w:t>Billing view</w:t>
            </w:r>
          </w:p>
        </w:tc>
        <w:tc>
          <w:tcPr>
            <w:tcW w:type="dxa" w:w="3960"/>
            <w:vAlign w:val="center"/>
          </w:tcPr>
          <w:p>
            <w:r>
              <w:rPr>
                <w:sz w:val="17"/>
              </w:rPr>
              <w:t>Identify service, region and usage date before remediation</w:t>
            </w:r>
          </w:p>
        </w:tc>
        <w:tc>
          <w:tcPr>
            <w:tcW w:type="dxa" w:w="936"/>
            <w:vAlign w:val="center"/>
          </w:tcPr>
          <w:p>
            <w:r>
              <w:rPr>
                <w:sz w:val="17"/>
              </w:rPr>
              <w:t>Open</w:t>
            </w:r>
          </w:p>
        </w:tc>
      </w:tr>
      <w:tr>
        <w:tc>
          <w:tcPr>
            <w:tcW w:type="dxa" w:w="576"/>
            <w:vAlign w:val="center"/>
            <w:shd w:fill="F3F5F7"/>
          </w:tcPr>
          <w:p>
            <w:r>
              <w:rPr>
                <w:sz w:val="17"/>
              </w:rPr>
              <w:t>F04</w:t>
            </w:r>
          </w:p>
        </w:tc>
        <w:tc>
          <w:tcPr>
            <w:tcW w:type="dxa" w:w="1800"/>
            <w:vAlign w:val="center"/>
            <w:shd w:fill="F3F5F7"/>
          </w:tcPr>
          <w:p>
            <w:r>
              <w:rPr>
                <w:sz w:val="17"/>
              </w:rPr>
              <w:t>Sensitive data appears in evidence</w:t>
            </w:r>
          </w:p>
        </w:tc>
        <w:tc>
          <w:tcPr>
            <w:tcW w:type="dxa" w:w="936"/>
            <w:vAlign w:val="center"/>
            <w:shd w:fill="F3F5F7"/>
          </w:tcPr>
          <w:p>
            <w:r>
              <w:rPr>
                <w:sz w:val="17"/>
              </w:rPr>
              <w:t>High</w:t>
            </w:r>
          </w:p>
        </w:tc>
        <w:tc>
          <w:tcPr>
            <w:tcW w:type="dxa" w:w="1728"/>
            <w:vAlign w:val="center"/>
            <w:shd w:fill="F3F5F7"/>
          </w:tcPr>
          <w:p>
            <w:r>
              <w:rPr>
                <w:sz w:val="17"/>
              </w:rPr>
              <w:t>Evidence review</w:t>
            </w:r>
          </w:p>
        </w:tc>
        <w:tc>
          <w:tcPr>
            <w:tcW w:type="dxa" w:w="3960"/>
            <w:vAlign w:val="center"/>
            <w:shd w:fill="F3F5F7"/>
          </w:tcPr>
          <w:p>
            <w:r>
              <w:rPr>
                <w:sz w:val="17"/>
              </w:rPr>
              <w:t>Reject the screenshot, redact it and recapture</w:t>
            </w:r>
          </w:p>
        </w:tc>
        <w:tc>
          <w:tcPr>
            <w:tcW w:type="dxa" w:w="936"/>
            <w:vAlign w:val="center"/>
            <w:shd w:fill="F3F5F7"/>
          </w:tcPr>
          <w:p>
            <w:r>
              <w:rPr>
                <w:sz w:val="17"/>
              </w:rPr>
              <w:t>Preventive</w:t>
            </w:r>
          </w:p>
        </w:tc>
      </w:tr>
    </w:tbl>
    <w:p/>
    <w:p>
      <w:pPr>
        <w:pStyle w:val="Heading1"/>
      </w:pPr>
      <w:r>
        <w:t>External AI verification form</w:t>
      </w:r>
    </w:p>
    <w:p>
      <w:r>
        <w:t>Reviewer instruction. Independently assess scope, architecture, command safety, IAM reasoning, cost claims, test coverage, evidence quality and portfolio wording. Treat every unreferenced claim as unverified. Never request secrets. Return PASS, PASS WITH CONDITIONS or FAIL, followed by blocking findings, non-blocking improvements, contradictions, exact corrections and retests.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232"/>
            <w:shd w:fill="17365D"/>
            <w:vAlign w:val="center"/>
          </w:tcPr>
          <w:p>
            <w:r>
              <w:rPr>
                <w:b/>
                <w:color w:val="FFFFFF"/>
                <w:sz w:val="18"/>
              </w:rPr>
              <w:t>Reviewer field</w:t>
            </w:r>
          </w:p>
        </w:tc>
        <w:tc>
          <w:tcPr>
            <w:tcW w:type="dxa" w:w="7704"/>
            <w:shd w:fill="17365D"/>
            <w:vAlign w:val="center"/>
          </w:tcPr>
          <w:p>
            <w:r>
              <w:rPr>
                <w:b/>
                <w:color w:val="FFFFFF"/>
                <w:sz w:val="18"/>
              </w:rPr>
              <w:t>Response</w:t>
            </w:r>
          </w:p>
        </w:tc>
      </w:tr>
      <w:tr>
        <w:tc>
          <w:tcPr>
            <w:tcW w:type="dxa" w:w="2232"/>
            <w:vAlign w:val="center"/>
          </w:tcPr>
          <w:p>
            <w:r>
              <w:rPr>
                <w:sz w:val="17"/>
              </w:rPr>
              <w:t>Reviewer or tool</w:t>
            </w:r>
          </w:p>
        </w:tc>
        <w:tc>
          <w:tcPr>
            <w:tcW w:type="dxa" w:w="7704"/>
            <w:vAlign w:val="center"/>
          </w:tcPr>
          <w:p>
            <w:r>
              <w:rPr>
                <w:sz w:val="17"/>
              </w:rPr>
            </w:r>
          </w:p>
        </w:tc>
      </w:tr>
      <w:tr>
        <w:tc>
          <w:tcPr>
            <w:tcW w:type="dxa" w:w="2232"/>
            <w:vAlign w:val="center"/>
            <w:shd w:fill="F3F5F7"/>
          </w:tcPr>
          <w:p>
            <w:r>
              <w:rPr>
                <w:sz w:val="17"/>
              </w:rPr>
              <w:t>Review date</w:t>
            </w:r>
          </w:p>
        </w:tc>
        <w:tc>
          <w:tcPr>
            <w:tcW w:type="dxa" w:w="7704"/>
            <w:vAlign w:val="center"/>
            <w:shd w:fill="F3F5F7"/>
          </w:tcPr>
          <w:p>
            <w:r>
              <w:rPr>
                <w:sz w:val="17"/>
              </w:rPr>
            </w:r>
          </w:p>
        </w:tc>
      </w:tr>
      <w:tr>
        <w:tc>
          <w:tcPr>
            <w:tcW w:type="dxa" w:w="2232"/>
            <w:vAlign w:val="center"/>
          </w:tcPr>
          <w:p>
            <w:r>
              <w:rPr>
                <w:sz w:val="17"/>
              </w:rPr>
              <w:t>Verdict</w:t>
            </w:r>
          </w:p>
        </w:tc>
        <w:tc>
          <w:tcPr>
            <w:tcW w:type="dxa" w:w="7704"/>
            <w:vAlign w:val="center"/>
          </w:tcPr>
          <w:p>
            <w:r>
              <w:rPr>
                <w:sz w:val="17"/>
              </w:rPr>
              <w:t>NOT REVIEWED</w:t>
            </w:r>
          </w:p>
        </w:tc>
      </w:tr>
      <w:tr>
        <w:tc>
          <w:tcPr>
            <w:tcW w:type="dxa" w:w="2232"/>
            <w:vAlign w:val="center"/>
            <w:shd w:fill="F3F5F7"/>
          </w:tcPr>
          <w:p>
            <w:r>
              <w:rPr>
                <w:sz w:val="17"/>
              </w:rPr>
              <w:t>Blocking findings</w:t>
            </w:r>
          </w:p>
        </w:tc>
        <w:tc>
          <w:tcPr>
            <w:tcW w:type="dxa" w:w="7704"/>
            <w:vAlign w:val="center"/>
            <w:shd w:fill="F3F5F7"/>
          </w:tcPr>
          <w:p>
            <w:r>
              <w:rPr>
                <w:sz w:val="17"/>
              </w:rPr>
            </w:r>
          </w:p>
        </w:tc>
      </w:tr>
      <w:tr>
        <w:tc>
          <w:tcPr>
            <w:tcW w:type="dxa" w:w="2232"/>
            <w:vAlign w:val="center"/>
          </w:tcPr>
          <w:p>
            <w:r>
              <w:rPr>
                <w:sz w:val="17"/>
              </w:rPr>
              <w:t>Improvements</w:t>
            </w:r>
          </w:p>
        </w:tc>
        <w:tc>
          <w:tcPr>
            <w:tcW w:type="dxa" w:w="7704"/>
            <w:vAlign w:val="center"/>
          </w:tcPr>
          <w:p>
            <w:r>
              <w:rPr>
                <w:sz w:val="17"/>
              </w:rPr>
            </w:r>
          </w:p>
        </w:tc>
      </w:tr>
      <w:tr>
        <w:tc>
          <w:tcPr>
            <w:tcW w:type="dxa" w:w="2232"/>
            <w:vAlign w:val="center"/>
            <w:shd w:fill="F3F5F7"/>
          </w:tcPr>
          <w:p>
            <w:r>
              <w:rPr>
                <w:sz w:val="17"/>
              </w:rPr>
              <w:t>Corrections applied</w:t>
            </w:r>
          </w:p>
        </w:tc>
        <w:tc>
          <w:tcPr>
            <w:tcW w:type="dxa" w:w="7704"/>
            <w:vAlign w:val="center"/>
            <w:shd w:fill="F3F5F7"/>
          </w:tcPr>
          <w:p>
            <w:r>
              <w:rPr>
                <w:sz w:val="17"/>
              </w:rPr>
            </w:r>
          </w:p>
        </w:tc>
      </w:tr>
      <w:tr>
        <w:tc>
          <w:tcPr>
            <w:tcW w:type="dxa" w:w="2232"/>
            <w:vAlign w:val="center"/>
          </w:tcPr>
          <w:p>
            <w:r>
              <w:rPr>
                <w:sz w:val="17"/>
              </w:rPr>
              <w:t>Retest results</w:t>
            </w:r>
          </w:p>
        </w:tc>
        <w:tc>
          <w:tcPr>
            <w:tcW w:type="dxa" w:w="7704"/>
            <w:vAlign w:val="center"/>
          </w:tcPr>
          <w:p>
            <w:r>
              <w:rPr>
                <w:sz w:val="17"/>
              </w:rPr>
            </w:r>
          </w:p>
        </w:tc>
      </w:tr>
      <w:tr>
        <w:tc>
          <w:tcPr>
            <w:tcW w:type="dxa" w:w="2232"/>
            <w:vAlign w:val="center"/>
            <w:shd w:fill="F3F5F7"/>
          </w:tcPr>
          <w:p>
            <w:r>
              <w:rPr>
                <w:sz w:val="17"/>
              </w:rPr>
              <w:t>Residual risks</w:t>
            </w:r>
          </w:p>
        </w:tc>
        <w:tc>
          <w:tcPr>
            <w:tcW w:type="dxa" w:w="7704"/>
            <w:vAlign w:val="center"/>
            <w:shd w:fill="F3F5F7"/>
          </w:tcPr>
          <w:p>
            <w:r>
              <w:rPr>
                <w:sz w:val="17"/>
              </w:rPr>
            </w:r>
          </w:p>
        </w:tc>
      </w:tr>
    </w:tbl>
    <w:p/>
    <w:p>
      <w:pPr>
        <w:pStyle w:val="Heading1"/>
      </w:pPr>
      <w:r>
        <w:t>Handover and portfolio case study</w:t>
      </w:r>
    </w:p>
    <w:p>
      <w:r>
        <w:t>Portfolio statement after evidence is complete. I performed a read-only AWS identity and account security assessment using STS, IAM, S3, CloudFront, CloudTrail and Billing views. I documented access boundaries, credential and MFA observations, post-teardown resource inventory, cost checks, redacted evidence, remediation recommendations and independent review results without creating or modifying AWS resources.</w:t>
      </w:r>
    </w:p>
    <w:p>
      <w:pPr>
        <w:pStyle w:val="Heading2"/>
      </w:pPr>
      <w:r>
        <w:t>Completion checklist</w:t>
      </w:r>
    </w:p>
    <w:p>
      <w:pPr>
        <w:pStyle w:val="ListBullet"/>
      </w:pPr>
      <w:r>
        <w:t>All eight tests have actual results and reviewed screenshots.</w:t>
      </w:r>
    </w:p>
    <w:p>
      <w:pPr>
        <w:pStyle w:val="ListBullet"/>
      </w:pPr>
      <w:r>
        <w:t>Every finding references evidence and separates observation from recommendation.</w:t>
      </w:r>
    </w:p>
    <w:p>
      <w:pPr>
        <w:pStyle w:val="ListBullet"/>
      </w:pPr>
      <w:r>
        <w:t>The independent review response is saved in the application.</w:t>
      </w:r>
    </w:p>
    <w:p>
      <w:pPr>
        <w:pStyle w:val="ListBullet"/>
      </w:pPr>
      <w:r>
        <w:t>Corrections are retested and remaining risks are stated.</w:t>
      </w:r>
    </w:p>
    <w:p>
      <w:pPr>
        <w:pStyle w:val="ListBullet"/>
      </w:pPr>
      <w:r>
        <w:t>The portfolio contains no secrets or unsupported production claims.</w:t>
      </w:r>
    </w:p>
    <w:p>
      <w:pPr>
        <w:pStyle w:val="ListBullet"/>
      </w:pPr>
      <w:r>
        <w:t>Final AWS inventory confirms the assessment created no resources.</w:t>
      </w:r>
    </w:p>
    <w:sectPr w:rsidR="00FC693F" w:rsidRPr="0006063C" w:rsidSect="00034616">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9191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