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926080" cy="9225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conolab-bran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922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ptos Display" w:hAnsi="Aptos Display"/>
          <w:b/>
          <w:i w:val="0"/>
          <w:color w:val="A80000"/>
          <w:sz w:val="50"/>
        </w:rPr>
        <w:t>Proyecto final de extracción de conocimiento en bases de datos</w:t>
      </w:r>
    </w:p>
    <w:p>
      <w:pPr>
        <w:spacing w:after="240"/>
        <w:jc w:val="center"/>
      </w:pPr>
      <w:r>
        <w:rPr>
          <w:rFonts w:ascii="Aptos Display" w:hAnsi="Aptos Display"/>
          <w:b/>
          <w:i w:val="0"/>
          <w:color w:val="202124"/>
          <w:sz w:val="34"/>
        </w:rPr>
        <w:t>Integración práctica de tres modelos de Machine Learning en ECONOLAB</w:t>
      </w:r>
    </w:p>
    <w:p>
      <w:pPr>
        <w:jc w:val="center"/>
      </w:pPr>
      <w:r>
        <w:rPr>
          <w:b/>
          <w:i w:val="0"/>
        </w:rPr>
        <w:t>Empresa:</w:t>
      </w:r>
      <w:r>
        <w:rPr>
          <w:b w:val="0"/>
          <w:i w:val="0"/>
        </w:rPr>
        <w:t xml:space="preserve"> ECONOLAB · Laboratorio de análisis clínicos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 w:val="true"/>
        </w:trPr>
        <w:tc>
          <w:tcPr>
            <w:tcW w:type="dxa" w:w="4933"/>
            <w:vAlign w:val="top"/>
            <w:shd w:fill="A80000"/>
          </w:tcPr>
          <w:p>
            <w:pPr>
              <w:spacing w:after="30"/>
            </w:pPr>
            <w:r>
              <w:rPr>
                <w:rFonts w:ascii="Aptos" w:hAnsi="Aptos"/>
                <w:b/>
                <w:i w:val="0"/>
                <w:color w:val="FFFFFF"/>
                <w:sz w:val="16"/>
              </w:rPr>
              <w:t>Grupo</w:t>
            </w:r>
          </w:p>
        </w:tc>
        <w:tc>
          <w:tcPr>
            <w:tcW w:type="dxa" w:w="4933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PENDIENTE</w:t>
            </w:r>
          </w:p>
        </w:tc>
      </w:tr>
      <w:tr>
        <w:trPr>
          <w:cantSplit/>
        </w:trPr>
        <w:tc>
          <w:tcPr>
            <w:tcW w:type="dxa" w:w="4933"/>
            <w:vAlign w:val="top"/>
            <w:shd w:fill="A80000"/>
          </w:tcPr>
          <w:p>
            <w:pPr>
              <w:spacing w:after="30"/>
            </w:pPr>
            <w:r>
              <w:rPr>
                <w:rFonts w:ascii="Aptos" w:hAnsi="Aptos"/>
                <w:b/>
                <w:i w:val="0"/>
                <w:color w:val="FFFFFF"/>
                <w:sz w:val="16"/>
              </w:rPr>
              <w:t>Equipo</w:t>
            </w:r>
          </w:p>
        </w:tc>
        <w:tc>
          <w:tcPr>
            <w:tcW w:type="dxa" w:w="4933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PENDIENTE</w:t>
            </w:r>
          </w:p>
        </w:tc>
      </w:tr>
      <w:tr>
        <w:trPr>
          <w:cantSplit/>
        </w:trPr>
        <w:tc>
          <w:tcPr>
            <w:tcW w:type="dxa" w:w="4933"/>
            <w:vAlign w:val="top"/>
            <w:shd w:fill="A80000"/>
          </w:tcPr>
          <w:p>
            <w:pPr>
              <w:spacing w:after="30"/>
            </w:pPr>
            <w:r>
              <w:rPr>
                <w:rFonts w:ascii="Aptos" w:hAnsi="Aptos"/>
                <w:b/>
                <w:i w:val="0"/>
                <w:color w:val="FFFFFF"/>
                <w:sz w:val="16"/>
              </w:rPr>
              <w:t>Integrante 1</w:t>
            </w:r>
          </w:p>
        </w:tc>
        <w:tc>
          <w:tcPr>
            <w:tcW w:type="dxa" w:w="4933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PENDIENTE — PENDIENTE</w:t>
            </w:r>
          </w:p>
        </w:tc>
      </w:tr>
      <w:tr>
        <w:trPr>
          <w:cantSplit/>
        </w:trPr>
        <w:tc>
          <w:tcPr>
            <w:tcW w:type="dxa" w:w="4933"/>
            <w:vAlign w:val="top"/>
            <w:shd w:fill="A80000"/>
          </w:tcPr>
          <w:p>
            <w:pPr>
              <w:spacing w:after="30"/>
            </w:pPr>
            <w:r>
              <w:rPr>
                <w:rFonts w:ascii="Aptos" w:hAnsi="Aptos"/>
                <w:b/>
                <w:i w:val="0"/>
                <w:color w:val="FFFFFF"/>
                <w:sz w:val="16"/>
              </w:rPr>
              <w:t>Integrante 2</w:t>
            </w:r>
          </w:p>
        </w:tc>
        <w:tc>
          <w:tcPr>
            <w:tcW w:type="dxa" w:w="4933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PENDIENTE — PENDIENTE</w:t>
            </w:r>
          </w:p>
        </w:tc>
      </w:tr>
      <w:tr>
        <w:trPr>
          <w:cantSplit/>
        </w:trPr>
        <w:tc>
          <w:tcPr>
            <w:tcW w:type="dxa" w:w="4933"/>
            <w:vAlign w:val="top"/>
            <w:shd w:fill="A80000"/>
          </w:tcPr>
          <w:p>
            <w:pPr>
              <w:spacing w:after="30"/>
            </w:pPr>
            <w:r>
              <w:rPr>
                <w:rFonts w:ascii="Aptos" w:hAnsi="Aptos"/>
                <w:b/>
                <w:i w:val="0"/>
                <w:color w:val="FFFFFF"/>
                <w:sz w:val="16"/>
              </w:rPr>
              <w:t>Asignatura</w:t>
            </w:r>
          </w:p>
        </w:tc>
        <w:tc>
          <w:tcPr>
            <w:tcW w:type="dxa" w:w="4933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Extracción de conocimiento en bases de datos</w:t>
            </w:r>
          </w:p>
        </w:tc>
      </w:tr>
      <w:tr>
        <w:trPr>
          <w:cantSplit/>
        </w:trPr>
        <w:tc>
          <w:tcPr>
            <w:tcW w:type="dxa" w:w="4933"/>
            <w:vAlign w:val="top"/>
            <w:shd w:fill="A80000"/>
          </w:tcPr>
          <w:p>
            <w:pPr>
              <w:spacing w:after="30"/>
            </w:pPr>
            <w:r>
              <w:rPr>
                <w:rFonts w:ascii="Aptos" w:hAnsi="Aptos"/>
                <w:b/>
                <w:i w:val="0"/>
                <w:color w:val="FFFFFF"/>
                <w:sz w:val="16"/>
              </w:rPr>
              <w:t>Docente</w:t>
            </w:r>
          </w:p>
        </w:tc>
        <w:tc>
          <w:tcPr>
            <w:tcW w:type="dxa" w:w="4933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Dr. Efrén Juárez Castillo</w:t>
            </w:r>
          </w:p>
        </w:tc>
      </w:tr>
      <w:tr>
        <w:trPr>
          <w:cantSplit/>
        </w:trPr>
        <w:tc>
          <w:tcPr>
            <w:tcW w:type="dxa" w:w="4933"/>
            <w:vAlign w:val="top"/>
            <w:shd w:fill="A80000"/>
          </w:tcPr>
          <w:p>
            <w:pPr>
              <w:spacing w:after="30"/>
            </w:pPr>
            <w:r>
              <w:rPr>
                <w:rFonts w:ascii="Aptos" w:hAnsi="Aptos"/>
                <w:b/>
                <w:i w:val="0"/>
                <w:color w:val="FFFFFF"/>
                <w:sz w:val="16"/>
              </w:rPr>
              <w:t>Fecha</w:t>
            </w:r>
          </w:p>
        </w:tc>
        <w:tc>
          <w:tcPr>
            <w:tcW w:type="dxa" w:w="4933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21 de julio de 2026</w:t>
            </w:r>
          </w:p>
        </w:tc>
      </w:tr>
    </w:tbl>
    <w:p>
      <w:pPr>
        <w:spacing w:after="20"/>
      </w:pPr>
    </w:p>
    <w:p>
      <w:pPr>
        <w:jc w:val="center"/>
      </w:pPr>
      <w:r>
        <w:rPr>
          <w:b w:val="0"/>
          <w:i w:val="0"/>
          <w:color w:val="666666"/>
          <w:sz w:val="16"/>
        </w:rPr>
        <w:t>Reporte de la parte práctica, organizado con CRISP-DM.</w:t>
      </w:r>
    </w:p>
    <w:p>
      <w:r>
        <w:br w:type="page"/>
      </w:r>
    </w:p>
    <w:p>
      <w:pPr>
        <w:pStyle w:val="Heading1"/>
      </w:pPr>
      <w:r>
        <w:rPr>
          <w:b w:val="0"/>
          <w:i w:val="0"/>
        </w:rPr>
        <w:t>Índice</w:t>
      </w:r>
    </w:p>
    <w:p>
      <w:pPr>
        <w:pStyle w:val="ListNumber"/>
      </w:pPr>
      <w:r>
        <w:rPr>
          <w:b w:val="0"/>
          <w:i w:val="0"/>
        </w:rPr>
        <w:t>Introducción, alcance y objetivos</w:t>
      </w:r>
    </w:p>
    <w:p>
      <w:pPr>
        <w:pStyle w:val="ListNumber"/>
      </w:pPr>
      <w:r>
        <w:rPr>
          <w:b w:val="0"/>
          <w:i w:val="0"/>
        </w:rPr>
        <w:t>Arquitectura, base de datos, volumen y privacidad</w:t>
      </w:r>
    </w:p>
    <w:p>
      <w:pPr>
        <w:pStyle w:val="ListNumber"/>
      </w:pPr>
      <w:r>
        <w:rPr>
          <w:b w:val="0"/>
          <w:i w:val="0"/>
        </w:rPr>
        <w:t>Solución 1: clustering operativo de estudios</w:t>
      </w:r>
    </w:p>
    <w:p>
      <w:pPr>
        <w:pStyle w:val="ListNumber"/>
      </w:pPr>
      <w:r>
        <w:rPr>
          <w:b w:val="0"/>
          <w:i w:val="0"/>
        </w:rPr>
        <w:t>Solución 2: regresión para sugerir precio</w:t>
      </w:r>
    </w:p>
    <w:p>
      <w:pPr>
        <w:pStyle w:val="ListNumber"/>
      </w:pPr>
      <w:r>
        <w:rPr>
          <w:b w:val="0"/>
          <w:i w:val="0"/>
        </w:rPr>
        <w:t>Solución 3: clasificación del resultado de una orden</w:t>
      </w:r>
    </w:p>
    <w:p>
      <w:pPr>
        <w:pStyle w:val="ListNumber"/>
      </w:pPr>
      <w:r>
        <w:rPr>
          <w:b w:val="0"/>
          <w:i w:val="0"/>
        </w:rPr>
        <w:t>Arquitectura de integración web</w:t>
      </w:r>
    </w:p>
    <w:p>
      <w:pPr>
        <w:pStyle w:val="ListNumber"/>
      </w:pPr>
      <w:r>
        <w:rPr>
          <w:b w:val="0"/>
          <w:i w:val="0"/>
        </w:rPr>
        <w:t>Reproducibilidad y orden de ejecución</w:t>
      </w:r>
    </w:p>
    <w:p>
      <w:pPr>
        <w:pStyle w:val="ListNumber"/>
      </w:pPr>
      <w:r>
        <w:rPr>
          <w:b w:val="0"/>
          <w:i w:val="0"/>
        </w:rPr>
        <w:t>Evidencias funcionales</w:t>
      </w:r>
    </w:p>
    <w:p>
      <w:pPr>
        <w:pStyle w:val="ListNumber"/>
      </w:pPr>
      <w:r>
        <w:rPr>
          <w:b w:val="0"/>
          <w:i w:val="0"/>
        </w:rPr>
        <w:t>Resultados globales, limitaciones y mejoras</w:t>
      </w:r>
    </w:p>
    <w:p>
      <w:pPr>
        <w:pStyle w:val="ListNumber"/>
      </w:pPr>
      <w:r>
        <w:rPr>
          <w:b w:val="0"/>
          <w:i w:val="0"/>
        </w:rPr>
        <w:t>Conclusiones y bibliografía</w:t>
      </w:r>
    </w:p>
    <w:p>
      <w:pPr>
        <w:pStyle w:val="ListNumber"/>
      </w:pPr>
      <w:r>
        <w:rPr>
          <w:b w:val="0"/>
          <w:i w:val="0"/>
        </w:rPr>
        <w:t>Anexos técnicos y trazabilidad</w:t>
      </w:r>
    </w:p>
    <w:p>
      <w:pPr>
        <w:shd w:fill="F3F3F3"/>
        <w:spacing w:before="100" w:after="140"/>
        <w:ind w:left="142" w:right="142"/>
      </w:pPr>
      <w:r>
        <w:rPr>
          <w:b w:val="0"/>
          <w:i w:val="0"/>
        </w:rPr>
        <w:t xml:space="preserve"> </w:t>
      </w:r>
      <w:r>
        <w:rPr>
          <w:b/>
          <w:i w:val="0"/>
        </w:rPr>
        <w:t>Lectura honesta de los resultados.</w:t>
      </w:r>
      <w:r>
        <w:rPr>
          <w:b w:val="0"/>
          <w:i w:val="0"/>
        </w:rPr>
        <w:t xml:space="preserve"> Las tres funciones son reales y reproducibles, pero la mayoría de las observaciones actuales son sintéticas y están identificadas. Las métricas demuestran el ciclo técnico; no constituyen validación clínica ni garantía de desempeño productivo. </w:t>
      </w:r>
    </w:p>
    <w:p>
      <w:pPr>
        <w:pStyle w:val="Heading1"/>
      </w:pPr>
      <w:r>
        <w:rPr>
          <w:b w:val="0"/>
          <w:i w:val="0"/>
        </w:rPr>
        <w:t>1. Introducción, alcance y objetivos</w:t>
      </w:r>
    </w:p>
    <w:p>
      <w:pPr>
        <w:jc w:val="both"/>
      </w:pPr>
      <w:r>
        <w:rPr>
          <w:b w:val="0"/>
          <w:i w:val="0"/>
        </w:rPr>
        <w:t>ECONOLAB administra un catálogo de estudios y órdenes de servicio en una aplicación web. La base permite registrar características del estudio, parámetros, precios, tiempos, solicitudes, importes y estados de las órdenes. Este proyecto convierte esos datos en tres apoyos administrativos diferentes: segmentación del catálogo, sugerencia de precio y pronóstico del resultado de una orden. Ninguna salida crea diagnósticos, categorías médicas o decisiones clínicas.</w:t>
      </w:r>
    </w:p>
    <w:p>
      <w:pPr>
        <w:pStyle w:val="Heading2"/>
      </w:pPr>
      <w:r>
        <w:rPr>
          <w:b w:val="0"/>
          <w:i w:val="0"/>
        </w:rPr>
        <w:t>1.1 Objetivo general</w:t>
      </w:r>
    </w:p>
    <w:p>
      <w:pPr>
        <w:jc w:val="both"/>
      </w:pPr>
      <w:r>
        <w:rPr>
          <w:b w:val="0"/>
          <w:i w:val="0"/>
        </w:rPr>
        <w:t>Integrar en ECONOLAB soluciones analíticas reproducibles que partan de su propia base PostgreSQL, documenten el recorrido de cada dato, generen y evalúen artefactos versionados y ejecuten inferencia real desde el backend y las pantallas del sistema.</w:t>
      </w:r>
    </w:p>
    <w:p>
      <w:pPr>
        <w:pStyle w:val="Heading2"/>
      </w:pPr>
      <w:r>
        <w:rPr>
          <w:b w:val="0"/>
          <w:i w:val="0"/>
        </w:rPr>
        <w:t>1.2 Objetivos específicos</w:t>
      </w:r>
    </w:p>
    <w:p>
      <w:pPr>
        <w:pStyle w:val="ListNumber"/>
      </w:pPr>
      <w:r>
        <w:rPr>
          <w:b w:val="0"/>
          <w:i w:val="0"/>
        </w:rPr>
        <w:t>Agrupar estudios semejantes por variables económicas y operativas para comparar perfiles y localizar valores atípicos.</w:t>
      </w:r>
    </w:p>
    <w:p>
      <w:pPr>
        <w:pStyle w:val="ListNumber"/>
      </w:pPr>
      <w:r>
        <w:rPr>
          <w:b w:val="0"/>
          <w:i w:val="0"/>
        </w:rPr>
        <w:t>Estimar un precio normal orientativo al registrar un estudio individual con base en método y cantidad de parámetros.</w:t>
      </w:r>
    </w:p>
    <w:p>
      <w:pPr>
        <w:pStyle w:val="ListNumber"/>
      </w:pPr>
      <w:r>
        <w:rPr>
          <w:b w:val="0"/>
          <w:i w:val="0"/>
        </w:rPr>
        <w:t>Pronosticar, antes de guardar una orden, si probablemente concluirá a tiempo, se retrasará o será cancelada.</w:t>
      </w:r>
    </w:p>
    <w:p>
      <w:pPr>
        <w:pStyle w:val="ListNumber"/>
      </w:pPr>
      <w:r>
        <w:rPr>
          <w:b w:val="0"/>
          <w:i w:val="0"/>
        </w:rPr>
        <w:t>Conservar la separación entre ETL, entrenamiento, evaluación, artefacto e inferencia para que cada resultado sea verificable.</w:t>
      </w:r>
    </w:p>
    <w:p>
      <w:pPr>
        <w:pStyle w:val="Heading2"/>
      </w:pPr>
      <w:r>
        <w:rPr>
          <w:b w:val="0"/>
          <w:i w:val="0"/>
        </w:rPr>
        <w:t>1.3 Alcance práctico</w:t>
      </w:r>
    </w:p>
    <w:p>
      <w:pPr>
        <w:jc w:val="both"/>
      </w:pPr>
      <w:r>
        <w:rPr>
          <w:b w:val="0"/>
          <w:i w:val="0"/>
        </w:rPr>
        <w:t>La rúbrica requiere al menos dos tipos de análisis; se entregan tres: clustering, regresión y clasificación. El diseño general de inventarios, pacientes, resultados clínicos u otros módulos no se evalúa ni se describe salvo cuando participa directamente en una entrada analítica.</w:t>
      </w:r>
    </w:p>
    <w:p>
      <w:r>
        <w:br w:type="page"/>
      </w:r>
    </w:p>
    <w:p>
      <w:pPr>
        <w:pStyle w:val="Heading1"/>
      </w:pPr>
      <w:r>
        <w:rPr>
          <w:b w:val="0"/>
          <w:i w:val="0"/>
        </w:rPr>
        <w:t>2. Arquitectura, base de datos, volumen y privacidad</w:t>
      </w:r>
    </w:p>
    <w:p>
      <w:pPr>
        <w:pStyle w:val="Heading2"/>
      </w:pPr>
      <w:r>
        <w:rPr>
          <w:b w:val="0"/>
          <w:i w:val="0"/>
        </w:rPr>
        <w:t>2.1 Recorrido general de los datos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09"/>
        <w:gridCol w:w="1409"/>
        <w:gridCol w:w="1409"/>
        <w:gridCol w:w="1409"/>
        <w:gridCol w:w="1409"/>
        <w:gridCol w:w="1409"/>
        <w:gridCol w:w="1409"/>
      </w:tblGrid>
      <w:tr>
        <w:trPr>
          <w:cantSplit/>
          <w:tblHeader w:val="true"/>
        </w:trPr>
        <w:tc>
          <w:tcPr>
            <w:tcW w:type="dxa" w:w="1409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PostgreSQL</w:t>
            </w:r>
            <w:r>
              <w:rPr>
                <w:rFonts w:ascii="Aptos" w:hAnsi="Aptos"/>
                <w:sz w:val="16"/>
              </w:rPr>
              <w:br/>
            </w:r>
            <w:r>
              <w:rPr>
                <w:rFonts w:ascii="Aptos" w:hAnsi="Aptos"/>
                <w:b w:val="0"/>
                <w:i w:val="0"/>
                <w:sz w:val="16"/>
              </w:rPr>
              <w:t>tablas `operativo`</w:t>
            </w:r>
          </w:p>
        </w:tc>
        <w:tc>
          <w:tcPr>
            <w:tcW w:type="dxa" w:w="1409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→</w:t>
            </w:r>
          </w:p>
        </w:tc>
        <w:tc>
          <w:tcPr>
            <w:tcW w:type="dxa" w:w="1409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SQL + exportadores</w:t>
            </w:r>
            <w:r>
              <w:rPr>
                <w:rFonts w:ascii="Aptos" w:hAnsi="Aptos"/>
                <w:sz w:val="16"/>
              </w:rPr>
              <w:br/>
            </w:r>
            <w:r>
              <w:rPr>
                <w:rFonts w:ascii="Aptos" w:hAnsi="Aptos"/>
                <w:b w:val="0"/>
                <w:i w:val="0"/>
                <w:sz w:val="16"/>
              </w:rPr>
              <w:t>04_ETL</w:t>
            </w:r>
          </w:p>
        </w:tc>
        <w:tc>
          <w:tcPr>
            <w:tcW w:type="dxa" w:w="1409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→</w:t>
            </w:r>
          </w:p>
        </w:tc>
        <w:tc>
          <w:tcPr>
            <w:tcW w:type="dxa" w:w="1409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CSV auditables</w:t>
            </w:r>
            <w:r>
              <w:rPr>
                <w:rFonts w:ascii="Aptos" w:hAnsi="Aptos"/>
                <w:sz w:val="16"/>
              </w:rPr>
              <w:br/>
            </w:r>
            <w:r>
              <w:rPr>
                <w:rFonts w:ascii="Aptos" w:hAnsi="Aptos"/>
                <w:b w:val="0"/>
                <w:i w:val="0"/>
                <w:sz w:val="16"/>
              </w:rPr>
              <w:t>05_Datasets</w:t>
            </w:r>
          </w:p>
        </w:tc>
        <w:tc>
          <w:tcPr>
            <w:tcW w:type="dxa" w:w="1409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→</w:t>
            </w:r>
          </w:p>
        </w:tc>
        <w:tc>
          <w:tcPr>
            <w:tcW w:type="dxa" w:w="1409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Notebook CRISP-DM</w:t>
            </w:r>
            <w:r>
              <w:rPr>
                <w:rFonts w:ascii="Aptos" w:hAnsi="Aptos"/>
                <w:sz w:val="16"/>
              </w:rPr>
              <w:br/>
            </w:r>
            <w:r>
              <w:rPr>
                <w:rFonts w:ascii="Aptos" w:hAnsi="Aptos"/>
                <w:b w:val="0"/>
                <w:i w:val="0"/>
                <w:sz w:val="16"/>
              </w:rPr>
              <w:t>06_Notebooks</w:t>
            </w:r>
          </w:p>
        </w:tc>
      </w:tr>
      <w:tr>
        <w:trPr>
          <w:cantSplit/>
        </w:trPr>
        <w:tc>
          <w:tcPr>
            <w:tcW w:type="dxa" w:w="1409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Interfaz Next.js</w:t>
            </w:r>
          </w:p>
        </w:tc>
        <w:tc>
          <w:tcPr>
            <w:tcW w:type="dxa" w:w="1409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←</w:t>
            </w:r>
          </w:p>
        </w:tc>
        <w:tc>
          <w:tcPr>
            <w:tcW w:type="dxa" w:w="1409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API NestJS</w:t>
            </w:r>
          </w:p>
        </w:tc>
        <w:tc>
          <w:tcPr>
            <w:tcW w:type="dxa" w:w="1409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←</w:t>
            </w:r>
          </w:p>
        </w:tc>
        <w:tc>
          <w:tcPr>
            <w:tcW w:type="dxa" w:w="1409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Artefacto versionado</w:t>
            </w:r>
            <w:r>
              <w:rPr>
                <w:rFonts w:ascii="Aptos" w:hAnsi="Aptos"/>
                <w:sz w:val="16"/>
              </w:rPr>
              <w:br/>
            </w:r>
            <w:r>
              <w:rPr>
                <w:rFonts w:ascii="Aptos" w:hAnsi="Aptos"/>
                <w:b w:val="0"/>
                <w:i w:val="0"/>
                <w:sz w:val="16"/>
              </w:rPr>
              <w:t>07_Modelos</w:t>
            </w:r>
          </w:p>
        </w:tc>
        <w:tc>
          <w:tcPr>
            <w:tcW w:type="dxa" w:w="1409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←</w:t>
            </w:r>
          </w:p>
        </w:tc>
        <w:tc>
          <w:tcPr>
            <w:tcW w:type="dxa" w:w="1409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Entrenamiento y evaluación</w:t>
            </w:r>
          </w:p>
        </w:tc>
      </w:tr>
    </w:tbl>
    <w:p>
      <w:pPr>
        <w:spacing w:after="20"/>
      </w:pPr>
    </w:p>
    <w:p>
      <w:pPr>
        <w:jc w:val="both"/>
      </w:pPr>
      <w:r>
        <w:rPr>
          <w:b w:val="0"/>
          <w:i w:val="0"/>
        </w:rPr>
        <w:t>Las flechas inferiores representan inferencia: el backend carga el artefacto y aplica sus parámetros. Una petición web no vuelve a entrenar ni devuelve una respuesta escrita directamente en el código.</w:t>
      </w:r>
    </w:p>
    <w:p>
      <w:pPr>
        <w:pStyle w:val="Heading2"/>
      </w:pPr>
      <w:r>
        <w:rPr>
          <w:b w:val="0"/>
          <w:i w:val="0"/>
        </w:rPr>
        <w:t>2.2 Esquema relacional utilizado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cantSplit/>
          <w:tblHeader w:val="true"/>
        </w:trPr>
        <w:tc>
          <w:tcPr>
            <w:tcW w:type="dxa" w:w="3289"/>
            <w:vAlign w:val="top"/>
          </w:tcPr>
          <w:p>
            <w:pPr>
              <w:spacing w:after="30"/>
            </w:pPr>
            <w:r>
              <w:rPr>
                <w:rFonts w:ascii="Aptos" w:hAnsi="Aptos"/>
                <w:b/>
                <w:i w:val="0"/>
                <w:sz w:val="16"/>
              </w:rPr>
              <w:t>studies</w:t>
            </w:r>
            <w:r>
              <w:rPr>
                <w:rFonts w:ascii="Aptos" w:hAnsi="Aptos"/>
                <w:sz w:val="16"/>
              </w:rPr>
              <w:br/>
            </w:r>
            <w:r>
              <w:rPr>
                <w:rFonts w:ascii="Aptos" w:hAnsi="Aptos"/>
                <w:b w:val="0"/>
                <w:i w:val="0"/>
                <w:sz w:val="16"/>
              </w:rPr>
              <w:t>PK id</w:t>
            </w:r>
            <w:r>
              <w:rPr>
                <w:rFonts w:ascii="Aptos" w:hAnsi="Aptos"/>
                <w:sz w:val="16"/>
              </w:rPr>
              <w:br/>
            </w:r>
            <w:r>
              <w:rPr>
                <w:rFonts w:ascii="Aptos" w:hAnsi="Aptos"/>
                <w:b w:val="0"/>
                <w:i w:val="0"/>
                <w:sz w:val="16"/>
              </w:rPr>
              <w:t>catálogo, precio, duración, muestra y método</w:t>
            </w:r>
          </w:p>
        </w:tc>
        <w:tc>
          <w:tcPr>
            <w:tcW w:type="dxa" w:w="3289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1 → N</w:t>
            </w:r>
          </w:p>
        </w:tc>
        <w:tc>
          <w:tcPr>
            <w:tcW w:type="dxa" w:w="3289"/>
            <w:vAlign w:val="top"/>
          </w:tcPr>
          <w:p>
            <w:pPr>
              <w:spacing w:after="30"/>
            </w:pPr>
            <w:r>
              <w:rPr>
                <w:rFonts w:ascii="Aptos" w:hAnsi="Aptos"/>
                <w:b/>
                <w:i w:val="0"/>
                <w:sz w:val="16"/>
              </w:rPr>
              <w:t>study_details</w:t>
            </w:r>
            <w:r>
              <w:rPr>
                <w:rFonts w:ascii="Aptos" w:hAnsi="Aptos"/>
                <w:sz w:val="16"/>
              </w:rPr>
              <w:br/>
            </w:r>
            <w:r>
              <w:rPr>
                <w:rFonts w:ascii="Aptos" w:hAnsi="Aptos"/>
                <w:b w:val="0"/>
                <w:i w:val="0"/>
                <w:sz w:val="16"/>
              </w:rPr>
              <w:t>FK study_id</w:t>
            </w:r>
            <w:r>
              <w:rPr>
                <w:rFonts w:ascii="Aptos" w:hAnsi="Aptos"/>
                <w:sz w:val="16"/>
              </w:rPr>
              <w:br/>
            </w:r>
            <w:r>
              <w:rPr>
                <w:rFonts w:ascii="Aptos" w:hAnsi="Aptos"/>
                <w:b w:val="0"/>
                <w:i w:val="0"/>
                <w:sz w:val="16"/>
              </w:rPr>
              <w:t>parámetros del estudio</w:t>
            </w:r>
          </w:p>
        </w:tc>
      </w:tr>
      <w:tr>
        <w:trPr>
          <w:cantSplit/>
        </w:trPr>
        <w:tc>
          <w:tcPr>
            <w:tcW w:type="dxa" w:w="3289"/>
            <w:vAlign w:val="top"/>
          </w:tcPr>
          <w:p>
            <w:pPr>
              <w:spacing w:after="30"/>
            </w:pPr>
            <w:r>
              <w:rPr>
                <w:rFonts w:ascii="Aptos" w:hAnsi="Aptos"/>
                <w:b/>
                <w:i w:val="0"/>
                <w:sz w:val="16"/>
              </w:rPr>
              <w:t>service_orders</w:t>
            </w:r>
            <w:r>
              <w:rPr>
                <w:rFonts w:ascii="Aptos" w:hAnsi="Aptos"/>
                <w:sz w:val="16"/>
              </w:rPr>
              <w:br/>
            </w:r>
            <w:r>
              <w:rPr>
                <w:rFonts w:ascii="Aptos" w:hAnsi="Aptos"/>
                <w:b w:val="0"/>
                <w:i w:val="0"/>
                <w:sz w:val="16"/>
              </w:rPr>
              <w:t>PK id</w:t>
            </w:r>
            <w:r>
              <w:rPr>
                <w:rFonts w:ascii="Aptos" w:hAnsi="Aptos"/>
                <w:sz w:val="16"/>
              </w:rPr>
              <w:br/>
            </w:r>
            <w:r>
              <w:rPr>
                <w:rFonts w:ascii="Aptos" w:hAnsi="Aptos"/>
                <w:b w:val="0"/>
                <w:i w:val="0"/>
                <w:sz w:val="16"/>
              </w:rPr>
              <w:t>fechas, estado, sucursal e importes</w:t>
            </w:r>
          </w:p>
        </w:tc>
        <w:tc>
          <w:tcPr>
            <w:tcW w:type="dxa" w:w="3289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1 → N</w:t>
            </w:r>
          </w:p>
        </w:tc>
        <w:tc>
          <w:tcPr>
            <w:tcW w:type="dxa" w:w="3289"/>
            <w:vAlign w:val="top"/>
          </w:tcPr>
          <w:p>
            <w:pPr>
              <w:spacing w:after="30"/>
            </w:pPr>
            <w:r>
              <w:rPr>
                <w:rFonts w:ascii="Aptos" w:hAnsi="Aptos"/>
                <w:b/>
                <w:i w:val="0"/>
                <w:sz w:val="16"/>
              </w:rPr>
              <w:t>service_order_items</w:t>
            </w:r>
            <w:r>
              <w:rPr>
                <w:rFonts w:ascii="Aptos" w:hAnsi="Aptos"/>
                <w:sz w:val="16"/>
              </w:rPr>
              <w:br/>
            </w:r>
            <w:r>
              <w:rPr>
                <w:rFonts w:ascii="Aptos" w:hAnsi="Aptos"/>
                <w:b w:val="0"/>
                <w:i w:val="0"/>
                <w:sz w:val="16"/>
              </w:rPr>
              <w:t>FK service_order_id y study_id</w:t>
            </w:r>
            <w:r>
              <w:rPr>
                <w:rFonts w:ascii="Aptos" w:hAnsi="Aptos"/>
                <w:sz w:val="16"/>
              </w:rPr>
              <w:br/>
            </w:r>
            <w:r>
              <w:rPr>
                <w:rFonts w:ascii="Aptos" w:hAnsi="Aptos"/>
                <w:b w:val="0"/>
                <w:i w:val="0"/>
                <w:sz w:val="16"/>
              </w:rPr>
              <w:t>estudios, cantidades y tarifas</w:t>
            </w:r>
          </w:p>
        </w:tc>
      </w:tr>
    </w:tbl>
    <w:p>
      <w:pPr>
        <w:spacing w:after="20"/>
      </w:pPr>
    </w:p>
    <w:p>
      <w:pPr>
        <w:jc w:val="both"/>
      </w:pPr>
      <w:r>
        <w:rPr>
          <w:b w:val="0"/>
          <w:i w:val="0"/>
        </w:rPr>
        <w:t xml:space="preserve">El respaldo analítico contiene únicamente esas cuatro tablas. Se omiten pacientes, médicos, usuarios, notas y datos de contacto. Los folios reales se sustituyen de forma determinista por </w:t>
      </w:r>
      <w:r>
        <w:rPr>
          <w:rFonts w:ascii="Consolas" w:hAnsi="Consolas"/>
          <w:b w:val="0"/>
          <w:i w:val="0"/>
          <w:color w:val="A80000"/>
          <w:sz w:val="17"/>
        </w:rPr>
        <w:t>ECO-REAL-&lt;id&gt;</w:t>
      </w:r>
      <w:r>
        <w:rPr>
          <w:b w:val="0"/>
          <w:i w:val="0"/>
        </w:rPr>
        <w:t>, por lo que el proceso se puede reconstruir sin identificar personas.</w:t>
      </w:r>
    </w:p>
    <w:p>
      <w:pPr>
        <w:pStyle w:val="Heading2"/>
      </w:pPr>
      <w:r>
        <w:rPr>
          <w:b w:val="0"/>
          <w:i w:val="0"/>
        </w:rPr>
        <w:t>2.3 Volumen comprobado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cantSplit/>
          <w:tblHeader w:val="true"/>
        </w:trPr>
        <w:tc>
          <w:tcPr>
            <w:tcW w:type="dxa" w:w="3289"/>
            <w:vAlign w:val="top"/>
            <w:shd w:fill="A80000"/>
          </w:tcPr>
          <w:p>
            <w:pPr>
              <w:spacing w:after="30"/>
            </w:pPr>
            <w:r>
              <w:rPr>
                <w:rFonts w:ascii="Aptos" w:hAnsi="Aptos"/>
                <w:b/>
                <w:i w:val="0"/>
                <w:color w:val="FFFFFF"/>
                <w:sz w:val="16"/>
              </w:rPr>
              <w:t>Fuente</w:t>
            </w:r>
          </w:p>
        </w:tc>
        <w:tc>
          <w:tcPr>
            <w:tcW w:type="dxa" w:w="3289"/>
            <w:vAlign w:val="top"/>
            <w:shd w:fill="A80000"/>
          </w:tcPr>
          <w:p>
            <w:pPr>
              <w:spacing w:after="30"/>
            </w:pPr>
            <w:r>
              <w:rPr>
                <w:rFonts w:ascii="Aptos" w:hAnsi="Aptos"/>
                <w:b/>
                <w:i w:val="0"/>
                <w:color w:val="FFFFFF"/>
                <w:sz w:val="16"/>
              </w:rPr>
              <w:t>Filas en el respaldo</w:t>
            </w:r>
          </w:p>
        </w:tc>
        <w:tc>
          <w:tcPr>
            <w:tcW w:type="dxa" w:w="3289"/>
            <w:vAlign w:val="top"/>
            <w:shd w:fill="A80000"/>
          </w:tcPr>
          <w:p>
            <w:pPr>
              <w:spacing w:after="30"/>
            </w:pPr>
            <w:r>
              <w:rPr>
                <w:rFonts w:ascii="Aptos" w:hAnsi="Aptos"/>
                <w:b/>
                <w:i w:val="0"/>
                <w:color w:val="FFFFFF"/>
                <w:sz w:val="16"/>
              </w:rPr>
              <w:t>Uso</w:t>
            </w:r>
          </w:p>
        </w:tc>
      </w:tr>
      <w:tr>
        <w:trPr>
          <w:cantSplit/>
        </w:trPr>
        <w:tc>
          <w:tcPr>
            <w:tcW w:type="dxa" w:w="3289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color w:val="A80000"/>
                <w:sz w:val="16"/>
              </w:rPr>
              <w:t>studies</w:t>
            </w:r>
          </w:p>
        </w:tc>
        <w:tc>
          <w:tcPr>
            <w:tcW w:type="dxa" w:w="3289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1057</w:t>
            </w:r>
          </w:p>
        </w:tc>
        <w:tc>
          <w:tcPr>
            <w:tcW w:type="dxa" w:w="3289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Regresión y clustering; catálogo, no se usa para inflar el requisito transaccional.</w:t>
            </w:r>
          </w:p>
        </w:tc>
      </w:tr>
      <w:tr>
        <w:trPr>
          <w:cantSplit/>
        </w:trPr>
        <w:tc>
          <w:tcPr>
            <w:tcW w:type="dxa" w:w="3289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color w:val="A80000"/>
                <w:sz w:val="16"/>
              </w:rPr>
              <w:t>study_details</w:t>
            </w:r>
          </w:p>
        </w:tc>
        <w:tc>
          <w:tcPr>
            <w:tcW w:type="dxa" w:w="3289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15503</w:t>
            </w:r>
          </w:p>
        </w:tc>
        <w:tc>
          <w:tcPr>
            <w:tcW w:type="dxa" w:w="3289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Conteo de parámetros por estudio.</w:t>
            </w:r>
          </w:p>
        </w:tc>
      </w:tr>
      <w:tr>
        <w:trPr>
          <w:cantSplit/>
        </w:trPr>
        <w:tc>
          <w:tcPr>
            <w:tcW w:type="dxa" w:w="3289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color w:val="A80000"/>
                <w:sz w:val="16"/>
              </w:rPr>
              <w:t>service_orders</w:t>
            </w:r>
          </w:p>
        </w:tc>
        <w:tc>
          <w:tcPr>
            <w:tcW w:type="dxa" w:w="3289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528</w:t>
            </w:r>
          </w:p>
        </w:tc>
        <w:tc>
          <w:tcPr>
            <w:tcW w:type="dxa" w:w="3289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Órdenes históricas y resultados.</w:t>
            </w:r>
          </w:p>
        </w:tc>
      </w:tr>
      <w:tr>
        <w:trPr>
          <w:cantSplit/>
        </w:trPr>
        <w:tc>
          <w:tcPr>
            <w:tcW w:type="dxa" w:w="3289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color w:val="A80000"/>
                <w:sz w:val="16"/>
              </w:rPr>
              <w:t>service_order_items</w:t>
            </w:r>
          </w:p>
        </w:tc>
        <w:tc>
          <w:tcPr>
            <w:tcW w:type="dxa" w:w="3289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1784</w:t>
            </w:r>
          </w:p>
        </w:tc>
        <w:tc>
          <w:tcPr>
            <w:tcW w:type="dxa" w:w="3289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Movimientos de estudios dentro de órdenes.</w:t>
            </w:r>
          </w:p>
        </w:tc>
      </w:tr>
      <w:tr>
        <w:trPr>
          <w:cantSplit/>
        </w:trPr>
        <w:tc>
          <w:tcPr>
            <w:tcW w:type="dxa" w:w="3289"/>
            <w:vAlign w:val="top"/>
            <w:shd w:fill="A80000"/>
          </w:tcPr>
          <w:p>
            <w:pPr>
              <w:spacing w:after="30"/>
            </w:pPr>
            <w:r>
              <w:rPr>
                <w:rFonts w:ascii="Aptos" w:hAnsi="Aptos"/>
                <w:b/>
                <w:i w:val="0"/>
                <w:color w:val="FFFFFF"/>
                <w:sz w:val="16"/>
              </w:rPr>
              <w:t>Total de filas fuente</w:t>
            </w:r>
          </w:p>
        </w:tc>
        <w:tc>
          <w:tcPr>
            <w:tcW w:type="dxa" w:w="3289"/>
            <w:vAlign w:val="top"/>
            <w:shd w:fill="A80000"/>
          </w:tcPr>
          <w:p>
            <w:pPr>
              <w:spacing w:after="30"/>
            </w:pPr>
            <w:r>
              <w:rPr>
                <w:rFonts w:ascii="Aptos" w:hAnsi="Aptos"/>
                <w:b/>
                <w:i w:val="0"/>
                <w:color w:val="FFFFFF"/>
                <w:sz w:val="16"/>
              </w:rPr>
              <w:t>18872</w:t>
            </w:r>
          </w:p>
        </w:tc>
        <w:tc>
          <w:tcPr>
            <w:tcW w:type="dxa" w:w="3289"/>
            <w:vAlign w:val="top"/>
            <w:shd w:fill="A80000"/>
          </w:tcPr>
          <w:p>
            <w:pPr>
              <w:spacing w:after="30"/>
            </w:pPr>
            <w:r>
              <w:rPr>
                <w:rFonts w:ascii="Aptos" w:hAnsi="Aptos"/>
                <w:b/>
                <w:i w:val="0"/>
                <w:color w:val="FFFFFF"/>
                <w:sz w:val="16"/>
              </w:rPr>
              <w:t>Respaldo analítico.</w:t>
            </w:r>
          </w:p>
        </w:tc>
      </w:tr>
      <w:tr>
        <w:trPr>
          <w:cantSplit/>
        </w:trPr>
        <w:tc>
          <w:tcPr>
            <w:tcW w:type="dxa" w:w="3289"/>
            <w:vAlign w:val="top"/>
            <w:shd w:fill="A80000"/>
          </w:tcPr>
          <w:p>
            <w:pPr>
              <w:spacing w:after="30"/>
            </w:pPr>
            <w:r>
              <w:rPr>
                <w:rFonts w:ascii="Aptos" w:hAnsi="Aptos"/>
                <w:b/>
                <w:i w:val="0"/>
                <w:color w:val="FFFFFF"/>
                <w:sz w:val="16"/>
              </w:rPr>
              <w:t>Registros operativos útiles</w:t>
            </w:r>
          </w:p>
        </w:tc>
        <w:tc>
          <w:tcPr>
            <w:tcW w:type="dxa" w:w="3289"/>
            <w:vAlign w:val="top"/>
            <w:shd w:fill="A80000"/>
          </w:tcPr>
          <w:p>
            <w:pPr>
              <w:spacing w:after="30"/>
            </w:pPr>
            <w:r>
              <w:rPr>
                <w:rFonts w:ascii="Aptos" w:hAnsi="Aptos"/>
                <w:b/>
                <w:i w:val="0"/>
                <w:color w:val="FFFFFF"/>
                <w:sz w:val="16"/>
              </w:rPr>
              <w:t>2312</w:t>
            </w:r>
          </w:p>
        </w:tc>
        <w:tc>
          <w:tcPr>
            <w:tcW w:type="dxa" w:w="3289"/>
            <w:vAlign w:val="top"/>
            <w:shd w:fill="A80000"/>
          </w:tcPr>
          <w:p>
            <w:pPr>
              <w:spacing w:after="30"/>
            </w:pPr>
            <w:r>
              <w:rPr>
                <w:rFonts w:ascii="Aptos" w:hAnsi="Aptos"/>
                <w:b/>
                <w:i w:val="0"/>
                <w:color w:val="FFFFFF"/>
                <w:sz w:val="16"/>
              </w:rPr>
              <w:t>Órdenes + ítems; supera el mínimo de 2,000.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b w:val="0"/>
          <w:i w:val="0"/>
        </w:rPr>
        <w:t>2.4 Datos sintéticos reproducibles</w:t>
      </w:r>
    </w:p>
    <w:p>
      <w:pPr>
        <w:jc w:val="both"/>
      </w:pPr>
      <w:r>
        <w:rPr>
          <w:b w:val="0"/>
          <w:i w:val="0"/>
        </w:rPr>
        <w:t xml:space="preserve">La operación real todavía es insuficiente. Por ello se incluyeron dos scripts idempotentes con fecha y reglas deterministas: 1,000 estudios </w:t>
      </w:r>
      <w:r>
        <w:rPr>
          <w:rFonts w:ascii="Consolas" w:hAnsi="Consolas"/>
          <w:b w:val="0"/>
          <w:i w:val="0"/>
          <w:color w:val="A80000"/>
          <w:sz w:val="17"/>
        </w:rPr>
        <w:t>ECN-CAT-*</w:t>
      </w:r>
      <w:r>
        <w:rPr>
          <w:b w:val="0"/>
          <w:i w:val="0"/>
        </w:rPr>
        <w:t xml:space="preserve"> y 500 órdenes </w:t>
      </w:r>
      <w:r>
        <w:rPr>
          <w:rFonts w:ascii="Consolas" w:hAnsi="Consolas"/>
          <w:b w:val="0"/>
          <w:i w:val="0"/>
          <w:color w:val="A80000"/>
          <w:sz w:val="17"/>
        </w:rPr>
        <w:t>ECO-ML-*</w:t>
      </w:r>
      <w:r>
        <w:rPr>
          <w:b w:val="0"/>
          <w:i w:val="0"/>
        </w:rPr>
        <w:t xml:space="preserve"> relacionadas con registros existentes. Los precios, métodos, parámetros, estados y tiempos presentan traslape y ruido determinista; la clase no se obtiene mediante una regla perfecta. La marca </w:t>
      </w:r>
      <w:r>
        <w:rPr>
          <w:rFonts w:ascii="Consolas" w:hAnsi="Consolas"/>
          <w:b w:val="0"/>
          <w:i w:val="0"/>
          <w:color w:val="A80000"/>
          <w:sz w:val="17"/>
        </w:rPr>
        <w:t>is_synthetic</w:t>
      </w:r>
      <w:r>
        <w:rPr>
          <w:b w:val="0"/>
          <w:i w:val="0"/>
        </w:rPr>
        <w:t xml:space="preserve"> se conserva solo para auditoría y jamás entra como X.</w:t>
      </w:r>
    </w:p>
    <w:p>
      <w:pPr>
        <w:shd w:fill="FFF4F4"/>
        <w:spacing w:before="100" w:after="140"/>
        <w:ind w:left="142" w:right="142"/>
      </w:pPr>
      <w:r>
        <w:rPr>
          <w:b w:val="0"/>
          <w:i w:val="0"/>
        </w:rPr>
        <w:t xml:space="preserve"> Regresión y clustering contienen 1,000 de 1,048 estudios sintéticos (95.42%). Clasificación contiene 500 de 512 órdenes sintéticas (97.66%). Antes de uso productivo se debe acumular historia real, volver a entrenar y evaluar por origen y periodo. </w:t>
      </w:r>
    </w:p>
    <w:p>
      <w:r>
        <w:br w:type="page"/>
      </w:r>
    </w:p>
    <w:p>
      <w:pPr>
        <w:pStyle w:val="Heading1"/>
      </w:pPr>
      <w:r>
        <w:rPr>
          <w:b w:val="0"/>
          <w:i w:val="0"/>
        </w:rPr>
        <w:t>3. Solución 1 — Clustering operativo de estudios</w:t>
      </w:r>
    </w:p>
    <w:p>
      <w:pPr>
        <w:pStyle w:val="Heading2"/>
      </w:pPr>
      <w:r>
        <w:rPr>
          <w:b w:val="0"/>
          <w:i w:val="0"/>
        </w:rPr>
        <w:t>3.1 CRISP-DM: comprensión del negocio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 w:val="true"/>
        </w:trPr>
        <w:tc>
          <w:tcPr>
            <w:tcW w:type="dxa" w:w="4933"/>
            <w:vAlign w:val="top"/>
            <w:shd w:fill="A80000"/>
          </w:tcPr>
          <w:p>
            <w:pPr>
              <w:spacing w:after="30"/>
            </w:pPr>
            <w:r>
              <w:rPr>
                <w:rFonts w:ascii="Aptos" w:hAnsi="Aptos"/>
                <w:b/>
                <w:i w:val="0"/>
                <w:color w:val="FFFFFF"/>
                <w:sz w:val="16"/>
              </w:rPr>
              <w:t>Elemento</w:t>
            </w:r>
          </w:p>
        </w:tc>
        <w:tc>
          <w:tcPr>
            <w:tcW w:type="dxa" w:w="4933"/>
            <w:vAlign w:val="top"/>
            <w:shd w:fill="A80000"/>
          </w:tcPr>
          <w:p>
            <w:pPr>
              <w:spacing w:after="30"/>
            </w:pPr>
            <w:r>
              <w:rPr>
                <w:rFonts w:ascii="Aptos" w:hAnsi="Aptos"/>
                <w:b/>
                <w:i w:val="0"/>
                <w:color w:val="FFFFFF"/>
                <w:sz w:val="16"/>
              </w:rPr>
              <w:t>Definición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Nombre</w:t>
            </w:r>
          </w:p>
        </w:tc>
        <w:tc>
          <w:tcPr>
            <w:tcW w:type="dxa" w:w="4933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Segmentación operativa del catálogo de estudios.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Tipo</w:t>
            </w:r>
          </w:p>
        </w:tc>
        <w:tc>
          <w:tcPr>
            <w:tcW w:type="dxa" w:w="4933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Clustering no supervisado con K-Means.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Necesidad</w:t>
            </w:r>
          </w:p>
        </w:tc>
        <w:tc>
          <w:tcPr>
            <w:tcW w:type="dxa" w:w="4933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Comparar conjuntamente precio, entrega, complejidad y demanda; las categorías médicas no resuelven esa necesidad administrativa.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Pregunta</w:t>
            </w:r>
          </w:p>
        </w:tc>
        <w:tc>
          <w:tcPr>
            <w:tcW w:type="dxa" w:w="4933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¿Qué segmentos operativos aparecen entre los estudios individuales activos y cuáles se alejan de su propio segmento?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Unidad</w:t>
            </w:r>
          </w:p>
        </w:tc>
        <w:tc>
          <w:tcPr>
            <w:tcW w:type="dxa" w:w="4933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Un estudio individual activo en la fecha de corte.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Salida</w:t>
            </w:r>
          </w:p>
        </w:tc>
        <w:tc>
          <w:tcPr>
            <w:tcW w:type="dxa" w:w="4933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Cluster, perfil promedio, nombre, acción administrativa e indicador de atípico.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Datos de origen</w:t>
            </w:r>
          </w:p>
        </w:tc>
        <w:tc>
          <w:tcPr>
            <w:tcW w:type="dxa" w:w="4933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color w:val="A80000"/>
                <w:sz w:val="16"/>
              </w:rPr>
              <w:t>operativo.studies</w:t>
            </w:r>
            <w:r>
              <w:rPr>
                <w:rFonts w:ascii="Aptos" w:hAnsi="Aptos"/>
                <w:b w:val="0"/>
                <w:i w:val="0"/>
                <w:sz w:val="16"/>
              </w:rPr>
              <w:t xml:space="preserve">, </w:t>
            </w:r>
            <w:r>
              <w:rPr>
                <w:rFonts w:ascii="Aptos" w:hAnsi="Aptos"/>
                <w:b w:val="0"/>
                <w:i w:val="0"/>
                <w:color w:val="A80000"/>
                <w:sz w:val="16"/>
              </w:rPr>
              <w:t>study_details</w:t>
            </w:r>
            <w:r>
              <w:rPr>
                <w:rFonts w:ascii="Aptos" w:hAnsi="Aptos"/>
                <w:b w:val="0"/>
                <w:i w:val="0"/>
                <w:sz w:val="16"/>
              </w:rPr>
              <w:t xml:space="preserve">, </w:t>
            </w:r>
            <w:r>
              <w:rPr>
                <w:rFonts w:ascii="Aptos" w:hAnsi="Aptos"/>
                <w:b w:val="0"/>
                <w:i w:val="0"/>
                <w:color w:val="A80000"/>
                <w:sz w:val="16"/>
              </w:rPr>
              <w:t>service_orders</w:t>
            </w:r>
            <w:r>
              <w:rPr>
                <w:rFonts w:ascii="Aptos" w:hAnsi="Aptos"/>
                <w:b w:val="0"/>
                <w:i w:val="0"/>
                <w:sz w:val="16"/>
              </w:rPr>
              <w:t xml:space="preserve"> y </w:t>
            </w:r>
            <w:r>
              <w:rPr>
                <w:rFonts w:ascii="Aptos" w:hAnsi="Aptos"/>
                <w:b w:val="0"/>
                <w:i w:val="0"/>
                <w:color w:val="A80000"/>
                <w:sz w:val="16"/>
              </w:rPr>
              <w:t>service_order_items</w:t>
            </w:r>
            <w:r>
              <w:rPr>
                <w:rFonts w:ascii="Aptos" w:hAnsi="Aptos"/>
                <w:b w:val="0"/>
                <w:i w:val="0"/>
                <w:sz w:val="16"/>
              </w:rPr>
              <w:t>.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Usuario y pantalla</w:t>
            </w:r>
          </w:p>
        </w:tc>
        <w:tc>
          <w:tcPr>
            <w:tcW w:type="dxa" w:w="4933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 xml:space="preserve">Administrador del catálogo en </w:t>
            </w:r>
            <w:r>
              <w:rPr>
                <w:rFonts w:ascii="Aptos" w:hAnsi="Aptos"/>
                <w:b w:val="0"/>
                <w:i w:val="0"/>
                <w:color w:val="A80000"/>
                <w:sz w:val="16"/>
              </w:rPr>
              <w:t>/admin/clustering</w:t>
            </w:r>
            <w:r>
              <w:rPr>
                <w:rFonts w:ascii="Aptos" w:hAnsi="Aptos"/>
                <w:b w:val="0"/>
                <w:i w:val="0"/>
                <w:sz w:val="16"/>
              </w:rPr>
              <w:t>.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Decisión</w:t>
            </w:r>
          </w:p>
        </w:tc>
        <w:tc>
          <w:tcPr>
            <w:tcW w:type="dxa" w:w="4933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Priorizar revisiones de precio, capacidad y entrega; no modificar automáticamente el catálogo.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Beneficio esperado</w:t>
            </w:r>
          </w:p>
        </w:tc>
        <w:tc>
          <w:tcPr>
            <w:tcW w:type="dxa" w:w="4933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Convertir una revisión fila por fila en perfiles comparables y una cola priorizada de estudios atípicos.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Criterio de utilidad</w:t>
            </w:r>
          </w:p>
        </w:tc>
        <w:tc>
          <w:tcPr>
            <w:tcW w:type="dxa" w:w="4933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Reducir tiempo de revisión, documentar decisiones sobre atípicos y conservar perfiles interpretables al recalcular con datos reales.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Riesgo</w:t>
            </w:r>
          </w:p>
        </w:tc>
        <w:tc>
          <w:tcPr>
            <w:tcW w:type="dxa" w:w="4933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Un grupo débil puede priorizar comparaciones poco útiles. La pantalla declara la calidad y exige revisión humana.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b w:val="0"/>
          <w:i w:val="0"/>
        </w:rPr>
        <w:t>3.2 CRISP-DM: comprensión de los datos</w:t>
      </w:r>
    </w:p>
    <w:p>
      <w:pPr>
        <w:jc w:val="both"/>
      </w:pPr>
      <w:r>
        <w:rPr>
          <w:b w:val="0"/>
          <w:i w:val="0"/>
        </w:rPr>
        <w:t xml:space="preserve">El dataset contiene </w:t>
      </w:r>
      <w:r>
        <w:rPr>
          <w:b/>
          <w:i w:val="0"/>
        </w:rPr>
        <w:t>1048 estudios</w:t>
      </w:r>
      <w:r>
        <w:rPr>
          <w:b w:val="0"/>
          <w:i w:val="0"/>
        </w:rPr>
        <w:t xml:space="preserve"> y representa solicitudes entre 2026-02-01T00:00:00.000Z y 2026-07-21T18:00:00.000Z. El EDA revisa estadísticos, cardinalidad, nulos, duplicados, cobertura de categorías y atípicos. La demanda suma 962 unidades; 930 proceden del lote demostrativo, dato que se muestra por separado.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78693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ustering_eda_numerica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7869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color w:val="666666"/>
          <w:sz w:val="16"/>
        </w:rPr>
        <w:t>Distribuciones numericas del dataset de clustering.</w:t>
      </w:r>
    </w:p>
    <w:p>
      <w:pPr>
        <w:jc w:val="both"/>
      </w:pPr>
      <w:r>
        <w:rPr>
          <w:b/>
          <w:i w:val="0"/>
        </w:rPr>
        <w:t>Interpretación:</w:t>
      </w:r>
      <w:r>
        <w:rPr>
          <w:b w:val="0"/>
          <w:i w:val="0"/>
        </w:rPr>
        <w:t xml:space="preserve"> precio, tiempo y parámetros tienen escalas distintas, por lo que usar distancia euclidiana sin estandarizar haría que una variable dominara. La demanda es muy asimétrica y mayoritariamente sintética; se conserva por su sentido operativo, pero se advierte en el módulo.</w:t>
      </w:r>
    </w:p>
    <w:p>
      <w:pPr>
        <w:pStyle w:val="Heading3"/>
      </w:pPr>
      <w:r>
        <w:rPr>
          <w:b w:val="0"/>
          <w:i w:val="0"/>
        </w:rPr>
        <w:t>Verificación fuente → dataset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cantSplit/>
          <w:tblHeader w:val="true"/>
        </w:trPr>
        <w:tc>
          <w:tcPr>
            <w:tcW w:type="dxa" w:w="3289"/>
            <w:vAlign w:val="top"/>
            <w:shd w:fill="A80000"/>
          </w:tcPr>
          <w:p>
            <w:pPr>
              <w:spacing w:after="30"/>
            </w:pPr>
            <w:r>
              <w:rPr>
                <w:rFonts w:ascii="Aptos" w:hAnsi="Aptos"/>
                <w:b/>
                <w:i w:val="0"/>
                <w:color w:val="FFFFFF"/>
                <w:sz w:val="16"/>
              </w:rPr>
              <w:t>Control</w:t>
            </w:r>
          </w:p>
        </w:tc>
        <w:tc>
          <w:tcPr>
            <w:tcW w:type="dxa" w:w="3289"/>
            <w:vAlign w:val="top"/>
            <w:shd w:fill="A80000"/>
          </w:tcPr>
          <w:p>
            <w:pPr>
              <w:spacing w:after="30"/>
            </w:pPr>
            <w:r>
              <w:rPr>
                <w:rFonts w:ascii="Aptos" w:hAnsi="Aptos"/>
                <w:b/>
                <w:i w:val="0"/>
                <w:color w:val="FFFFFF"/>
                <w:sz w:val="16"/>
              </w:rPr>
              <w:t>Antes</w:t>
            </w:r>
          </w:p>
        </w:tc>
        <w:tc>
          <w:tcPr>
            <w:tcW w:type="dxa" w:w="3289"/>
            <w:vAlign w:val="top"/>
            <w:shd w:fill="A80000"/>
          </w:tcPr>
          <w:p>
            <w:pPr>
              <w:spacing w:after="30"/>
            </w:pPr>
            <w:r>
              <w:rPr>
                <w:rFonts w:ascii="Aptos" w:hAnsi="Aptos"/>
                <w:b/>
                <w:i w:val="0"/>
                <w:color w:val="FFFFFF"/>
                <w:sz w:val="16"/>
              </w:rPr>
              <w:t>Después / decisión</w:t>
            </w:r>
          </w:p>
        </w:tc>
      </w:tr>
      <w:tr>
        <w:trPr>
          <w:cantSplit/>
        </w:trPr>
        <w:tc>
          <w:tcPr>
            <w:tcW w:type="dxa" w:w="3289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Filas</w:t>
            </w:r>
          </w:p>
        </w:tc>
        <w:tc>
          <w:tcPr>
            <w:tcW w:type="dxa" w:w="3289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1,057 estudios en respaldo.</w:t>
            </w:r>
          </w:p>
        </w:tc>
        <w:tc>
          <w:tcPr>
            <w:tcW w:type="dxa" w:w="3289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1,048 elegibles tras filtrar estudios individuales activos; 1,048 utilizables y 0 descartados dentro del modelo.</w:t>
            </w:r>
          </w:p>
        </w:tc>
      </w:tr>
      <w:tr>
        <w:trPr>
          <w:cantSplit/>
        </w:trPr>
        <w:tc>
          <w:tcPr>
            <w:tcW w:type="dxa" w:w="3289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Dimensión final</w:t>
            </w:r>
          </w:p>
        </w:tc>
        <w:tc>
          <w:tcPr>
            <w:tcW w:type="dxa" w:w="3289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Cuatro tablas relacionales.</w:t>
            </w:r>
          </w:p>
        </w:tc>
        <w:tc>
          <w:tcPr>
            <w:tcW w:type="dxa" w:w="3289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1,048 × 12; una fila por estudio.</w:t>
            </w:r>
          </w:p>
        </w:tc>
      </w:tr>
      <w:tr>
        <w:trPr>
          <w:cantSplit/>
        </w:trPr>
        <w:tc>
          <w:tcPr>
            <w:tcW w:type="dxa" w:w="3289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Duplicados</w:t>
            </w:r>
          </w:p>
        </w:tc>
        <w:tc>
          <w:tcPr>
            <w:tcW w:type="dxa" w:w="3289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 xml:space="preserve">Se valida </w:t>
            </w:r>
            <w:r>
              <w:rPr>
                <w:rFonts w:ascii="Aptos" w:hAnsi="Aptos"/>
                <w:b w:val="0"/>
                <w:i w:val="0"/>
                <w:color w:val="A80000"/>
                <w:sz w:val="16"/>
              </w:rPr>
              <w:t>study_id</w:t>
            </w:r>
            <w:r>
              <w:rPr>
                <w:rFonts w:ascii="Aptos" w:hAnsi="Aptos"/>
                <w:b w:val="0"/>
                <w:i w:val="0"/>
                <w:sz w:val="16"/>
              </w:rPr>
              <w:t>.</w:t>
            </w:r>
          </w:p>
        </w:tc>
        <w:tc>
          <w:tcPr>
            <w:tcW w:type="dxa" w:w="3289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0 duplicados.</w:t>
            </w:r>
          </w:p>
        </w:tc>
      </w:tr>
      <w:tr>
        <w:trPr>
          <w:cantSplit/>
        </w:trPr>
        <w:tc>
          <w:tcPr>
            <w:tcW w:type="dxa" w:w="3289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Nulos</w:t>
            </w:r>
          </w:p>
        </w:tc>
        <w:tc>
          <w:tcPr>
            <w:tcW w:type="dxa" w:w="3289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47 en parámetros (4.48%), 42 en muestra/proceso (4.01%) y 1 en método (0.10%).</w:t>
            </w:r>
          </w:p>
        </w:tc>
        <w:tc>
          <w:tcPr>
            <w:tcW w:type="dxa" w:w="3289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Mediana/moda o categoría desconocida dentro del pipeline; se conservan los conteos.</w:t>
            </w:r>
          </w:p>
        </w:tc>
      </w:tr>
      <w:tr>
        <w:trPr>
          <w:cantSplit/>
        </w:trPr>
        <w:tc>
          <w:tcPr>
            <w:tcW w:type="dxa" w:w="3289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Valores extremos</w:t>
            </w:r>
          </w:p>
        </w:tc>
        <w:tc>
          <w:tcPr>
            <w:tcW w:type="dxa" w:w="3289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Rangos originales visibles en CSV/notebook.</w:t>
            </w:r>
          </w:p>
        </w:tc>
        <w:tc>
          <w:tcPr>
            <w:tcW w:type="dxa" w:w="3289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21 precios, 14 tiempos y 5 demandas se winsorizan solo en X; el valor visible no se altera.</w:t>
            </w:r>
          </w:p>
        </w:tc>
      </w:tr>
      <w:tr>
        <w:trPr>
          <w:cantSplit/>
        </w:trPr>
        <w:tc>
          <w:tcPr>
            <w:tcW w:type="dxa" w:w="3289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Tipos/validaciones</w:t>
            </w:r>
          </w:p>
        </w:tc>
        <w:tc>
          <w:tcPr>
            <w:tcW w:type="dxa" w:w="3289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Numéricos, texto y booleano de PostgreSQL.</w:t>
            </w:r>
          </w:p>
        </w:tc>
        <w:tc>
          <w:tcPr>
            <w:tcW w:type="dxa" w:w="3289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Double/entero, one-hot y 0/1; se rechazan precios/tiempos imposibles. La muestra antes/después está en el notebook.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b w:val="0"/>
          <w:i w:val="0"/>
        </w:rPr>
        <w:t>Cinco renglones explicados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 w:val="true"/>
        </w:trPr>
        <w:tc>
          <w:tcPr>
            <w:tcW w:type="dxa" w:w="4933"/>
            <w:vAlign w:val="top"/>
            <w:shd w:fill="A80000"/>
          </w:tcPr>
          <w:p>
            <w:pPr>
              <w:spacing w:after="30"/>
            </w:pPr>
            <w:r>
              <w:rPr>
                <w:rFonts w:ascii="Aptos" w:hAnsi="Aptos"/>
                <w:b/>
                <w:i w:val="0"/>
                <w:color w:val="FFFFFF"/>
                <w:sz w:val="16"/>
              </w:rPr>
              <w:t>Estudio</w:t>
            </w:r>
          </w:p>
        </w:tc>
        <w:tc>
          <w:tcPr>
            <w:tcW w:type="dxa" w:w="4933"/>
            <w:vAlign w:val="top"/>
            <w:shd w:fill="A80000"/>
          </w:tcPr>
          <w:p>
            <w:pPr>
              <w:spacing w:after="30"/>
            </w:pPr>
            <w:r>
              <w:rPr>
                <w:rFonts w:ascii="Aptos" w:hAnsi="Aptos"/>
                <w:b/>
                <w:i w:val="0"/>
                <w:color w:val="FFFFFF"/>
                <w:sz w:val="16"/>
              </w:rPr>
              <w:t>Lectura de negocio del renglón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GLU-001</w:t>
            </w:r>
          </w:p>
        </w:tc>
        <w:tc>
          <w:tcPr>
            <w:tcW w:type="dxa" w:w="4933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$110, 1 hora y 5 solicitudes; una es demostrativa. Los faltantes categóricos se imputan únicamente en el preprocesamiento.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BH01</w:t>
            </w:r>
          </w:p>
        </w:tc>
        <w:tc>
          <w:tcPr>
            <w:tcW w:type="dxa" w:w="4933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$180, 0.5 horas, 3 solicitudes y método automatizado; combina entrega rápida con demanda observada.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QS06</w:t>
            </w:r>
          </w:p>
        </w:tc>
        <w:tc>
          <w:tcPr>
            <w:tcW w:type="dxa" w:w="4933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$220, 0.75 horas y cero solicitudes en el periodo; cero es un conteo válido, no un nulo.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QS12</w:t>
            </w:r>
          </w:p>
        </w:tc>
        <w:tc>
          <w:tcPr>
            <w:tcW w:type="dxa" w:w="4933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$350, 1 hora y 4 solicitudes, dos demostrativas, con espectrofotometría.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GLU01</w:t>
            </w:r>
          </w:p>
        </w:tc>
        <w:tc>
          <w:tcPr>
            <w:tcW w:type="dxa" w:w="4933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$80, 0.25 horas y 5 solicitudes, una demostrativa, con método enzimático.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b w:val="0"/>
          <w:i w:val="0"/>
        </w:rPr>
        <w:t>3.3 CRISP-DM: preparación de los datos</w:t>
      </w:r>
    </w:p>
    <w:p>
      <w:pPr>
        <w:jc w:val="both"/>
      </w:pPr>
      <w:r>
        <w:rPr>
          <w:b w:val="0"/>
          <w:i w:val="0"/>
        </w:rPr>
        <w:t xml:space="preserve">El SQL filtra estudios individuales activos, cuenta parámetros por </w:t>
      </w:r>
      <w:r>
        <w:rPr>
          <w:rFonts w:ascii="Consolas" w:hAnsi="Consolas"/>
          <w:b w:val="0"/>
          <w:i w:val="0"/>
          <w:color w:val="A80000"/>
          <w:sz w:val="17"/>
        </w:rPr>
        <w:t>study_id</w:t>
      </w:r>
      <w:r>
        <w:rPr>
          <w:b w:val="0"/>
          <w:i w:val="0"/>
        </w:rPr>
        <w:t xml:space="preserve"> y agrega ítems de órdenes activas no canceladas dentro del corte. Se elimina un duplicado si comparte ID, se validan rangos y se imputan nulos numéricos con mediana. Los extremos se limitan a percentiles 1 y 99 solo dentro del vector, las variables numéricas se estandarizan con z-score y las categorías se codifican one-hot. Código, nombre, ID, origen sintético y demanda sintética no entran a K-Means.</w:t>
      </w:r>
    </w:p>
    <w:p>
      <w:pPr>
        <w:pStyle w:val="Heading2"/>
      </w:pPr>
      <w:r>
        <w:rPr>
          <w:b w:val="0"/>
          <w:i w:val="0"/>
        </w:rPr>
        <w:t>3.4 CRISP-DM: modelado y fundamento</w:t>
      </w:r>
    </w:p>
    <w:p>
      <w:pPr>
        <w:jc w:val="both"/>
      </w:pPr>
      <w:r>
        <w:rPr>
          <w:b w:val="0"/>
          <w:i w:val="0"/>
        </w:rPr>
        <w:t xml:space="preserve">K-Means asigna cada observación al centroide más cercano y actualiza los centroides para minimizar la suma de cuadrados dentro de los grupos [2]. Es adecuado para una primera segmentación operativa porque produce asignaciones simples, centroides reutilizables y perfiles comparables. Sus limitaciones son la sensibilidad a escala, inicialización, valores extremos y formas no esféricas. Por eso se fijó la semilla 20260721, se usan múltiples inicializaciones, escalado y una comparación de </w:t>
      </w:r>
      <w:r>
        <w:rPr>
          <w:b w:val="0"/>
          <w:i/>
        </w:rPr>
        <w:t>k</w:t>
      </w:r>
      <w:r>
        <w:rPr>
          <w:b w:val="0"/>
          <w:i w:val="0"/>
        </w:rPr>
        <w:t>=2…6.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cantSplit/>
          <w:tblHeader w:val="true"/>
        </w:trPr>
        <w:tc>
          <w:tcPr>
            <w:tcW w:type="dxa" w:w="1644"/>
            <w:vAlign w:val="top"/>
            <w:shd w:fill="A80000"/>
          </w:tcPr>
          <w:p>
            <w:pPr>
              <w:spacing w:after="30"/>
            </w:pPr>
            <w:r>
              <w:rPr>
                <w:rFonts w:ascii="Aptos" w:hAnsi="Aptos"/>
                <w:b/>
                <w:i w:val="0"/>
                <w:color w:val="FFFFFF"/>
                <w:sz w:val="16"/>
              </w:rPr>
              <w:t>k</w:t>
            </w:r>
          </w:p>
        </w:tc>
        <w:tc>
          <w:tcPr>
            <w:tcW w:type="dxa" w:w="1644"/>
            <w:vAlign w:val="top"/>
            <w:shd w:fill="A80000"/>
          </w:tcPr>
          <w:p>
            <w:pPr>
              <w:spacing w:after="30"/>
            </w:pPr>
            <w:r>
              <w:rPr>
                <w:rFonts w:ascii="Aptos" w:hAnsi="Aptos"/>
                <w:b/>
                <w:i w:val="0"/>
                <w:color w:val="FFFFFF"/>
                <w:sz w:val="16"/>
              </w:rPr>
              <w:t>Inercia</w:t>
            </w:r>
          </w:p>
        </w:tc>
        <w:tc>
          <w:tcPr>
            <w:tcW w:type="dxa" w:w="1644"/>
            <w:vAlign w:val="top"/>
            <w:shd w:fill="A80000"/>
          </w:tcPr>
          <w:p>
            <w:pPr>
              <w:spacing w:after="30"/>
            </w:pPr>
            <w:r>
              <w:rPr>
                <w:rFonts w:ascii="Aptos" w:hAnsi="Aptos"/>
                <w:b/>
                <w:i w:val="0"/>
                <w:color w:val="FFFFFF"/>
                <w:sz w:val="16"/>
              </w:rPr>
              <w:t>Silueta</w:t>
            </w:r>
          </w:p>
        </w:tc>
        <w:tc>
          <w:tcPr>
            <w:tcW w:type="dxa" w:w="1644"/>
            <w:vAlign w:val="top"/>
            <w:shd w:fill="A80000"/>
          </w:tcPr>
          <w:p>
            <w:pPr>
              <w:spacing w:after="30"/>
            </w:pPr>
            <w:r>
              <w:rPr>
                <w:rFonts w:ascii="Aptos" w:hAnsi="Aptos"/>
                <w:b/>
                <w:i w:val="0"/>
                <w:color w:val="FFFFFF"/>
                <w:sz w:val="16"/>
              </w:rPr>
              <w:t>Davies–Bouldin</w:t>
            </w:r>
          </w:p>
        </w:tc>
        <w:tc>
          <w:tcPr>
            <w:tcW w:type="dxa" w:w="1644"/>
            <w:vAlign w:val="top"/>
            <w:shd w:fill="A80000"/>
          </w:tcPr>
          <w:p>
            <w:pPr>
              <w:spacing w:after="30"/>
            </w:pPr>
            <w:r>
              <w:rPr>
                <w:rFonts w:ascii="Aptos" w:hAnsi="Aptos"/>
                <w:b/>
                <w:i w:val="0"/>
                <w:color w:val="FFFFFF"/>
                <w:sz w:val="16"/>
              </w:rPr>
              <w:t>Grupo mínimo</w:t>
            </w:r>
          </w:p>
        </w:tc>
        <w:tc>
          <w:tcPr>
            <w:tcW w:type="dxa" w:w="1644"/>
            <w:vAlign w:val="top"/>
            <w:shd w:fill="A80000"/>
          </w:tcPr>
          <w:p>
            <w:pPr>
              <w:spacing w:after="30"/>
            </w:pPr>
            <w:r>
              <w:rPr>
                <w:rFonts w:ascii="Aptos" w:hAnsi="Aptos"/>
                <w:b/>
                <w:i w:val="0"/>
                <w:color w:val="FFFFFF"/>
                <w:sz w:val="16"/>
              </w:rPr>
              <w:t>Seleccionado</w:t>
            </w:r>
          </w:p>
        </w:tc>
      </w:tr>
      <w:tr>
        <w:trPr>
          <w:cantSplit/>
        </w:trPr>
        <w:tc>
          <w:tcPr>
            <w:tcW w:type="dxa" w:w="1644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2</w:t>
            </w:r>
          </w:p>
        </w:tc>
        <w:tc>
          <w:tcPr>
            <w:tcW w:type="dxa" w:w="1644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4623.31</w:t>
            </w:r>
          </w:p>
        </w:tc>
        <w:tc>
          <w:tcPr>
            <w:tcW w:type="dxa" w:w="1644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0.2275</w:t>
            </w:r>
          </w:p>
        </w:tc>
        <w:tc>
          <w:tcPr>
            <w:tcW w:type="dxa" w:w="1644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1.6587</w:t>
            </w:r>
          </w:p>
        </w:tc>
        <w:tc>
          <w:tcPr>
            <w:tcW w:type="dxa" w:w="1644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488</w:t>
            </w:r>
          </w:p>
        </w:tc>
        <w:tc>
          <w:tcPr>
            <w:tcW w:type="dxa" w:w="1644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True</w:t>
            </w:r>
          </w:p>
        </w:tc>
      </w:tr>
      <w:tr>
        <w:trPr>
          <w:cantSplit/>
        </w:trPr>
        <w:tc>
          <w:tcPr>
            <w:tcW w:type="dxa" w:w="1644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3</w:t>
            </w:r>
          </w:p>
        </w:tc>
        <w:tc>
          <w:tcPr>
            <w:tcW w:type="dxa" w:w="1644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3878.95</w:t>
            </w:r>
          </w:p>
        </w:tc>
        <w:tc>
          <w:tcPr>
            <w:tcW w:type="dxa" w:w="1644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0.2218</w:t>
            </w:r>
          </w:p>
        </w:tc>
        <w:tc>
          <w:tcPr>
            <w:tcW w:type="dxa" w:w="1644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1.6036</w:t>
            </w:r>
          </w:p>
        </w:tc>
        <w:tc>
          <w:tcPr>
            <w:tcW w:type="dxa" w:w="1644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190</w:t>
            </w:r>
          </w:p>
        </w:tc>
        <w:tc>
          <w:tcPr>
            <w:tcW w:type="dxa" w:w="1644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False</w:t>
            </w:r>
          </w:p>
        </w:tc>
      </w:tr>
      <w:tr>
        <w:trPr>
          <w:cantSplit/>
        </w:trPr>
        <w:tc>
          <w:tcPr>
            <w:tcW w:type="dxa" w:w="1644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4</w:t>
            </w:r>
          </w:p>
        </w:tc>
        <w:tc>
          <w:tcPr>
            <w:tcW w:type="dxa" w:w="1644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3557.56</w:t>
            </w:r>
          </w:p>
        </w:tc>
        <w:tc>
          <w:tcPr>
            <w:tcW w:type="dxa" w:w="1644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0.2252</w:t>
            </w:r>
          </w:p>
        </w:tc>
        <w:tc>
          <w:tcPr>
            <w:tcW w:type="dxa" w:w="1644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1.6115</w:t>
            </w:r>
          </w:p>
        </w:tc>
        <w:tc>
          <w:tcPr>
            <w:tcW w:type="dxa" w:w="1644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73</w:t>
            </w:r>
          </w:p>
        </w:tc>
        <w:tc>
          <w:tcPr>
            <w:tcW w:type="dxa" w:w="1644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False</w:t>
            </w:r>
          </w:p>
        </w:tc>
      </w:tr>
      <w:tr>
        <w:trPr>
          <w:cantSplit/>
        </w:trPr>
        <w:tc>
          <w:tcPr>
            <w:tcW w:type="dxa" w:w="1644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5</w:t>
            </w:r>
          </w:p>
        </w:tc>
        <w:tc>
          <w:tcPr>
            <w:tcW w:type="dxa" w:w="1644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3197.72</w:t>
            </w:r>
          </w:p>
        </w:tc>
        <w:tc>
          <w:tcPr>
            <w:tcW w:type="dxa" w:w="1644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0.1914</w:t>
            </w:r>
          </w:p>
        </w:tc>
        <w:tc>
          <w:tcPr>
            <w:tcW w:type="dxa" w:w="1644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1.6927</w:t>
            </w:r>
          </w:p>
        </w:tc>
        <w:tc>
          <w:tcPr>
            <w:tcW w:type="dxa" w:w="1644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73</w:t>
            </w:r>
          </w:p>
        </w:tc>
        <w:tc>
          <w:tcPr>
            <w:tcW w:type="dxa" w:w="1644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False</w:t>
            </w:r>
          </w:p>
        </w:tc>
      </w:tr>
      <w:tr>
        <w:trPr>
          <w:cantSplit/>
        </w:trPr>
        <w:tc>
          <w:tcPr>
            <w:tcW w:type="dxa" w:w="1644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6</w:t>
            </w:r>
          </w:p>
        </w:tc>
        <w:tc>
          <w:tcPr>
            <w:tcW w:type="dxa" w:w="1644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2981.72</w:t>
            </w:r>
          </w:p>
        </w:tc>
        <w:tc>
          <w:tcPr>
            <w:tcW w:type="dxa" w:w="1644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0.1891</w:t>
            </w:r>
          </w:p>
        </w:tc>
        <w:tc>
          <w:tcPr>
            <w:tcW w:type="dxa" w:w="1644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1.6057</w:t>
            </w:r>
          </w:p>
        </w:tc>
        <w:tc>
          <w:tcPr>
            <w:tcW w:type="dxa" w:w="1644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69</w:t>
            </w:r>
          </w:p>
        </w:tc>
        <w:tc>
          <w:tcPr>
            <w:tcW w:type="dxa" w:w="1644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False</w:t>
            </w:r>
          </w:p>
        </w:tc>
      </w:tr>
    </w:tbl>
    <w:p>
      <w:pPr>
        <w:spacing w:after="2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158293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ustering_comparacion_k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5829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color w:val="666666"/>
          <w:sz w:val="16"/>
        </w:rPr>
        <w:t>Comparacion exploratoria de K-Means para k=2 a 6; el JSON final conserva las metricas exactas del backend.</w:t>
      </w:r>
    </w:p>
    <w:p>
      <w:pPr>
        <w:jc w:val="both"/>
      </w:pPr>
      <w:r>
        <w:rPr>
          <w:b w:val="0"/>
          <w:i w:val="0"/>
        </w:rPr>
        <w:t xml:space="preserve">La gráfica de referencia en scikit-learn y la implementación del backend seleccionan el mismo </w:t>
      </w:r>
      <w:r>
        <w:rPr>
          <w:b w:val="0"/>
          <w:i/>
        </w:rPr>
        <w:t>k</w:t>
      </w:r>
      <w:r>
        <w:rPr>
          <w:b w:val="0"/>
          <w:i w:val="0"/>
        </w:rPr>
        <w:t>. Las cifras oficiales son las del artefacto JSONB utilizado por el sistema, mostradas en la tabla anterior.</w:t>
      </w:r>
    </w:p>
    <w:p>
      <w:pPr>
        <w:pStyle w:val="Heading2"/>
      </w:pPr>
      <w:r>
        <w:rPr>
          <w:b w:val="0"/>
          <w:i w:val="0"/>
        </w:rPr>
        <w:t>3.5 CRISP-DM: evaluación</w:t>
      </w:r>
    </w:p>
    <w:p>
      <w:pPr>
        <w:jc w:val="both"/>
      </w:pPr>
      <w:r>
        <w:rPr>
          <w:b w:val="0"/>
          <w:i w:val="0"/>
        </w:rPr>
        <w:t xml:space="preserve">Se seleccionó </w:t>
      </w:r>
      <w:r>
        <w:rPr>
          <w:b/>
          <w:i w:val="0"/>
        </w:rPr>
        <w:t>k=2</w:t>
      </w:r>
      <w:r>
        <w:rPr>
          <w:b w:val="0"/>
          <w:i w:val="0"/>
        </w:rPr>
        <w:t xml:space="preserve">. La silueta es </w:t>
      </w:r>
      <w:r>
        <w:rPr>
          <w:b w:val="0"/>
          <w:i w:val="0"/>
        </w:rPr>
        <w:t>0.2275</w:t>
      </w:r>
      <w:r>
        <w:rPr>
          <w:b w:val="0"/>
          <w:i w:val="0"/>
        </w:rPr>
        <w:t xml:space="preserve"> (mayor es mejor) y Davies–Bouldin es </w:t>
      </w:r>
      <w:r>
        <w:rPr>
          <w:b w:val="0"/>
          <w:i w:val="0"/>
        </w:rPr>
        <w:t>1.6587</w:t>
      </w:r>
      <w:r>
        <w:rPr>
          <w:b w:val="0"/>
          <w:i w:val="0"/>
        </w:rPr>
        <w:t xml:space="preserve"> (menor es mejor) [3][4]. La silueta modesta indica solapamiento y obliga a interpretar el resultado como prototipo, no como separación natural definitiva.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33"/>
        <w:gridCol w:w="1233"/>
        <w:gridCol w:w="1233"/>
        <w:gridCol w:w="1233"/>
        <w:gridCol w:w="1233"/>
        <w:gridCol w:w="1233"/>
        <w:gridCol w:w="1233"/>
        <w:gridCol w:w="1233"/>
      </w:tblGrid>
      <w:tr>
        <w:trPr>
          <w:cantSplit/>
          <w:tblHeader w:val="true"/>
        </w:trPr>
        <w:tc>
          <w:tcPr>
            <w:tcW w:type="dxa" w:w="1233"/>
            <w:vAlign w:val="top"/>
            <w:shd w:fill="A80000"/>
          </w:tcPr>
          <w:p>
            <w:pPr>
              <w:spacing w:after="30"/>
            </w:pPr>
            <w:r>
              <w:rPr>
                <w:rFonts w:ascii="Aptos" w:hAnsi="Aptos"/>
                <w:b/>
                <w:i w:val="0"/>
                <w:color w:val="FFFFFF"/>
                <w:sz w:val="16"/>
              </w:rPr>
              <w:t>Cluster</w:t>
            </w:r>
          </w:p>
        </w:tc>
        <w:tc>
          <w:tcPr>
            <w:tcW w:type="dxa" w:w="1233"/>
            <w:vAlign w:val="top"/>
            <w:shd w:fill="A80000"/>
          </w:tcPr>
          <w:p>
            <w:pPr>
              <w:spacing w:after="30"/>
            </w:pPr>
            <w:r>
              <w:rPr>
                <w:rFonts w:ascii="Aptos" w:hAnsi="Aptos"/>
                <w:b/>
                <w:i w:val="0"/>
                <w:color w:val="FFFFFF"/>
                <w:sz w:val="16"/>
              </w:rPr>
              <w:t>Nombre interpretable</w:t>
            </w:r>
          </w:p>
        </w:tc>
        <w:tc>
          <w:tcPr>
            <w:tcW w:type="dxa" w:w="1233"/>
            <w:vAlign w:val="top"/>
            <w:shd w:fill="A80000"/>
          </w:tcPr>
          <w:p>
            <w:pPr>
              <w:spacing w:after="30"/>
            </w:pPr>
            <w:r>
              <w:rPr>
                <w:rFonts w:ascii="Aptos" w:hAnsi="Aptos"/>
                <w:b/>
                <w:i w:val="0"/>
                <w:color w:val="FFFFFF"/>
                <w:sz w:val="16"/>
              </w:rPr>
              <w:t>Estudios</w:t>
            </w:r>
          </w:p>
        </w:tc>
        <w:tc>
          <w:tcPr>
            <w:tcW w:type="dxa" w:w="1233"/>
            <w:vAlign w:val="top"/>
            <w:shd w:fill="A80000"/>
          </w:tcPr>
          <w:p>
            <w:pPr>
              <w:spacing w:after="30"/>
            </w:pPr>
            <w:r>
              <w:rPr>
                <w:rFonts w:ascii="Aptos" w:hAnsi="Aptos"/>
                <w:b/>
                <w:i w:val="0"/>
                <w:color w:val="FFFFFF"/>
                <w:sz w:val="16"/>
              </w:rPr>
              <w:t>Precio promedio</w:t>
            </w:r>
          </w:p>
        </w:tc>
        <w:tc>
          <w:tcPr>
            <w:tcW w:type="dxa" w:w="1233"/>
            <w:vAlign w:val="top"/>
            <w:shd w:fill="A80000"/>
          </w:tcPr>
          <w:p>
            <w:pPr>
              <w:spacing w:after="30"/>
            </w:pPr>
            <w:r>
              <w:rPr>
                <w:rFonts w:ascii="Aptos" w:hAnsi="Aptos"/>
                <w:b/>
                <w:i w:val="0"/>
                <w:color w:val="FFFFFF"/>
                <w:sz w:val="16"/>
              </w:rPr>
              <w:t>Horas</w:t>
            </w:r>
          </w:p>
        </w:tc>
        <w:tc>
          <w:tcPr>
            <w:tcW w:type="dxa" w:w="1233"/>
            <w:vAlign w:val="top"/>
            <w:shd w:fill="A80000"/>
          </w:tcPr>
          <w:p>
            <w:pPr>
              <w:spacing w:after="30"/>
            </w:pPr>
            <w:r>
              <w:rPr>
                <w:rFonts w:ascii="Aptos" w:hAnsi="Aptos"/>
                <w:b/>
                <w:i w:val="0"/>
                <w:color w:val="FFFFFF"/>
                <w:sz w:val="16"/>
              </w:rPr>
              <w:t>Parámetros</w:t>
            </w:r>
          </w:p>
        </w:tc>
        <w:tc>
          <w:tcPr>
            <w:tcW w:type="dxa" w:w="1233"/>
            <w:vAlign w:val="top"/>
            <w:shd w:fill="A80000"/>
          </w:tcPr>
          <w:p>
            <w:pPr>
              <w:spacing w:after="30"/>
            </w:pPr>
            <w:r>
              <w:rPr>
                <w:rFonts w:ascii="Aptos" w:hAnsi="Aptos"/>
                <w:b/>
                <w:i w:val="0"/>
                <w:color w:val="FFFFFF"/>
                <w:sz w:val="16"/>
              </w:rPr>
              <w:t>Solicitudes</w:t>
            </w:r>
          </w:p>
        </w:tc>
        <w:tc>
          <w:tcPr>
            <w:tcW w:type="dxa" w:w="1233"/>
            <w:vAlign w:val="top"/>
            <w:shd w:fill="A80000"/>
          </w:tcPr>
          <w:p>
            <w:pPr>
              <w:spacing w:after="30"/>
            </w:pPr>
            <w:r>
              <w:rPr>
                <w:rFonts w:ascii="Aptos" w:hAnsi="Aptos"/>
                <w:b/>
                <w:i w:val="0"/>
                <w:color w:val="FFFFFF"/>
                <w:sz w:val="16"/>
              </w:rPr>
              <w:t>Atípicos</w:t>
            </w:r>
          </w:p>
        </w:tc>
      </w:tr>
      <w:tr>
        <w:trPr>
          <w:cantSplit/>
        </w:trPr>
        <w:tc>
          <w:tcPr>
            <w:tcW w:type="dxa" w:w="1233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1</w:t>
            </w:r>
          </w:p>
        </w:tc>
        <w:tc>
          <w:tcPr>
            <w:tcW w:type="dxa" w:w="1233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Estudios accesibles</w:t>
            </w:r>
          </w:p>
        </w:tc>
        <w:tc>
          <w:tcPr>
            <w:tcW w:type="dxa" w:w="1233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560</w:t>
            </w:r>
          </w:p>
        </w:tc>
        <w:tc>
          <w:tcPr>
            <w:tcW w:type="dxa" w:w="1233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408.49</w:t>
            </w:r>
          </w:p>
        </w:tc>
        <w:tc>
          <w:tcPr>
            <w:tcW w:type="dxa" w:w="1233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2.18</w:t>
            </w:r>
          </w:p>
        </w:tc>
        <w:tc>
          <w:tcPr>
            <w:tcW w:type="dxa" w:w="1233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9.43</w:t>
            </w:r>
          </w:p>
        </w:tc>
        <w:tc>
          <w:tcPr>
            <w:tcW w:type="dxa" w:w="1233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0.91</w:t>
            </w:r>
          </w:p>
        </w:tc>
        <w:tc>
          <w:tcPr>
            <w:tcW w:type="dxa" w:w="1233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42</w:t>
            </w:r>
          </w:p>
        </w:tc>
      </w:tr>
      <w:tr>
        <w:trPr>
          <w:cantSplit/>
        </w:trPr>
        <w:tc>
          <w:tcPr>
            <w:tcW w:type="dxa" w:w="1233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2</w:t>
            </w:r>
          </w:p>
        </w:tc>
        <w:tc>
          <w:tcPr>
            <w:tcW w:type="dxa" w:w="1233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Estudios de mayor costo y de entrega prolongada</w:t>
            </w:r>
          </w:p>
        </w:tc>
        <w:tc>
          <w:tcPr>
            <w:tcW w:type="dxa" w:w="1233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488</w:t>
            </w:r>
          </w:p>
        </w:tc>
        <w:tc>
          <w:tcPr>
            <w:tcW w:type="dxa" w:w="1233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784.53</w:t>
            </w:r>
          </w:p>
        </w:tc>
        <w:tc>
          <w:tcPr>
            <w:tcW w:type="dxa" w:w="1233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5.14</w:t>
            </w:r>
          </w:p>
        </w:tc>
        <w:tc>
          <w:tcPr>
            <w:tcW w:type="dxa" w:w="1233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22.40</w:t>
            </w:r>
          </w:p>
        </w:tc>
        <w:tc>
          <w:tcPr>
            <w:tcW w:type="dxa" w:w="1233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0.93</w:t>
            </w:r>
          </w:p>
        </w:tc>
        <w:tc>
          <w:tcPr>
            <w:tcW w:type="dxa" w:w="1233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66</w:t>
            </w:r>
          </w:p>
        </w:tc>
      </w:tr>
    </w:tbl>
    <w:p>
      <w:pPr>
        <w:spacing w:after="20"/>
      </w:pPr>
    </w:p>
    <w:p>
      <w:pPr>
        <w:jc w:val="both"/>
      </w:pPr>
      <w:r>
        <w:rPr>
          <w:b w:val="0"/>
          <w:i w:val="0"/>
        </w:rPr>
        <w:t>El grupo accesible sugiere monitorear volumen y existencias mínimas. El grupo de mayor costo y entrega prolongada requiere revisar equipo, reactivos y compromisos de entrega. Se detectaron 108 atípicos; son una cola de revisión, no errores automáticos.</w:t>
      </w:r>
    </w:p>
    <w:p>
      <w:pPr>
        <w:pStyle w:val="Heading2"/>
      </w:pPr>
      <w:r>
        <w:rPr>
          <w:b w:val="0"/>
          <w:i w:val="0"/>
        </w:rPr>
        <w:t>3.6 CRISP-DM: despliegue</w:t>
      </w:r>
    </w:p>
    <w:p>
      <w:pPr>
        <w:jc w:val="both"/>
      </w:pPr>
      <w:r>
        <w:rPr>
          <w:b w:val="0"/>
          <w:i w:val="0"/>
        </w:rPr>
        <w:t xml:space="preserve">El artefacto contiene medianas, límites, categorías, escalas, centroides y umbrales de atípicos. Se persiste en </w:t>
      </w:r>
      <w:r>
        <w:rPr>
          <w:rFonts w:ascii="Consolas" w:hAnsi="Consolas"/>
          <w:b w:val="0"/>
          <w:i w:val="0"/>
          <w:color w:val="A80000"/>
          <w:sz w:val="17"/>
        </w:rPr>
        <w:t>study_clustering_runs.data_quality.modelArtifact</w:t>
      </w:r>
      <w:r>
        <w:rPr>
          <w:b w:val="0"/>
          <w:i w:val="0"/>
        </w:rPr>
        <w:t xml:space="preserve">. El endpoint </w:t>
      </w:r>
      <w:r>
        <w:rPr>
          <w:rFonts w:ascii="Consolas" w:hAnsi="Consolas"/>
          <w:b w:val="0"/>
          <w:i w:val="0"/>
          <w:color w:val="A80000"/>
          <w:sz w:val="17"/>
        </w:rPr>
        <w:t>GET /study-clustering/analysis</w:t>
      </w:r>
      <w:r>
        <w:rPr>
          <w:b w:val="0"/>
          <w:i w:val="0"/>
        </w:rPr>
        <w:t xml:space="preserve"> carga la ejecución completada y reasigna las 1,048 filas con el artefacto: cero discrepancias con la fotografía almacenada. La pantalla permite comparar perfiles, buscar estudios y filtrar atípicos. El recálculo es una acción administrativa separada.</w:t>
      </w:r>
    </w:p>
    <w:p>
      <w:r>
        <w:br w:type="page"/>
      </w:r>
    </w:p>
    <w:p>
      <w:pPr>
        <w:pStyle w:val="Heading1"/>
      </w:pPr>
      <w:r>
        <w:rPr>
          <w:b w:val="0"/>
          <w:i w:val="0"/>
        </w:rPr>
        <w:t>4. Solución 2 — Regresión para sugerir precio</w:t>
      </w:r>
    </w:p>
    <w:p>
      <w:pPr>
        <w:pStyle w:val="Heading2"/>
      </w:pPr>
      <w:r>
        <w:rPr>
          <w:b w:val="0"/>
          <w:i w:val="0"/>
        </w:rPr>
        <w:t>4.1 CRISP-DM: comprensión del negocio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 w:val="true"/>
        </w:trPr>
        <w:tc>
          <w:tcPr>
            <w:tcW w:type="dxa" w:w="4933"/>
            <w:vAlign w:val="top"/>
            <w:shd w:fill="A80000"/>
          </w:tcPr>
          <w:p>
            <w:pPr>
              <w:spacing w:after="30"/>
            </w:pPr>
            <w:r>
              <w:rPr>
                <w:rFonts w:ascii="Aptos" w:hAnsi="Aptos"/>
                <w:b/>
                <w:i w:val="0"/>
                <w:color w:val="FFFFFF"/>
                <w:sz w:val="16"/>
              </w:rPr>
              <w:t>Elemento</w:t>
            </w:r>
          </w:p>
        </w:tc>
        <w:tc>
          <w:tcPr>
            <w:tcW w:type="dxa" w:w="4933"/>
            <w:vAlign w:val="top"/>
            <w:shd w:fill="A80000"/>
          </w:tcPr>
          <w:p>
            <w:pPr>
              <w:spacing w:after="30"/>
            </w:pPr>
            <w:r>
              <w:rPr>
                <w:rFonts w:ascii="Aptos" w:hAnsi="Aptos"/>
                <w:b/>
                <w:i w:val="0"/>
                <w:color w:val="FFFFFF"/>
                <w:sz w:val="16"/>
              </w:rPr>
              <w:t>Definición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Nombre</w:t>
            </w:r>
          </w:p>
        </w:tc>
        <w:tc>
          <w:tcPr>
            <w:tcW w:type="dxa" w:w="4933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Estimación administrativa del precio de un estudio.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Tipo</w:t>
            </w:r>
          </w:p>
        </w:tc>
        <w:tc>
          <w:tcPr>
            <w:tcW w:type="dxa" w:w="4933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Regresión supervisada Ridge.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Necesidad</w:t>
            </w:r>
          </w:p>
        </w:tc>
        <w:tc>
          <w:tcPr>
            <w:tcW w:type="dxa" w:w="4933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Dar al administrador una referencia consistente al crear un estudio, sin reemplazar costos ni políticas comerciales.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Pregunta</w:t>
            </w:r>
          </w:p>
        </w:tc>
        <w:tc>
          <w:tcPr>
            <w:tcW w:type="dxa" w:w="4933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¿Qué precio normal en MXN conviene sugerir para un estudio individual según su método y número de parámetros?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Unidad y Y</w:t>
            </w:r>
          </w:p>
        </w:tc>
        <w:tc>
          <w:tcPr>
            <w:tcW w:type="dxa" w:w="4933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Un estudio individual activo; precio normal histórico continuo en MXN.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Datos de origen</w:t>
            </w:r>
          </w:p>
        </w:tc>
        <w:tc>
          <w:tcPr>
            <w:tcW w:type="dxa" w:w="4933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color w:val="A80000"/>
                <w:sz w:val="16"/>
              </w:rPr>
              <w:t>operativo.studies</w:t>
            </w:r>
            <w:r>
              <w:rPr>
                <w:rFonts w:ascii="Aptos" w:hAnsi="Aptos"/>
                <w:b w:val="0"/>
                <w:i w:val="0"/>
                <w:sz w:val="16"/>
              </w:rPr>
              <w:t xml:space="preserve"> y </w:t>
            </w:r>
            <w:r>
              <w:rPr>
                <w:rFonts w:ascii="Aptos" w:hAnsi="Aptos"/>
                <w:b w:val="0"/>
                <w:i w:val="0"/>
                <w:color w:val="A80000"/>
                <w:sz w:val="16"/>
              </w:rPr>
              <w:t>operativo.study_details</w:t>
            </w:r>
            <w:r>
              <w:rPr>
                <w:rFonts w:ascii="Aptos" w:hAnsi="Aptos"/>
                <w:b w:val="0"/>
                <w:i w:val="0"/>
                <w:sz w:val="16"/>
              </w:rPr>
              <w:t>.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Usuario y pantalla</w:t>
            </w:r>
          </w:p>
        </w:tc>
        <w:tc>
          <w:tcPr>
            <w:tcW w:type="dxa" w:w="4933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Administrador, dentro del formulario Agregar estudio.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Decisión</w:t>
            </w:r>
          </w:p>
        </w:tc>
        <w:tc>
          <w:tcPr>
            <w:tcW w:type="dxa" w:w="4933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Aceptar la sugerencia o capturar otro precio tras revisar costos.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Beneficio esperado</w:t>
            </w:r>
          </w:p>
        </w:tc>
        <w:tc>
          <w:tcPr>
            <w:tcW w:type="dxa" w:w="4933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Reducir tiempo e inconsistencia al capturar precios mediante una referencia inmediata, trazable y editable.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Criterio de utilidad</w:t>
            </w:r>
          </w:p>
        </w:tc>
        <w:tc>
          <w:tcPr>
            <w:tcW w:type="dxa" w:w="4933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Superar el baseline promedio en un holdout real y reducir al menos 20% su MAE, sujeto al umbral comercial que apruebe ECONOLAB.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Riesgo</w:t>
            </w:r>
          </w:p>
        </w:tc>
        <w:tc>
          <w:tcPr>
            <w:tcW w:type="dxa" w:w="4933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Sobreestimar reduce demanda; subestimar reduce margen. Nunca se guarda automáticamente.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b w:val="0"/>
          <w:i w:val="0"/>
        </w:rPr>
        <w:t>4.2 CRISP-DM: comprensión de los datos</w:t>
      </w:r>
    </w:p>
    <w:p>
      <w:pPr>
        <w:jc w:val="both"/>
      </w:pPr>
      <w:r>
        <w:rPr>
          <w:b w:val="0"/>
          <w:i w:val="0"/>
        </w:rPr>
        <w:t xml:space="preserve">Se exportó un snapshot de 1048 estudios el 2026-07-22T03:48:35.094Z. No es una serie temporal porque no existe una fecha de observación por estudio. Contiene 48 filas reales y 1,000 demostrativas. Después de normalizar el método existen 24 categorías. </w:t>
      </w:r>
      <w:r>
        <w:rPr>
          <w:rFonts w:ascii="Consolas" w:hAnsi="Consolas"/>
          <w:b w:val="0"/>
          <w:i w:val="0"/>
          <w:color w:val="A80000"/>
          <w:sz w:val="17"/>
        </w:rPr>
        <w:t>parameter_count</w:t>
      </w:r>
      <w:r>
        <w:rPr>
          <w:b w:val="0"/>
          <w:i w:val="0"/>
        </w:rPr>
        <w:t xml:space="preserve"> cubre valores 0–30, sin atípicos según 1.5×IQR ni variables cuasi constantes en el conjunto total.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15733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gression_eda_variabl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1573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color w:val="666666"/>
          <w:sz w:val="16"/>
        </w:rPr>
        <w:t>Distribucion y calidad de las variables X de regresion.</w:t>
      </w:r>
    </w:p>
    <w:p>
      <w:pPr>
        <w:shd w:fill="FFF4F4"/>
        <w:spacing w:before="100" w:after="140"/>
        <w:ind w:left="142" w:right="142"/>
      </w:pPr>
      <w:r>
        <w:rPr>
          <w:b w:val="0"/>
          <w:i w:val="0"/>
        </w:rPr>
        <w:t xml:space="preserve"> El EDA encontró que 47 de los 48 estudios reales tienen cero parámetros activos en </w:t>
      </w:r>
      <w:r>
        <w:rPr>
          <w:rFonts w:ascii="Consolas" w:hAnsi="Consolas"/>
          <w:b w:val="0"/>
          <w:i w:val="0"/>
          <w:color w:val="A80000"/>
          <w:sz w:val="17"/>
        </w:rPr>
        <w:t>study_details</w:t>
      </w:r>
      <w:r>
        <w:rPr>
          <w:b w:val="0"/>
          <w:i w:val="0"/>
        </w:rPr>
        <w:t xml:space="preserve">, mientras los sintéticos cubren 1–30. No se inventaron parámetros ni se ocultó el problema. Antes de producción debe completarse esa captura y reentrenarse con mayor cobertura real. </w:t>
      </w:r>
    </w:p>
    <w:p>
      <w:pPr>
        <w:pStyle w:val="Heading3"/>
      </w:pPr>
      <w:r>
        <w:rPr>
          <w:b w:val="0"/>
          <w:i w:val="0"/>
        </w:rPr>
        <w:t>Verificación fuente → dataset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cantSplit/>
          <w:tblHeader w:val="true"/>
        </w:trPr>
        <w:tc>
          <w:tcPr>
            <w:tcW w:type="dxa" w:w="3289"/>
            <w:vAlign w:val="top"/>
            <w:shd w:fill="A80000"/>
          </w:tcPr>
          <w:p>
            <w:pPr>
              <w:spacing w:after="30"/>
            </w:pPr>
            <w:r>
              <w:rPr>
                <w:rFonts w:ascii="Aptos" w:hAnsi="Aptos"/>
                <w:b/>
                <w:i w:val="0"/>
                <w:color w:val="FFFFFF"/>
                <w:sz w:val="16"/>
              </w:rPr>
              <w:t>Control</w:t>
            </w:r>
          </w:p>
        </w:tc>
        <w:tc>
          <w:tcPr>
            <w:tcW w:type="dxa" w:w="3289"/>
            <w:vAlign w:val="top"/>
            <w:shd w:fill="A80000"/>
          </w:tcPr>
          <w:p>
            <w:pPr>
              <w:spacing w:after="30"/>
            </w:pPr>
            <w:r>
              <w:rPr>
                <w:rFonts w:ascii="Aptos" w:hAnsi="Aptos"/>
                <w:b/>
                <w:i w:val="0"/>
                <w:color w:val="FFFFFF"/>
                <w:sz w:val="16"/>
              </w:rPr>
              <w:t>Antes</w:t>
            </w:r>
          </w:p>
        </w:tc>
        <w:tc>
          <w:tcPr>
            <w:tcW w:type="dxa" w:w="3289"/>
            <w:vAlign w:val="top"/>
            <w:shd w:fill="A80000"/>
          </w:tcPr>
          <w:p>
            <w:pPr>
              <w:spacing w:after="30"/>
            </w:pPr>
            <w:r>
              <w:rPr>
                <w:rFonts w:ascii="Aptos" w:hAnsi="Aptos"/>
                <w:b/>
                <w:i w:val="0"/>
                <w:color w:val="FFFFFF"/>
                <w:sz w:val="16"/>
              </w:rPr>
              <w:t>Después / decisión</w:t>
            </w:r>
          </w:p>
        </w:tc>
      </w:tr>
      <w:tr>
        <w:trPr>
          <w:cantSplit/>
        </w:trPr>
        <w:tc>
          <w:tcPr>
            <w:tcW w:type="dxa" w:w="3289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Filas</w:t>
            </w:r>
          </w:p>
        </w:tc>
        <w:tc>
          <w:tcPr>
            <w:tcW w:type="dxa" w:w="3289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1,057 estudios en respaldo.</w:t>
            </w:r>
          </w:p>
        </w:tc>
        <w:tc>
          <w:tcPr>
            <w:tcW w:type="dxa" w:w="3289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1,048 estudios individuales activos con precio positivo; 0 descartes adicionales.</w:t>
            </w:r>
          </w:p>
        </w:tc>
      </w:tr>
      <w:tr>
        <w:trPr>
          <w:cantSplit/>
        </w:trPr>
        <w:tc>
          <w:tcPr>
            <w:tcW w:type="dxa" w:w="3289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Dimensión final</w:t>
            </w:r>
          </w:p>
        </w:tc>
        <w:tc>
          <w:tcPr>
            <w:tcW w:type="dxa" w:w="3289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color w:val="A80000"/>
                <w:sz w:val="16"/>
              </w:rPr>
              <w:t>studies</w:t>
            </w:r>
            <w:r>
              <w:rPr>
                <w:rFonts w:ascii="Aptos" w:hAnsi="Aptos"/>
                <w:b w:val="0"/>
                <w:i w:val="0"/>
                <w:sz w:val="16"/>
              </w:rPr>
              <w:t xml:space="preserve"> + detalle uno-a-muchos.</w:t>
            </w:r>
          </w:p>
        </w:tc>
        <w:tc>
          <w:tcPr>
            <w:tcW w:type="dxa" w:w="3289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1,048 × 8; train 838 y test 210.</w:t>
            </w:r>
          </w:p>
        </w:tc>
      </w:tr>
      <w:tr>
        <w:trPr>
          <w:cantSplit/>
        </w:trPr>
        <w:tc>
          <w:tcPr>
            <w:tcW w:type="dxa" w:w="3289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Duplicados/nulos</w:t>
            </w:r>
          </w:p>
        </w:tc>
        <w:tc>
          <w:tcPr>
            <w:tcW w:type="dxa" w:w="3289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Se agrupa detalle por ID y se normaliza método.</w:t>
            </w:r>
          </w:p>
        </w:tc>
        <w:tc>
          <w:tcPr>
            <w:tcW w:type="dxa" w:w="3289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0 IDs duplicados y 0 nulos en el CSV final.</w:t>
            </w:r>
          </w:p>
        </w:tc>
      </w:tr>
      <w:tr>
        <w:trPr>
          <w:cantSplit/>
        </w:trPr>
        <w:tc>
          <w:tcPr>
            <w:tcW w:type="dxa" w:w="3289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Atípicos/baja variabilidad</w:t>
            </w:r>
          </w:p>
        </w:tc>
        <w:tc>
          <w:tcPr>
            <w:tcW w:type="dxa" w:w="3289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Parámetros 0–30; Q1=7, Q3=23.</w:t>
            </w:r>
          </w:p>
        </w:tc>
        <w:tc>
          <w:tcPr>
            <w:tcW w:type="dxa" w:w="3289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0 atípicos por 1.5×IQR y ninguna X cuasi constante; 47/48 reales con cero se conserva como limitación.</w:t>
            </w:r>
          </w:p>
        </w:tc>
      </w:tr>
      <w:tr>
        <w:trPr>
          <w:cantSplit/>
        </w:trPr>
        <w:tc>
          <w:tcPr>
            <w:tcW w:type="dxa" w:w="3289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Tipos/validaciones</w:t>
            </w:r>
          </w:p>
        </w:tc>
        <w:tc>
          <w:tcPr>
            <w:tcW w:type="dxa" w:w="3289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Precio numeric, método text y detalles relacionales.</w:t>
            </w:r>
          </w:p>
        </w:tc>
        <w:tc>
          <w:tcPr>
            <w:tcW w:type="dxa" w:w="3289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Y decimal en MXN, conteo entero y categoría; se excluyen paquetes/precios no positivos. El notebook muestra antes/después.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b w:val="0"/>
          <w:i w:val="0"/>
        </w:rPr>
        <w:t>Cinco renglones explicados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 w:val="true"/>
        </w:trPr>
        <w:tc>
          <w:tcPr>
            <w:tcW w:type="dxa" w:w="4933"/>
            <w:vAlign w:val="top"/>
            <w:shd w:fill="A80000"/>
          </w:tcPr>
          <w:p>
            <w:pPr>
              <w:spacing w:after="30"/>
            </w:pPr>
            <w:r>
              <w:rPr>
                <w:rFonts w:ascii="Aptos" w:hAnsi="Aptos"/>
                <w:b/>
                <w:i w:val="0"/>
                <w:color w:val="FFFFFF"/>
                <w:sz w:val="16"/>
              </w:rPr>
              <w:t>Estudio</w:t>
            </w:r>
          </w:p>
        </w:tc>
        <w:tc>
          <w:tcPr>
            <w:tcW w:type="dxa" w:w="4933"/>
            <w:vAlign w:val="top"/>
            <w:shd w:fill="A80000"/>
          </w:tcPr>
          <w:p>
            <w:pPr>
              <w:spacing w:after="30"/>
            </w:pPr>
            <w:r>
              <w:rPr>
                <w:rFonts w:ascii="Aptos" w:hAnsi="Aptos"/>
                <w:b/>
                <w:i w:val="0"/>
                <w:color w:val="FFFFFF"/>
                <w:sz w:val="16"/>
              </w:rPr>
              <w:t>Lectura de negocio del renglón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GLU-001</w:t>
            </w:r>
          </w:p>
        </w:tc>
        <w:tc>
          <w:tcPr>
            <w:tcW w:type="dxa" w:w="4933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 xml:space="preserve">Estudio real de glucosa, método faltante normalizado a </w:t>
            </w:r>
            <w:r>
              <w:rPr>
                <w:rFonts w:ascii="Aptos" w:hAnsi="Aptos"/>
                <w:b w:val="0"/>
                <w:i w:val="0"/>
                <w:color w:val="A80000"/>
                <w:sz w:val="16"/>
              </w:rPr>
              <w:t>SIN_METODO</w:t>
            </w:r>
            <w:r>
              <w:rPr>
                <w:rFonts w:ascii="Aptos" w:hAnsi="Aptos"/>
                <w:b w:val="0"/>
                <w:i w:val="0"/>
                <w:sz w:val="16"/>
              </w:rPr>
              <w:t>, cero parámetros activos y precio histórico de $110.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BH01</w:t>
            </w:r>
          </w:p>
        </w:tc>
        <w:tc>
          <w:tcPr>
            <w:tcW w:type="dxa" w:w="4933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Biometría hemática real, método automatizado, cero parámetros capturados y Y=$180.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QS06</w:t>
            </w:r>
          </w:p>
        </w:tc>
        <w:tc>
          <w:tcPr>
            <w:tcW w:type="dxa" w:w="4933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Espectrofotometría, cero parámetros activos y Y=$220; el nombre “6 elementos” no entra como atajo.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QS12</w:t>
            </w:r>
          </w:p>
        </w:tc>
        <w:tc>
          <w:tcPr>
            <w:tcW w:type="dxa" w:w="4933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Mismo método que QS06 pero Y=$350, evidencia de que el método por sí solo no determina el precio.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GLU01</w:t>
            </w:r>
          </w:p>
        </w:tc>
        <w:tc>
          <w:tcPr>
            <w:tcW w:type="dxa" w:w="4933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Glucosa enzimática a $80; código y nombre solo permiten auditar la predicción.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b w:val="0"/>
          <w:i w:val="0"/>
        </w:rPr>
        <w:t>4.3 CRISP-DM: preparación de los datos</w:t>
      </w:r>
    </w:p>
    <w:p>
      <w:pPr>
        <w:jc w:val="both"/>
      </w:pPr>
      <w:r>
        <w:rPr>
          <w:b w:val="0"/>
          <w:i w:val="0"/>
        </w:rPr>
        <w:t xml:space="preserve">El SQL une </w:t>
      </w:r>
      <w:r>
        <w:rPr>
          <w:rFonts w:ascii="Consolas" w:hAnsi="Consolas"/>
          <w:b w:val="0"/>
          <w:i w:val="0"/>
          <w:color w:val="A80000"/>
          <w:sz w:val="17"/>
        </w:rPr>
        <w:t>studies.id</w:t>
      </w:r>
      <w:r>
        <w:rPr>
          <w:b w:val="0"/>
          <w:i w:val="0"/>
        </w:rPr>
        <w:t xml:space="preserve"> con el conteo de parámetros activos de </w:t>
      </w:r>
      <w:r>
        <w:rPr>
          <w:rFonts w:ascii="Consolas" w:hAnsi="Consolas"/>
          <w:b w:val="0"/>
          <w:i w:val="0"/>
          <w:color w:val="A80000"/>
          <w:sz w:val="17"/>
        </w:rPr>
        <w:t>study_details.study_id</w:t>
      </w:r>
      <w:r>
        <w:rPr>
          <w:b w:val="0"/>
          <w:i w:val="0"/>
        </w:rPr>
        <w:t xml:space="preserve">, filtra </w:t>
      </w:r>
      <w:r>
        <w:rPr>
          <w:rFonts w:ascii="Consolas" w:hAnsi="Consolas"/>
          <w:b w:val="0"/>
          <w:i w:val="0"/>
          <w:color w:val="A80000"/>
          <w:sz w:val="17"/>
        </w:rPr>
        <w:t>type='study'</w:t>
      </w:r>
      <w:r>
        <w:rPr>
          <w:b w:val="0"/>
          <w:i w:val="0"/>
        </w:rPr>
        <w:t xml:space="preserve">, estado activo y precio positivo, y normaliza el método faltante. X contiene solo </w:t>
      </w:r>
      <w:r>
        <w:rPr>
          <w:rFonts w:ascii="Consolas" w:hAnsi="Consolas"/>
          <w:b w:val="0"/>
          <w:i w:val="0"/>
          <w:color w:val="A80000"/>
          <w:sz w:val="17"/>
        </w:rPr>
        <w:t>parameter_count</w:t>
      </w:r>
      <w:r>
        <w:rPr>
          <w:b w:val="0"/>
          <w:i w:val="0"/>
        </w:rPr>
        <w:t xml:space="preserve"> y </w:t>
      </w:r>
      <w:r>
        <w:rPr>
          <w:rFonts w:ascii="Consolas" w:hAnsi="Consolas"/>
          <w:b w:val="0"/>
          <w:i w:val="0"/>
          <w:color w:val="A80000"/>
          <w:sz w:val="17"/>
        </w:rPr>
        <w:t>method</w:t>
      </w:r>
      <w:r>
        <w:rPr>
          <w:b w:val="0"/>
          <w:i w:val="0"/>
        </w:rPr>
        <w:t xml:space="preserve">; Y es </w:t>
      </w:r>
      <w:r>
        <w:rPr>
          <w:rFonts w:ascii="Consolas" w:hAnsi="Consolas"/>
          <w:b w:val="0"/>
          <w:i w:val="0"/>
          <w:color w:val="A80000"/>
          <w:sz w:val="17"/>
        </w:rPr>
        <w:t>normal_price</w:t>
      </w:r>
      <w:r>
        <w:rPr>
          <w:b w:val="0"/>
          <w:i w:val="0"/>
        </w:rPr>
        <w:t>. ID, código, nombre, tipo y procedencia sintética quedan para auditoría. La división fija es 838 train y 210 test, sin intersección. Imputación, media/escala y one-hot se ajustan solo con train.</w:t>
      </w:r>
    </w:p>
    <w:p>
      <w:pPr>
        <w:pStyle w:val="Heading2"/>
      </w:pPr>
      <w:r>
        <w:rPr>
          <w:b w:val="0"/>
          <w:i w:val="0"/>
        </w:rPr>
        <w:t>4.4 CRISP-DM: modelado y fundamento</w:t>
      </w:r>
    </w:p>
    <w:p>
      <w:pPr>
        <w:jc w:val="both"/>
      </w:pPr>
      <w:r>
        <w:rPr>
          <w:b w:val="0"/>
          <w:i w:val="0"/>
        </w:rPr>
        <w:t>Ridge es regresión lineal con penalización L2: minimiza el error cuadrático más α por la suma de coeficientes al cuadrado [5]. La penalización estabiliza coeficientes cuando hay varias categorías one-hot y evita depender en exceso de una categoría pequeña. Se usa α=0.10 y semilla 42. El baseline aprende únicamente el precio promedio de train.</w:t>
      </w:r>
    </w:p>
    <w:p>
      <w:pPr>
        <w:pStyle w:val="Heading2"/>
      </w:pPr>
      <w:r>
        <w:rPr>
          <w:b w:val="0"/>
          <w:i w:val="0"/>
        </w:rPr>
        <w:t>4.5 CRISP-DM: evaluación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rPr>
          <w:cantSplit/>
          <w:tblHeader w:val="true"/>
        </w:trPr>
        <w:tc>
          <w:tcPr>
            <w:tcW w:type="dxa" w:w="2466"/>
            <w:vAlign w:val="top"/>
            <w:shd w:fill="A80000"/>
          </w:tcPr>
          <w:p>
            <w:pPr>
              <w:spacing w:after="30"/>
            </w:pPr>
            <w:r>
              <w:rPr>
                <w:rFonts w:ascii="Aptos" w:hAnsi="Aptos"/>
                <w:b/>
                <w:i w:val="0"/>
                <w:color w:val="FFFFFF"/>
                <w:sz w:val="16"/>
              </w:rPr>
              <w:t>Evaluación</w:t>
            </w:r>
          </w:p>
        </w:tc>
        <w:tc>
          <w:tcPr>
            <w:tcW w:type="dxa" w:w="2466"/>
            <w:vAlign w:val="top"/>
            <w:shd w:fill="A80000"/>
          </w:tcPr>
          <w:p>
            <w:pPr>
              <w:spacing w:after="30"/>
            </w:pPr>
            <w:r>
              <w:rPr>
                <w:rFonts w:ascii="Aptos" w:hAnsi="Aptos"/>
                <w:b/>
                <w:i w:val="0"/>
                <w:color w:val="FFFFFF"/>
                <w:sz w:val="16"/>
              </w:rPr>
              <w:t>MAE (MXN)</w:t>
            </w:r>
          </w:p>
        </w:tc>
        <w:tc>
          <w:tcPr>
            <w:tcW w:type="dxa" w:w="2466"/>
            <w:vAlign w:val="top"/>
            <w:shd w:fill="A80000"/>
          </w:tcPr>
          <w:p>
            <w:pPr>
              <w:spacing w:after="30"/>
            </w:pPr>
            <w:r>
              <w:rPr>
                <w:rFonts w:ascii="Aptos" w:hAnsi="Aptos"/>
                <w:b/>
                <w:i w:val="0"/>
                <w:color w:val="FFFFFF"/>
                <w:sz w:val="16"/>
              </w:rPr>
              <w:t>RMSE (MXN)</w:t>
            </w:r>
          </w:p>
        </w:tc>
        <w:tc>
          <w:tcPr>
            <w:tcW w:type="dxa" w:w="2466"/>
            <w:vAlign w:val="top"/>
            <w:shd w:fill="A80000"/>
          </w:tcPr>
          <w:p>
            <w:pPr>
              <w:spacing w:after="30"/>
            </w:pPr>
            <w:r>
              <w:rPr>
                <w:rFonts w:ascii="Aptos" w:hAnsi="Aptos"/>
                <w:b/>
                <w:i w:val="0"/>
                <w:color w:val="FFFFFF"/>
                <w:sz w:val="16"/>
              </w:rPr>
              <w:t>R²</w:t>
            </w:r>
          </w:p>
        </w:tc>
      </w:tr>
      <w:tr>
        <w:trPr>
          <w:cantSplit/>
        </w:trPr>
        <w:tc>
          <w:tcPr>
            <w:tcW w:type="dxa" w:w="2466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Ridge — test global</w:t>
            </w:r>
          </w:p>
        </w:tc>
        <w:tc>
          <w:tcPr>
            <w:tcW w:type="dxa" w:w="2466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20.7193</w:t>
            </w:r>
          </w:p>
        </w:tc>
        <w:tc>
          <w:tcPr>
            <w:tcW w:type="dxa" w:w="2466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26.8872</w:t>
            </w:r>
          </w:p>
        </w:tc>
        <w:tc>
          <w:tcPr>
            <w:tcW w:type="dxa" w:w="2466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0.9851</w:t>
            </w:r>
          </w:p>
        </w:tc>
      </w:tr>
      <w:tr>
        <w:trPr>
          <w:cantSplit/>
        </w:trPr>
        <w:tc>
          <w:tcPr>
            <w:tcW w:type="dxa" w:w="2466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Ridge — test real</w:t>
            </w:r>
          </w:p>
        </w:tc>
        <w:tc>
          <w:tcPr>
            <w:tcW w:type="dxa" w:w="2466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50.2710</w:t>
            </w:r>
          </w:p>
        </w:tc>
        <w:tc>
          <w:tcPr>
            <w:tcW w:type="dxa" w:w="2466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60.5238</w:t>
            </w:r>
          </w:p>
        </w:tc>
        <w:tc>
          <w:tcPr>
            <w:tcW w:type="dxa" w:w="2466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0.6747</w:t>
            </w:r>
          </w:p>
        </w:tc>
      </w:tr>
      <w:tr>
        <w:trPr>
          <w:cantSplit/>
        </w:trPr>
        <w:tc>
          <w:tcPr>
            <w:tcW w:type="dxa" w:w="2466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Baseline — test</w:t>
            </w:r>
          </w:p>
        </w:tc>
        <w:tc>
          <w:tcPr>
            <w:tcW w:type="dxa" w:w="2466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185.2857</w:t>
            </w:r>
          </w:p>
        </w:tc>
        <w:tc>
          <w:tcPr>
            <w:tcW w:type="dxa" w:w="2466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221.0742</w:t>
            </w:r>
          </w:p>
        </w:tc>
        <w:tc>
          <w:tcPr>
            <w:tcW w:type="dxa" w:w="2466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-0.0049</w:t>
            </w:r>
          </w:p>
        </w:tc>
      </w:tr>
    </w:tbl>
    <w:p>
      <w:pPr>
        <w:spacing w:after="20"/>
      </w:pPr>
    </w:p>
    <w:p>
      <w:pPr>
        <w:jc w:val="both"/>
      </w:pPr>
      <w:r>
        <w:rPr>
          <w:b w:val="0"/>
          <w:i w:val="0"/>
        </w:rPr>
        <w:t>MAE se interpreta directamente en pesos; RMSE castiga más los errores grandes; R² expresa variación explicada [5]. El modelo supera ampliamente el baseline en el conjunto actual, pero el MAE real es mayor que el global. El residuo medio global es −3.06 MXN, el percentil 90 del error absoluto es 42.56 MXN y el peor caso es 121.35 MXN. Por ello la UI muestra advertencia, rango y edición manual.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408214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gression_reales_vs_predicho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082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color w:val="666666"/>
          <w:sz w:val="16"/>
        </w:rPr>
        <w:t>Precio real frente al estimado en el conjunto de prueba.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408214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gression_residuo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082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color w:val="666666"/>
          <w:sz w:val="16"/>
        </w:rPr>
        <w:t>Residuos de la regresion en prueba.</w:t>
      </w:r>
    </w:p>
    <w:p>
      <w:pPr>
        <w:pStyle w:val="Heading2"/>
      </w:pPr>
      <w:r>
        <w:rPr>
          <w:b w:val="0"/>
          <w:i w:val="0"/>
        </w:rPr>
        <w:t>4.6 CRISP-DM: despliegue</w:t>
      </w:r>
    </w:p>
    <w:p>
      <w:pPr>
        <w:jc w:val="both"/>
      </w:pPr>
      <w:r>
        <w:rPr>
          <w:b w:val="0"/>
          <w:i w:val="0"/>
        </w:rPr>
        <w:t xml:space="preserve">El notebook guarda categorías, media, escala, coeficientes, intercepto, métricas, semilla y hash en </w:t>
      </w:r>
      <w:r>
        <w:rPr>
          <w:rFonts w:ascii="Consolas" w:hAnsi="Consolas"/>
          <w:b w:val="0"/>
          <w:i w:val="0"/>
          <w:color w:val="A80000"/>
          <w:sz w:val="17"/>
        </w:rPr>
        <w:t>regression_price_model.json</w:t>
      </w:r>
      <w:r>
        <w:rPr>
          <w:b w:val="0"/>
          <w:i w:val="0"/>
        </w:rPr>
        <w:t xml:space="preserve">. NestJS lo carga al iniciar </w:t>
      </w:r>
      <w:r>
        <w:rPr>
          <w:rFonts w:ascii="Consolas" w:hAnsi="Consolas"/>
          <w:b w:val="0"/>
          <w:i w:val="0"/>
          <w:color w:val="A80000"/>
          <w:sz w:val="17"/>
        </w:rPr>
        <w:t>StudyEstimationModel</w:t>
      </w:r>
      <w:r>
        <w:rPr>
          <w:b w:val="0"/>
          <w:i w:val="0"/>
        </w:rPr>
        <w:t xml:space="preserve">. El formulario envía </w:t>
      </w:r>
      <w:r>
        <w:rPr>
          <w:rFonts w:ascii="Consolas" w:hAnsi="Consolas"/>
          <w:b w:val="0"/>
          <w:i w:val="0"/>
          <w:color w:val="A80000"/>
          <w:sz w:val="17"/>
        </w:rPr>
        <w:t>{type, method, parameterCount}</w:t>
      </w:r>
      <w:r>
        <w:rPr>
          <w:b w:val="0"/>
          <w:i w:val="0"/>
        </w:rPr>
        <w:t xml:space="preserve"> a </w:t>
      </w:r>
      <w:r>
        <w:rPr>
          <w:rFonts w:ascii="Consolas" w:hAnsi="Consolas"/>
          <w:b w:val="0"/>
          <w:i w:val="0"/>
          <w:color w:val="A80000"/>
          <w:sz w:val="17"/>
        </w:rPr>
        <w:t>POST /studies/estimate</w:t>
      </w:r>
      <w:r>
        <w:rPr>
          <w:b w:val="0"/>
          <w:i w:val="0"/>
        </w:rPr>
        <w:t>; la respuesta incluye precio, rango, métricas y advertencias. Un paquete genera 400 y un artefacto inválido 503. La salida se copia al formulario solo cuando el usuario pulsa “Usar precio sugerido”.</w:t>
      </w:r>
    </w:p>
    <w:p>
      <w:r>
        <w:br w:type="page"/>
      </w:r>
    </w:p>
    <w:p>
      <w:pPr>
        <w:pStyle w:val="Heading1"/>
      </w:pPr>
      <w:r>
        <w:rPr>
          <w:b w:val="0"/>
          <w:i w:val="0"/>
        </w:rPr>
        <w:t>5. Solución 3 — Clasificación del resultado de una orden</w:t>
      </w:r>
    </w:p>
    <w:p>
      <w:pPr>
        <w:pStyle w:val="Heading2"/>
      </w:pPr>
      <w:r>
        <w:rPr>
          <w:b w:val="0"/>
          <w:i w:val="0"/>
        </w:rPr>
        <w:t>5.1 CRISP-DM: comprensión del negocio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 w:val="true"/>
        </w:trPr>
        <w:tc>
          <w:tcPr>
            <w:tcW w:type="dxa" w:w="4933"/>
            <w:vAlign w:val="top"/>
            <w:shd w:fill="A80000"/>
          </w:tcPr>
          <w:p>
            <w:pPr>
              <w:spacing w:after="30"/>
            </w:pPr>
            <w:r>
              <w:rPr>
                <w:rFonts w:ascii="Aptos" w:hAnsi="Aptos"/>
                <w:b/>
                <w:i w:val="0"/>
                <w:color w:val="FFFFFF"/>
                <w:sz w:val="16"/>
              </w:rPr>
              <w:t>Elemento</w:t>
            </w:r>
          </w:p>
        </w:tc>
        <w:tc>
          <w:tcPr>
            <w:tcW w:type="dxa" w:w="4933"/>
            <w:vAlign w:val="top"/>
            <w:shd w:fill="A80000"/>
          </w:tcPr>
          <w:p>
            <w:pPr>
              <w:spacing w:after="30"/>
            </w:pPr>
            <w:r>
              <w:rPr>
                <w:rFonts w:ascii="Aptos" w:hAnsi="Aptos"/>
                <w:b/>
                <w:i w:val="0"/>
                <w:color w:val="FFFFFF"/>
                <w:sz w:val="16"/>
              </w:rPr>
              <w:t>Definición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Nombre</w:t>
            </w:r>
          </w:p>
        </w:tc>
        <w:tc>
          <w:tcPr>
            <w:tcW w:type="dxa" w:w="4933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Pronóstico administrativo del resultado de una orden.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Tipo</w:t>
            </w:r>
          </w:p>
        </w:tc>
        <w:tc>
          <w:tcPr>
            <w:tcW w:type="dxa" w:w="4933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Clasificación multiclase con regresión logística multinomial.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Necesidad</w:t>
            </w:r>
          </w:p>
        </w:tc>
        <w:tc>
          <w:tcPr>
            <w:tcW w:type="dxa" w:w="4933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Identificar riesgo operativo antes de guardar la orden, cuando todavía se puede revisar plazo y capacidad.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Pregunta</w:t>
            </w:r>
          </w:p>
        </w:tc>
        <w:tc>
          <w:tcPr>
            <w:tcW w:type="dxa" w:w="4933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¿La orden probablemente concluirá a tiempo, se retrasará o será cancelada con la información disponible al registrarla?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Unidad y Y</w:t>
            </w:r>
          </w:p>
        </w:tc>
        <w:tc>
          <w:tcPr>
            <w:tcW w:type="dxa" w:w="4933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 xml:space="preserve">Una orden histórica con resultado final; clases </w:t>
            </w:r>
            <w:r>
              <w:rPr>
                <w:rFonts w:ascii="Aptos" w:hAnsi="Aptos"/>
                <w:b w:val="0"/>
                <w:i w:val="0"/>
                <w:color w:val="A80000"/>
                <w:sz w:val="16"/>
              </w:rPr>
              <w:t>completed_on_time</w:t>
            </w:r>
            <w:r>
              <w:rPr>
                <w:rFonts w:ascii="Aptos" w:hAnsi="Aptos"/>
                <w:b w:val="0"/>
                <w:i w:val="0"/>
                <w:sz w:val="16"/>
              </w:rPr>
              <w:t xml:space="preserve">, </w:t>
            </w:r>
            <w:r>
              <w:rPr>
                <w:rFonts w:ascii="Aptos" w:hAnsi="Aptos"/>
                <w:b w:val="0"/>
                <w:i w:val="0"/>
                <w:color w:val="A80000"/>
                <w:sz w:val="16"/>
              </w:rPr>
              <w:t>delayed</w:t>
            </w:r>
            <w:r>
              <w:rPr>
                <w:rFonts w:ascii="Aptos" w:hAnsi="Aptos"/>
                <w:b w:val="0"/>
                <w:i w:val="0"/>
                <w:sz w:val="16"/>
              </w:rPr>
              <w:t xml:space="preserve"> y </w:t>
            </w:r>
            <w:r>
              <w:rPr>
                <w:rFonts w:ascii="Aptos" w:hAnsi="Aptos"/>
                <w:b w:val="0"/>
                <w:i w:val="0"/>
                <w:color w:val="A80000"/>
                <w:sz w:val="16"/>
              </w:rPr>
              <w:t>cancelled</w:t>
            </w:r>
            <w:r>
              <w:rPr>
                <w:rFonts w:ascii="Aptos" w:hAnsi="Aptos"/>
                <w:b w:val="0"/>
                <w:i w:val="0"/>
                <w:sz w:val="16"/>
              </w:rPr>
              <w:t>.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Datos de origen</w:t>
            </w:r>
          </w:p>
        </w:tc>
        <w:tc>
          <w:tcPr>
            <w:tcW w:type="dxa" w:w="4933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color w:val="A80000"/>
                <w:sz w:val="16"/>
              </w:rPr>
              <w:t>operativo.service_orders</w:t>
            </w:r>
            <w:r>
              <w:rPr>
                <w:rFonts w:ascii="Aptos" w:hAnsi="Aptos"/>
                <w:b w:val="0"/>
                <w:i w:val="0"/>
                <w:sz w:val="16"/>
              </w:rPr>
              <w:t xml:space="preserve"> y </w:t>
            </w:r>
            <w:r>
              <w:rPr>
                <w:rFonts w:ascii="Aptos" w:hAnsi="Aptos"/>
                <w:b w:val="0"/>
                <w:i w:val="0"/>
                <w:color w:val="A80000"/>
                <w:sz w:val="16"/>
              </w:rPr>
              <w:t>operativo.service_order_items</w:t>
            </w:r>
            <w:r>
              <w:rPr>
                <w:rFonts w:ascii="Aptos" w:hAnsi="Aptos"/>
                <w:b w:val="0"/>
                <w:i w:val="0"/>
                <w:sz w:val="16"/>
              </w:rPr>
              <w:t>.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Usuario y pantalla</w:t>
            </w:r>
          </w:p>
        </w:tc>
        <w:tc>
          <w:tcPr>
            <w:tcW w:type="dxa" w:w="4933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Personal que registra servicios y responsable operativo, en el formulario y el listado de órdenes activas.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Decisión</w:t>
            </w:r>
          </w:p>
        </w:tc>
        <w:tc>
          <w:tcPr>
            <w:tcW w:type="dxa" w:w="4933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Revisar plazo/capacidad o comunicar preventivamente; no cambiar estado ni rechazar la orden.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Beneficio esperado</w:t>
            </w:r>
          </w:p>
        </w:tc>
        <w:tc>
          <w:tcPr>
            <w:tcW w:type="dxa" w:w="4933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Añadir una alerta preventiva donde antes solo existía seguimiento posterior y medir anticipaciones útiles.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Criterio de utilidad</w:t>
            </w:r>
          </w:p>
        </w:tc>
        <w:tc>
          <w:tcPr>
            <w:tcW w:type="dxa" w:w="4933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Superar la clase mayoritaria en macro-F1 sobre un periodo posterior y lograr recall de riesgo útil sin saturar con falsas alertas.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Riesgo</w:t>
            </w:r>
          </w:p>
        </w:tc>
        <w:tc>
          <w:tcPr>
            <w:tcW w:type="dxa" w:w="4933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Un falso “a tiempo” omite una intervención; una falsa alerta consume tiempo. Se muestran probabilidades y revisión humana.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b w:val="0"/>
          <w:i w:val="0"/>
        </w:rPr>
        <w:t>5.2 CRISP-DM: comprensión de los datos</w:t>
      </w:r>
    </w:p>
    <w:p>
      <w:pPr>
        <w:jc w:val="both"/>
      </w:pPr>
      <w:r>
        <w:rPr>
          <w:b w:val="0"/>
          <w:i w:val="0"/>
        </w:rPr>
        <w:t>El ETL extrajo 523 órdenes elegibles entre 2025-11-01T14:07:00.000Z y 2026-06-28T13:00:00.000Z. De las filas extraídas se aceptaron 512 y se rechazaron 11 por no tener un resultado histórico válido u otra regla de calidad. El balance completo es 303 a tiempo, 159 retrasadas y 50 canceladas. No hay IDs duplicados.</w:t>
      </w:r>
    </w:p>
    <w:p>
      <w:pPr>
        <w:pStyle w:val="Heading3"/>
      </w:pPr>
      <w:r>
        <w:rPr>
          <w:b w:val="0"/>
          <w:i w:val="0"/>
        </w:rPr>
        <w:t>Verificación fuente → dataset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cantSplit/>
          <w:tblHeader w:val="true"/>
        </w:trPr>
        <w:tc>
          <w:tcPr>
            <w:tcW w:type="dxa" w:w="3289"/>
            <w:vAlign w:val="top"/>
            <w:shd w:fill="A80000"/>
          </w:tcPr>
          <w:p>
            <w:pPr>
              <w:spacing w:after="30"/>
            </w:pPr>
            <w:r>
              <w:rPr>
                <w:rFonts w:ascii="Aptos" w:hAnsi="Aptos"/>
                <w:b/>
                <w:i w:val="0"/>
                <w:color w:val="FFFFFF"/>
                <w:sz w:val="16"/>
              </w:rPr>
              <w:t>Control</w:t>
            </w:r>
          </w:p>
        </w:tc>
        <w:tc>
          <w:tcPr>
            <w:tcW w:type="dxa" w:w="3289"/>
            <w:vAlign w:val="top"/>
            <w:shd w:fill="A80000"/>
          </w:tcPr>
          <w:p>
            <w:pPr>
              <w:spacing w:after="30"/>
            </w:pPr>
            <w:r>
              <w:rPr>
                <w:rFonts w:ascii="Aptos" w:hAnsi="Aptos"/>
                <w:b/>
                <w:i w:val="0"/>
                <w:color w:val="FFFFFF"/>
                <w:sz w:val="16"/>
              </w:rPr>
              <w:t>Antes</w:t>
            </w:r>
          </w:p>
        </w:tc>
        <w:tc>
          <w:tcPr>
            <w:tcW w:type="dxa" w:w="3289"/>
            <w:vAlign w:val="top"/>
            <w:shd w:fill="A80000"/>
          </w:tcPr>
          <w:p>
            <w:pPr>
              <w:spacing w:after="30"/>
            </w:pPr>
            <w:r>
              <w:rPr>
                <w:rFonts w:ascii="Aptos" w:hAnsi="Aptos"/>
                <w:b/>
                <w:i w:val="0"/>
                <w:color w:val="FFFFFF"/>
                <w:sz w:val="16"/>
              </w:rPr>
              <w:t>Después / decisión</w:t>
            </w:r>
          </w:p>
        </w:tc>
      </w:tr>
      <w:tr>
        <w:trPr>
          <w:cantSplit/>
        </w:trPr>
        <w:tc>
          <w:tcPr>
            <w:tcW w:type="dxa" w:w="3289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Filas</w:t>
            </w:r>
          </w:p>
        </w:tc>
        <w:tc>
          <w:tcPr>
            <w:tcW w:type="dxa" w:w="3289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528 órdenes en respaldo; 523 llegan al SQL analítico.</w:t>
            </w:r>
          </w:p>
        </w:tc>
        <w:tc>
          <w:tcPr>
            <w:tcW w:type="dxa" w:w="3289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512 aceptadas y 11 rechazadas por no tener Y determinable.</w:t>
            </w:r>
          </w:p>
        </w:tc>
      </w:tr>
      <w:tr>
        <w:trPr>
          <w:cantSplit/>
        </w:trPr>
        <w:tc>
          <w:tcPr>
            <w:tcW w:type="dxa" w:w="3289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Dimensión final</w:t>
            </w:r>
          </w:p>
        </w:tc>
        <w:tc>
          <w:tcPr>
            <w:tcW w:type="dxa" w:w="3289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Órdenes + 1,784 ítems.</w:t>
            </w:r>
          </w:p>
        </w:tc>
        <w:tc>
          <w:tcPr>
            <w:tcW w:type="dxa" w:w="3289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512 × 19; train 410 y test 102.</w:t>
            </w:r>
          </w:p>
        </w:tc>
      </w:tr>
      <w:tr>
        <w:trPr>
          <w:cantSplit/>
        </w:trPr>
        <w:tc>
          <w:tcPr>
            <w:tcW w:type="dxa" w:w="3289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Duplicados</w:t>
            </w:r>
          </w:p>
        </w:tc>
        <w:tc>
          <w:tcPr>
            <w:tcW w:type="dxa" w:w="3289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 xml:space="preserve">Se agrega por </w:t>
            </w:r>
            <w:r>
              <w:rPr>
                <w:rFonts w:ascii="Aptos" w:hAnsi="Aptos"/>
                <w:b w:val="0"/>
                <w:i w:val="0"/>
                <w:color w:val="A80000"/>
                <w:sz w:val="16"/>
              </w:rPr>
              <w:t>service_order_id</w:t>
            </w:r>
            <w:r>
              <w:rPr>
                <w:rFonts w:ascii="Aptos" w:hAnsi="Aptos"/>
                <w:b w:val="0"/>
                <w:i w:val="0"/>
                <w:sz w:val="16"/>
              </w:rPr>
              <w:t>.</w:t>
            </w:r>
          </w:p>
        </w:tc>
        <w:tc>
          <w:tcPr>
            <w:tcW w:type="dxa" w:w="3289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0 IDs duplicados y traslape train/test 0.</w:t>
            </w:r>
          </w:p>
        </w:tc>
      </w:tr>
      <w:tr>
        <w:trPr>
          <w:cantSplit/>
        </w:trPr>
        <w:tc>
          <w:tcPr>
            <w:tcW w:type="dxa" w:w="3289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Nulos</w:t>
            </w:r>
          </w:p>
        </w:tc>
        <w:tc>
          <w:tcPr>
            <w:tcW w:type="dxa" w:w="3289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En extracción, 11 outcomes y 1 grupo de agregados no válidos.</w:t>
            </w:r>
          </w:p>
        </w:tc>
        <w:tc>
          <w:tcPr>
            <w:tcW w:type="dxa" w:w="3289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Las 11 filas sin clase se rechazan; el CSV limpio no tiene nulos en las X usadas.</w:t>
            </w:r>
          </w:p>
        </w:tc>
      </w:tr>
      <w:tr>
        <w:trPr>
          <w:cantSplit/>
        </w:trPr>
        <w:tc>
          <w:tcPr>
            <w:tcW w:type="dxa" w:w="3289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Atípicos/baja variabilidad</w:t>
            </w:r>
          </w:p>
        </w:tc>
        <w:tc>
          <w:tcPr>
            <w:tcW w:type="dxa" w:w="3289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El reporte calcula IQR y proporción dominante de cada candidata.</w:t>
            </w:r>
          </w:p>
        </w:tc>
        <w:tc>
          <w:tcPr>
            <w:tcW w:type="dxa" w:w="3289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 xml:space="preserve">Extremos válidos se conservan; </w:t>
            </w:r>
            <w:r>
              <w:rPr>
                <w:rFonts w:ascii="Aptos" w:hAnsi="Aptos"/>
                <w:b w:val="0"/>
                <w:i w:val="0"/>
                <w:color w:val="A80000"/>
                <w:sz w:val="16"/>
              </w:rPr>
              <w:t>package_component_count</w:t>
            </w:r>
            <w:r>
              <w:rPr>
                <w:rFonts w:ascii="Aptos" w:hAnsi="Aptos"/>
                <w:b w:val="0"/>
                <w:i w:val="0"/>
                <w:sz w:val="16"/>
              </w:rPr>
              <w:t xml:space="preserve"> se excluye por 99.61% de ceros.</w:t>
            </w:r>
          </w:p>
        </w:tc>
      </w:tr>
      <w:tr>
        <w:trPr>
          <w:cantSplit/>
        </w:trPr>
        <w:tc>
          <w:tcPr>
            <w:tcW w:type="dxa" w:w="3289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Tipos/validaciones</w:t>
            </w:r>
          </w:p>
        </w:tc>
        <w:tc>
          <w:tcPr>
            <w:tcW w:type="dxa" w:w="3289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Timestamps, numeric, texto e ítems relacionales.</w:t>
            </w:r>
          </w:p>
        </w:tc>
        <w:tc>
          <w:tcPr>
            <w:tcW w:type="dxa" w:w="3289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ISO para auditoría, double/entero, one-hot y clase; se rechazan plazo no positivo, ítems faltantes o valores inválidos. El notebook muestra antes/después.</w:t>
            </w:r>
          </w:p>
        </w:tc>
      </w:tr>
    </w:tbl>
    <w:p>
      <w:pPr>
        <w:spacing w:after="2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78508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ificacion_eda_variables_x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7850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color w:val="666666"/>
          <w:sz w:val="16"/>
        </w:rPr>
        <w:t>EDA de las variables disponibles al registrar una orden.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14145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ificacion_balance_periodo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1414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color w:val="666666"/>
          <w:sz w:val="16"/>
        </w:rPr>
        <w:t>Balance de clases y periodos cronologicos de train/test.</w:t>
      </w:r>
    </w:p>
    <w:p>
      <w:pPr>
        <w:jc w:val="both"/>
      </w:pPr>
      <w:r>
        <w:rPr>
          <w:b/>
          <w:i w:val="0"/>
        </w:rPr>
        <w:t>Interpretación:</w:t>
      </w:r>
      <w:r>
        <w:rPr>
          <w:b w:val="0"/>
          <w:i w:val="0"/>
        </w:rPr>
        <w:t xml:space="preserve"> el EDA compara distribución, cardinalidad, baja variabilidad y límites IQR de todas las X. Las variables monetarias están relacionadas pero representan descuentos y magnitud disponibles antes del alta. La procedencia sintética se audita y no se ofrece al clasificador. Los extremos plausibles no se eliminan automáticamente; se documentan porque pueden representar órdenes de alto volumen.</w:t>
      </w:r>
    </w:p>
    <w:p>
      <w:pPr>
        <w:pStyle w:val="Heading3"/>
      </w:pPr>
      <w:r>
        <w:rPr>
          <w:b w:val="0"/>
          <w:i w:val="0"/>
        </w:rPr>
        <w:t>Cinco renglones explicados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 w:val="true"/>
        </w:trPr>
        <w:tc>
          <w:tcPr>
            <w:tcW w:type="dxa" w:w="4933"/>
            <w:vAlign w:val="top"/>
            <w:shd w:fill="A80000"/>
          </w:tcPr>
          <w:p>
            <w:pPr>
              <w:spacing w:after="30"/>
            </w:pPr>
            <w:r>
              <w:rPr>
                <w:rFonts w:ascii="Aptos" w:hAnsi="Aptos"/>
                <w:b/>
                <w:i w:val="0"/>
                <w:color w:val="FFFFFF"/>
                <w:sz w:val="16"/>
              </w:rPr>
              <w:t>Orden seudonimizada</w:t>
            </w:r>
          </w:p>
        </w:tc>
        <w:tc>
          <w:tcPr>
            <w:tcW w:type="dxa" w:w="4933"/>
            <w:vAlign w:val="top"/>
            <w:shd w:fill="A80000"/>
          </w:tcPr>
          <w:p>
            <w:pPr>
              <w:spacing w:after="30"/>
            </w:pPr>
            <w:r>
              <w:rPr>
                <w:rFonts w:ascii="Aptos" w:hAnsi="Aptos"/>
                <w:b/>
                <w:i w:val="0"/>
                <w:color w:val="FFFFFF"/>
                <w:sz w:val="16"/>
              </w:rPr>
              <w:t>Lectura de negocio del renglón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ECO-REAL-000003</w:t>
            </w:r>
          </w:p>
        </w:tc>
        <w:tc>
          <w:tcPr>
            <w:tcW w:type="dxa" w:w="4933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24 horas prometidas, un estudio, $180 y sucursal Centro; Y retrasada se deriva después, de estado/fechas.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ECO-REAL-000005</w:t>
            </w:r>
          </w:p>
        </w:tc>
        <w:tc>
          <w:tcPr>
            <w:tcW w:type="dxa" w:w="4933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Misma holgura y volumen, $90 y sucursal Norte; termina retrasada.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ECO-REAL-000007</w:t>
            </w:r>
          </w:p>
        </w:tc>
        <w:tc>
          <w:tcPr>
            <w:tcW w:type="dxa" w:w="4933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Un estudio por $120 en Sur; sucursal y monto sí estaban disponibles al registrar.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ECO-REAL-000010</w:t>
            </w:r>
          </w:p>
        </w:tc>
        <w:tc>
          <w:tcPr>
            <w:tcW w:type="dxa" w:w="4933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Un estudio por $90 en Centro; el folio original nunca aparece en el CSV.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ECO-REAL-000012</w:t>
            </w:r>
          </w:p>
        </w:tc>
        <w:tc>
          <w:tcPr>
            <w:tcW w:type="dxa" w:w="4933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Un estudio por $150 en Sur; Y entrena/evalúa, pero nunca se solicita al pronosticar.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b w:val="0"/>
          <w:i w:val="0"/>
        </w:rPr>
        <w:t>5.3 CRISP-DM: preparación de los datos</w:t>
      </w:r>
    </w:p>
    <w:p>
      <w:pPr>
        <w:jc w:val="both"/>
      </w:pPr>
      <w:r>
        <w:rPr>
          <w:b w:val="0"/>
          <w:i w:val="0"/>
        </w:rPr>
        <w:t xml:space="preserve">El SQL agrupa ítems por </w:t>
      </w:r>
      <w:r>
        <w:rPr>
          <w:rFonts w:ascii="Consolas" w:hAnsi="Consolas"/>
          <w:b w:val="0"/>
          <w:i w:val="0"/>
          <w:color w:val="A80000"/>
          <w:sz w:val="17"/>
        </w:rPr>
        <w:t>service_order_id</w:t>
      </w:r>
      <w:r>
        <w:rPr>
          <w:b w:val="0"/>
          <w:i w:val="0"/>
        </w:rPr>
        <w:t xml:space="preserve">, calcula plazo prometido, hora/día de registro, cantidades, estudios distintos, componentes de paquete, importes y tarifa dominante. La clase se deriva de </w:t>
      </w:r>
      <w:r>
        <w:rPr>
          <w:rFonts w:ascii="Consolas" w:hAnsi="Consolas"/>
          <w:b w:val="0"/>
          <w:i w:val="0"/>
          <w:color w:val="A80000"/>
          <w:sz w:val="17"/>
        </w:rPr>
        <w:t>status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color w:val="A80000"/>
          <w:sz w:val="17"/>
        </w:rPr>
        <w:t>completedAt</w:t>
      </w:r>
      <w:r>
        <w:rPr>
          <w:b w:val="0"/>
          <w:i w:val="0"/>
        </w:rPr>
        <w:t xml:space="preserve"> y </w:t>
      </w:r>
      <w:r>
        <w:rPr>
          <w:rFonts w:ascii="Consolas" w:hAnsi="Consolas"/>
          <w:b w:val="0"/>
          <w:i w:val="0"/>
          <w:color w:val="A80000"/>
          <w:sz w:val="17"/>
        </w:rPr>
        <w:t>deliveryAt</w:t>
      </w:r>
      <w:r>
        <w:rPr>
          <w:b w:val="0"/>
          <w:i w:val="0"/>
        </w:rPr>
        <w:t xml:space="preserve"> solo después del evento. Esos campos, así como IDs, folios y </w:t>
      </w:r>
      <w:r>
        <w:rPr>
          <w:rFonts w:ascii="Consolas" w:hAnsi="Consolas"/>
          <w:b w:val="0"/>
          <w:i w:val="0"/>
          <w:color w:val="A80000"/>
          <w:sz w:val="17"/>
        </w:rPr>
        <w:t>updatedAt</w:t>
      </w:r>
      <w:r>
        <w:rPr>
          <w:b w:val="0"/>
          <w:i w:val="0"/>
        </w:rPr>
        <w:t xml:space="preserve">, nunca entran a X. La validación usa </w:t>
      </w:r>
      <w:r>
        <w:rPr>
          <w:b/>
          <w:i w:val="0"/>
        </w:rPr>
        <w:t>temporal_holdout</w:t>
      </w:r>
      <w:r>
        <w:rPr>
          <w:b w:val="0"/>
          <w:i w:val="0"/>
        </w:rPr>
        <w:t>: 410 órdenes anteriores para train y las 102 más recientes para test, sin intersección. Imputación, escalado, categorías y pesos se aprenden exclusivamente de train.</w:t>
      </w:r>
    </w:p>
    <w:p>
      <w:pPr>
        <w:jc w:val="both"/>
      </w:pPr>
      <w:r>
        <w:rPr>
          <w:rFonts w:ascii="Consolas" w:hAnsi="Consolas"/>
          <w:b w:val="0"/>
          <w:i w:val="0"/>
          <w:color w:val="A80000"/>
          <w:sz w:val="17"/>
        </w:rPr>
        <w:t>package_component_count</w:t>
      </w:r>
      <w:r>
        <w:rPr>
          <w:b w:val="0"/>
          <w:i w:val="0"/>
        </w:rPr>
        <w:t xml:space="preserve"> permanece en el CSV para trazabilidad, pero se elimina del vector porque 99.61% de train tiene el mismo valor. Esta regla evita conservar una variable sin variabilidad suficiente.</w:t>
      </w:r>
    </w:p>
    <w:p>
      <w:pPr>
        <w:pStyle w:val="Heading2"/>
      </w:pPr>
      <w:r>
        <w:rPr>
          <w:b w:val="0"/>
          <w:i w:val="0"/>
        </w:rPr>
        <w:t>5.4 CRISP-DM: modelado y fundamento</w:t>
      </w:r>
    </w:p>
    <w:p>
      <w:pPr>
        <w:jc w:val="both"/>
      </w:pPr>
      <w:r>
        <w:rPr>
          <w:b w:val="0"/>
          <w:i w:val="0"/>
        </w:rPr>
        <w:t>La regresión logística multinomial calcula un puntaje lineal por clase y transforma los puntajes con softmax para obtener probabilidades que suman uno [5][6]. Se optimiza la entropía cruzada y se aplican pesos inversos por clase para que cancelaciones y retrasos no desaparezcan frente a la clase mayoritaria. La semilla es 20260721. El baseline siempre predice la clase más frecuente aprendida en train.</w:t>
      </w:r>
    </w:p>
    <w:p>
      <w:pPr>
        <w:pStyle w:val="Heading2"/>
      </w:pPr>
      <w:r>
        <w:rPr>
          <w:b w:val="0"/>
          <w:i w:val="0"/>
        </w:rPr>
        <w:t>5.5 CRISP-DM: evaluación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cantSplit/>
          <w:tblHeader w:val="true"/>
        </w:trPr>
        <w:tc>
          <w:tcPr>
            <w:tcW w:type="dxa" w:w="3289"/>
            <w:vAlign w:val="top"/>
            <w:shd w:fill="A80000"/>
          </w:tcPr>
          <w:p>
            <w:pPr>
              <w:spacing w:after="30"/>
            </w:pPr>
            <w:r>
              <w:rPr>
                <w:rFonts w:ascii="Aptos" w:hAnsi="Aptos"/>
                <w:b/>
                <w:i w:val="0"/>
                <w:color w:val="FFFFFF"/>
                <w:sz w:val="16"/>
              </w:rPr>
              <w:t>Métrica</w:t>
            </w:r>
          </w:p>
        </w:tc>
        <w:tc>
          <w:tcPr>
            <w:tcW w:type="dxa" w:w="3289"/>
            <w:vAlign w:val="top"/>
            <w:shd w:fill="A80000"/>
          </w:tcPr>
          <w:p>
            <w:pPr>
              <w:spacing w:after="30"/>
            </w:pPr>
            <w:r>
              <w:rPr>
                <w:rFonts w:ascii="Aptos" w:hAnsi="Aptos"/>
                <w:b/>
                <w:i w:val="0"/>
                <w:color w:val="FFFFFF"/>
                <w:sz w:val="16"/>
              </w:rPr>
              <w:t>Clasificador</w:t>
            </w:r>
          </w:p>
        </w:tc>
        <w:tc>
          <w:tcPr>
            <w:tcW w:type="dxa" w:w="3289"/>
            <w:vAlign w:val="top"/>
            <w:shd w:fill="A80000"/>
          </w:tcPr>
          <w:p>
            <w:pPr>
              <w:spacing w:after="30"/>
            </w:pPr>
            <w:r>
              <w:rPr>
                <w:rFonts w:ascii="Aptos" w:hAnsi="Aptos"/>
                <w:b/>
                <w:i w:val="0"/>
                <w:color w:val="FFFFFF"/>
                <w:sz w:val="16"/>
              </w:rPr>
              <w:t>Baseline mayoritario</w:t>
            </w:r>
          </w:p>
        </w:tc>
      </w:tr>
      <w:tr>
        <w:trPr>
          <w:cantSplit/>
        </w:trPr>
        <w:tc>
          <w:tcPr>
            <w:tcW w:type="dxa" w:w="3289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Accuracy</w:t>
            </w:r>
          </w:p>
        </w:tc>
        <w:tc>
          <w:tcPr>
            <w:tcW w:type="dxa" w:w="3289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0.7647</w:t>
            </w:r>
          </w:p>
        </w:tc>
        <w:tc>
          <w:tcPr>
            <w:tcW w:type="dxa" w:w="3289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0.5588</w:t>
            </w:r>
          </w:p>
        </w:tc>
      </w:tr>
      <w:tr>
        <w:trPr>
          <w:cantSplit/>
        </w:trPr>
        <w:tc>
          <w:tcPr>
            <w:tcW w:type="dxa" w:w="3289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Macro F1</w:t>
            </w:r>
          </w:p>
        </w:tc>
        <w:tc>
          <w:tcPr>
            <w:tcW w:type="dxa" w:w="3289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0.7146</w:t>
            </w:r>
          </w:p>
        </w:tc>
        <w:tc>
          <w:tcPr>
            <w:tcW w:type="dxa" w:w="3289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0.2390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rPr>
          <w:cantSplit/>
          <w:tblHeader w:val="true"/>
        </w:trPr>
        <w:tc>
          <w:tcPr>
            <w:tcW w:type="dxa" w:w="1973"/>
            <w:vAlign w:val="top"/>
            <w:shd w:fill="A80000"/>
          </w:tcPr>
          <w:p>
            <w:pPr>
              <w:spacing w:after="30"/>
            </w:pPr>
            <w:r>
              <w:rPr>
                <w:rFonts w:ascii="Aptos" w:hAnsi="Aptos"/>
                <w:b/>
                <w:i w:val="0"/>
                <w:color w:val="FFFFFF"/>
                <w:sz w:val="16"/>
              </w:rPr>
              <w:t>Clase</w:t>
            </w:r>
          </w:p>
        </w:tc>
        <w:tc>
          <w:tcPr>
            <w:tcW w:type="dxa" w:w="1973"/>
            <w:vAlign w:val="top"/>
            <w:shd w:fill="A80000"/>
          </w:tcPr>
          <w:p>
            <w:pPr>
              <w:spacing w:after="30"/>
            </w:pPr>
            <w:r>
              <w:rPr>
                <w:rFonts w:ascii="Aptos" w:hAnsi="Aptos"/>
                <w:b/>
                <w:i w:val="0"/>
                <w:color w:val="FFFFFF"/>
                <w:sz w:val="16"/>
              </w:rPr>
              <w:t>Precision</w:t>
            </w:r>
          </w:p>
        </w:tc>
        <w:tc>
          <w:tcPr>
            <w:tcW w:type="dxa" w:w="1973"/>
            <w:vAlign w:val="top"/>
            <w:shd w:fill="A80000"/>
          </w:tcPr>
          <w:p>
            <w:pPr>
              <w:spacing w:after="30"/>
            </w:pPr>
            <w:r>
              <w:rPr>
                <w:rFonts w:ascii="Aptos" w:hAnsi="Aptos"/>
                <w:b/>
                <w:i w:val="0"/>
                <w:color w:val="FFFFFF"/>
                <w:sz w:val="16"/>
              </w:rPr>
              <w:t>Recall</w:t>
            </w:r>
          </w:p>
        </w:tc>
        <w:tc>
          <w:tcPr>
            <w:tcW w:type="dxa" w:w="1973"/>
            <w:vAlign w:val="top"/>
            <w:shd w:fill="A80000"/>
          </w:tcPr>
          <w:p>
            <w:pPr>
              <w:spacing w:after="30"/>
            </w:pPr>
            <w:r>
              <w:rPr>
                <w:rFonts w:ascii="Aptos" w:hAnsi="Aptos"/>
                <w:b/>
                <w:i w:val="0"/>
                <w:color w:val="FFFFFF"/>
                <w:sz w:val="16"/>
              </w:rPr>
              <w:t>F1</w:t>
            </w:r>
          </w:p>
        </w:tc>
        <w:tc>
          <w:tcPr>
            <w:tcW w:type="dxa" w:w="1973"/>
            <w:vAlign w:val="top"/>
            <w:shd w:fill="A80000"/>
          </w:tcPr>
          <w:p>
            <w:pPr>
              <w:spacing w:after="30"/>
            </w:pPr>
            <w:r>
              <w:rPr>
                <w:rFonts w:ascii="Aptos" w:hAnsi="Aptos"/>
                <w:b/>
                <w:i w:val="0"/>
                <w:color w:val="FFFFFF"/>
                <w:sz w:val="16"/>
              </w:rPr>
              <w:t>Soporte test</w:t>
            </w:r>
          </w:p>
        </w:tc>
      </w:tr>
      <w:tr>
        <w:trPr>
          <w:cantSplit/>
        </w:trPr>
        <w:tc>
          <w:tcPr>
            <w:tcW w:type="dxa" w:w="1973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color w:val="A80000"/>
                <w:sz w:val="16"/>
              </w:rPr>
              <w:t>completed_on_time</w:t>
            </w:r>
          </w:p>
        </w:tc>
        <w:tc>
          <w:tcPr>
            <w:tcW w:type="dxa" w:w="1973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0.8750</w:t>
            </w:r>
          </w:p>
        </w:tc>
        <w:tc>
          <w:tcPr>
            <w:tcW w:type="dxa" w:w="1973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0.8596</w:t>
            </w:r>
          </w:p>
        </w:tc>
        <w:tc>
          <w:tcPr>
            <w:tcW w:type="dxa" w:w="1973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0.8673</w:t>
            </w:r>
          </w:p>
        </w:tc>
        <w:tc>
          <w:tcPr>
            <w:tcW w:type="dxa" w:w="1973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57</w:t>
            </w:r>
          </w:p>
        </w:tc>
      </w:tr>
      <w:tr>
        <w:trPr>
          <w:cantSplit/>
        </w:trPr>
        <w:tc>
          <w:tcPr>
            <w:tcW w:type="dxa" w:w="1973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color w:val="A80000"/>
                <w:sz w:val="16"/>
              </w:rPr>
              <w:t>delayed</w:t>
            </w:r>
          </w:p>
        </w:tc>
        <w:tc>
          <w:tcPr>
            <w:tcW w:type="dxa" w:w="1973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0.7000</w:t>
            </w:r>
          </w:p>
        </w:tc>
        <w:tc>
          <w:tcPr>
            <w:tcW w:type="dxa" w:w="1973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0.5833</w:t>
            </w:r>
          </w:p>
        </w:tc>
        <w:tc>
          <w:tcPr>
            <w:tcW w:type="dxa" w:w="1973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0.6364</w:t>
            </w:r>
          </w:p>
        </w:tc>
        <w:tc>
          <w:tcPr>
            <w:tcW w:type="dxa" w:w="1973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36</w:t>
            </w:r>
          </w:p>
        </w:tc>
      </w:tr>
      <w:tr>
        <w:trPr>
          <w:cantSplit/>
        </w:trPr>
        <w:tc>
          <w:tcPr>
            <w:tcW w:type="dxa" w:w="1973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color w:val="A80000"/>
                <w:sz w:val="16"/>
              </w:rPr>
              <w:t>cancelled</w:t>
            </w:r>
          </w:p>
        </w:tc>
        <w:tc>
          <w:tcPr>
            <w:tcW w:type="dxa" w:w="1973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0.5000</w:t>
            </w:r>
          </w:p>
        </w:tc>
        <w:tc>
          <w:tcPr>
            <w:tcW w:type="dxa" w:w="1973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0.8889</w:t>
            </w:r>
          </w:p>
        </w:tc>
        <w:tc>
          <w:tcPr>
            <w:tcW w:type="dxa" w:w="1973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0.6400</w:t>
            </w:r>
          </w:p>
        </w:tc>
        <w:tc>
          <w:tcPr>
            <w:tcW w:type="dxa" w:w="1973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9</w:t>
            </w:r>
          </w:p>
        </w:tc>
      </w:tr>
    </w:tbl>
    <w:p>
      <w:pPr>
        <w:spacing w:after="2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43258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ificacion_matriz_confusio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432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color w:val="666666"/>
          <w:sz w:val="16"/>
        </w:rPr>
        <w:t>Matriz de confusion del holdout de clasificacion.</w:t>
      </w:r>
    </w:p>
    <w:p>
      <w:pPr>
        <w:jc w:val="both"/>
      </w:pPr>
      <w:r>
        <w:rPr>
          <w:b w:val="0"/>
          <w:i w:val="0"/>
        </w:rPr>
        <w:t>Accuracy permite comparar aciertos generales, pero macro-F1 da el mismo peso a las tres clases y es más informativa con desbalance. Precision mide cuántas alertas de una clase fueron correctas; recall, cuántos casos reales se detectaron. La matriz de confusión permite localizar específicamente falsos “a tiempo”, el error de mayor costo operativo. La validación temporal es más exigente y realista que mezclar órdenes futuras con pasadas.</w:t>
      </w:r>
    </w:p>
    <w:p>
      <w:pPr>
        <w:pStyle w:val="Heading2"/>
      </w:pPr>
      <w:r>
        <w:rPr>
          <w:b w:val="0"/>
          <w:i w:val="0"/>
        </w:rPr>
        <w:t>5.6 CRISP-DM: despliegue</w:t>
      </w:r>
    </w:p>
    <w:p>
      <w:pPr>
        <w:jc w:val="both"/>
      </w:pPr>
      <w:r>
        <w:rPr>
          <w:b w:val="0"/>
          <w:i w:val="0"/>
        </w:rPr>
        <w:t xml:space="preserve">El artefacto JSON guarda transformaciones, categorías, pesos, coeficientes, métricas, periodo y hash. </w:t>
      </w:r>
      <w:r>
        <w:rPr>
          <w:rFonts w:ascii="Consolas" w:hAnsi="Consolas"/>
          <w:b w:val="0"/>
          <w:i w:val="0"/>
          <w:color w:val="A80000"/>
          <w:sz w:val="17"/>
        </w:rPr>
        <w:t>ServiceOutcomePredictionModel</w:t>
      </w:r>
      <w:r>
        <w:rPr>
          <w:b w:val="0"/>
          <w:i w:val="0"/>
        </w:rPr>
        <w:t xml:space="preserve"> lo carga una vez. El formulario envía únicamente campos conocidos antes del alta a </w:t>
      </w:r>
      <w:r>
        <w:rPr>
          <w:rFonts w:ascii="Consolas" w:hAnsi="Consolas"/>
          <w:b w:val="0"/>
          <w:i w:val="0"/>
          <w:color w:val="A80000"/>
          <w:sz w:val="17"/>
        </w:rPr>
        <w:t>POST /services/outcome-prediction</w:t>
      </w:r>
      <w:r>
        <w:rPr>
          <w:b w:val="0"/>
          <w:i w:val="0"/>
        </w:rPr>
        <w:t xml:space="preserve">; el listado usa el endpoint por lote. La respuesta indica disponibilidad, clase, etiqueta, confianza y las tres probabilidades. Datos insuficientes o artefacto ausente producen </w:t>
      </w:r>
      <w:r>
        <w:rPr>
          <w:rFonts w:ascii="Consolas" w:hAnsi="Consolas"/>
          <w:b w:val="0"/>
          <w:i w:val="0"/>
          <w:color w:val="A80000"/>
          <w:sz w:val="17"/>
        </w:rPr>
        <w:t>available:false</w:t>
      </w:r>
      <w:r>
        <w:rPr>
          <w:b w:val="0"/>
          <w:i w:val="0"/>
        </w:rPr>
        <w:t xml:space="preserve"> con mensaje; el registro sigue funcionando.</w:t>
      </w:r>
    </w:p>
    <w:p>
      <w:r>
        <w:br w:type="page"/>
      </w:r>
    </w:p>
    <w:p>
      <w:pPr>
        <w:pStyle w:val="Heading1"/>
      </w:pPr>
      <w:r>
        <w:rPr>
          <w:b w:val="0"/>
          <w:i w:val="0"/>
        </w:rPr>
        <w:t>6. Arquitectura de integración web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rPr>
          <w:cantSplit/>
          <w:tblHeader w:val="true"/>
        </w:trPr>
        <w:tc>
          <w:tcPr>
            <w:tcW w:type="dxa" w:w="2466"/>
            <w:vAlign w:val="top"/>
            <w:shd w:fill="A80000"/>
          </w:tcPr>
          <w:p>
            <w:pPr>
              <w:spacing w:after="30"/>
            </w:pPr>
            <w:r>
              <w:rPr>
                <w:rFonts w:ascii="Aptos" w:hAnsi="Aptos"/>
                <w:b/>
                <w:i w:val="0"/>
                <w:color w:val="FFFFFF"/>
                <w:sz w:val="16"/>
              </w:rPr>
              <w:t>Solución</w:t>
            </w:r>
          </w:p>
        </w:tc>
        <w:tc>
          <w:tcPr>
            <w:tcW w:type="dxa" w:w="2466"/>
            <w:vAlign w:val="top"/>
            <w:shd w:fill="A80000"/>
          </w:tcPr>
          <w:p>
            <w:pPr>
              <w:spacing w:after="30"/>
            </w:pPr>
            <w:r>
              <w:rPr>
                <w:rFonts w:ascii="Aptos" w:hAnsi="Aptos"/>
                <w:b/>
                <w:i w:val="0"/>
                <w:color w:val="FFFFFF"/>
                <w:sz w:val="16"/>
              </w:rPr>
              <w:t>Carga/uso del artefacto</w:t>
            </w:r>
          </w:p>
        </w:tc>
        <w:tc>
          <w:tcPr>
            <w:tcW w:type="dxa" w:w="2466"/>
            <w:vAlign w:val="top"/>
            <w:shd w:fill="A80000"/>
          </w:tcPr>
          <w:p>
            <w:pPr>
              <w:spacing w:after="30"/>
            </w:pPr>
            <w:r>
              <w:rPr>
                <w:rFonts w:ascii="Aptos" w:hAnsi="Aptos"/>
                <w:b/>
                <w:i w:val="0"/>
                <w:color w:val="FFFFFF"/>
                <w:sz w:val="16"/>
              </w:rPr>
              <w:t>API</w:t>
            </w:r>
          </w:p>
        </w:tc>
        <w:tc>
          <w:tcPr>
            <w:tcW w:type="dxa" w:w="2466"/>
            <w:vAlign w:val="top"/>
            <w:shd w:fill="A80000"/>
          </w:tcPr>
          <w:p>
            <w:pPr>
              <w:spacing w:after="30"/>
            </w:pPr>
            <w:r>
              <w:rPr>
                <w:rFonts w:ascii="Aptos" w:hAnsi="Aptos"/>
                <w:b/>
                <w:i w:val="0"/>
                <w:color w:val="FFFFFF"/>
                <w:sz w:val="16"/>
              </w:rPr>
              <w:t>Pantalla</w:t>
            </w:r>
          </w:p>
        </w:tc>
      </w:tr>
      <w:tr>
        <w:trPr>
          <w:cantSplit/>
        </w:trPr>
        <w:tc>
          <w:tcPr>
            <w:tcW w:type="dxa" w:w="2466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Clustering</w:t>
            </w:r>
          </w:p>
        </w:tc>
        <w:tc>
          <w:tcPr>
            <w:tcW w:type="dxa" w:w="2466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color w:val="A80000"/>
                <w:sz w:val="16"/>
              </w:rPr>
              <w:t>StudyClusteringService.getStoredAnalysis</w:t>
            </w:r>
            <w:r>
              <w:rPr>
                <w:rFonts w:ascii="Aptos" w:hAnsi="Aptos"/>
                <w:b w:val="0"/>
                <w:i w:val="0"/>
                <w:sz w:val="16"/>
              </w:rPr>
              <w:t xml:space="preserve"> y </w:t>
            </w:r>
            <w:r>
              <w:rPr>
                <w:rFonts w:ascii="Aptos" w:hAnsi="Aptos"/>
                <w:b w:val="0"/>
                <w:i w:val="0"/>
                <w:color w:val="A80000"/>
                <w:sz w:val="16"/>
              </w:rPr>
              <w:t>StudyClusteringModel.assignFromArtifact</w:t>
            </w:r>
          </w:p>
        </w:tc>
        <w:tc>
          <w:tcPr>
            <w:tcW w:type="dxa" w:w="2466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color w:val="A80000"/>
                <w:sz w:val="16"/>
              </w:rPr>
              <w:t>GET /study-clustering/analysis</w:t>
            </w:r>
          </w:p>
        </w:tc>
        <w:tc>
          <w:tcPr>
            <w:tcW w:type="dxa" w:w="2466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color w:val="A80000"/>
                <w:sz w:val="16"/>
              </w:rPr>
              <w:t>/admin/clustering</w:t>
            </w:r>
          </w:p>
        </w:tc>
      </w:tr>
      <w:tr>
        <w:trPr>
          <w:cantSplit/>
        </w:trPr>
        <w:tc>
          <w:tcPr>
            <w:tcW w:type="dxa" w:w="2466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Regresión</w:t>
            </w:r>
          </w:p>
        </w:tc>
        <w:tc>
          <w:tcPr>
            <w:tcW w:type="dxa" w:w="2466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color w:val="A80000"/>
                <w:sz w:val="16"/>
              </w:rPr>
              <w:t>StudyEstimationModel</w:t>
            </w:r>
          </w:p>
        </w:tc>
        <w:tc>
          <w:tcPr>
            <w:tcW w:type="dxa" w:w="2466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color w:val="A80000"/>
                <w:sz w:val="16"/>
              </w:rPr>
              <w:t>POST /studies/estimate</w:t>
            </w:r>
          </w:p>
        </w:tc>
        <w:tc>
          <w:tcPr>
            <w:tcW w:type="dxa" w:w="2466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color w:val="A80000"/>
                <w:sz w:val="16"/>
              </w:rPr>
              <w:t>StudyEstimationPanel</w:t>
            </w:r>
            <w:r>
              <w:rPr>
                <w:rFonts w:ascii="Aptos" w:hAnsi="Aptos"/>
                <w:b w:val="0"/>
                <w:i w:val="0"/>
                <w:sz w:val="16"/>
              </w:rPr>
              <w:t xml:space="preserve"> en Agregar estudio</w:t>
            </w:r>
          </w:p>
        </w:tc>
      </w:tr>
      <w:tr>
        <w:trPr>
          <w:cantSplit/>
        </w:trPr>
        <w:tc>
          <w:tcPr>
            <w:tcW w:type="dxa" w:w="2466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Clasificación</w:t>
            </w:r>
          </w:p>
        </w:tc>
        <w:tc>
          <w:tcPr>
            <w:tcW w:type="dxa" w:w="2466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color w:val="A80000"/>
                <w:sz w:val="16"/>
              </w:rPr>
              <w:t>ServiceOutcomePredictionModel</w:t>
            </w:r>
            <w:r>
              <w:rPr>
                <w:rFonts w:ascii="Aptos" w:hAnsi="Aptos"/>
                <w:b w:val="0"/>
                <w:i w:val="0"/>
                <w:sz w:val="16"/>
              </w:rPr>
              <w:t xml:space="preserve"> y </w:t>
            </w:r>
            <w:r>
              <w:rPr>
                <w:rFonts w:ascii="Aptos" w:hAnsi="Aptos"/>
                <w:b w:val="0"/>
                <w:i w:val="0"/>
                <w:color w:val="A80000"/>
                <w:sz w:val="16"/>
              </w:rPr>
              <w:t>ServicesService.runOutcomeModel</w:t>
            </w:r>
          </w:p>
        </w:tc>
        <w:tc>
          <w:tcPr>
            <w:tcW w:type="dxa" w:w="2466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color w:val="A80000"/>
                <w:sz w:val="16"/>
              </w:rPr>
              <w:t>POST /services/outcome-prediction</w:t>
            </w:r>
          </w:p>
        </w:tc>
        <w:tc>
          <w:tcPr>
            <w:tcW w:type="dxa" w:w="2466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color w:val="A80000"/>
                <w:sz w:val="16"/>
              </w:rPr>
              <w:t>AgregarServicioModal</w:t>
            </w:r>
            <w:r>
              <w:rPr>
                <w:rFonts w:ascii="Aptos" w:hAnsi="Aptos"/>
                <w:b w:val="0"/>
                <w:i w:val="0"/>
                <w:sz w:val="16"/>
              </w:rPr>
              <w:t xml:space="preserve"> y listado</w:t>
            </w:r>
          </w:p>
        </w:tc>
      </w:tr>
    </w:tbl>
    <w:p>
      <w:pPr>
        <w:spacing w:after="20"/>
      </w:pPr>
    </w:p>
    <w:p>
      <w:pPr>
        <w:jc w:val="both"/>
      </w:pPr>
      <w:r>
        <w:rPr>
          <w:b w:val="0"/>
          <w:i w:val="0"/>
        </w:rPr>
        <w:t xml:space="preserve">Backend: Node.js, NestJS 11, TypeScript, TypeORM y PostgreSQL. Frontend: Next.js 16.1.5 y React 19.1. Analítica: Python, pandas, NumPy, scikit-learn y Matplotlib; clustering productivo conserva una implementación TypeScript del preprocesamiento/K-Means y persiste el JSONB. Versiones y contratos completos están en </w:t>
      </w:r>
      <w:r>
        <w:rPr>
          <w:rFonts w:ascii="Consolas" w:hAnsi="Consolas"/>
          <w:b w:val="0"/>
          <w:i w:val="0"/>
          <w:color w:val="A80000"/>
          <w:sz w:val="17"/>
        </w:rPr>
        <w:t>08_Aplicacion_Web/README.md</w:t>
      </w:r>
      <w:r>
        <w:rPr>
          <w:b w:val="0"/>
          <w:i w:val="0"/>
        </w:rPr>
        <w:t>.</w:t>
      </w:r>
    </w:p>
    <w:p>
      <w:pPr>
        <w:pStyle w:val="Heading2"/>
      </w:pPr>
      <w:r>
        <w:rPr>
          <w:b w:val="0"/>
          <w:i w:val="0"/>
        </w:rPr>
        <w:t>6.1 Formato de respuesta y manejo de fallos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cantSplit/>
          <w:tblHeader w:val="true"/>
        </w:trPr>
        <w:tc>
          <w:tcPr>
            <w:tcW w:type="dxa" w:w="3289"/>
            <w:vAlign w:val="top"/>
            <w:shd w:fill="A80000"/>
          </w:tcPr>
          <w:p>
            <w:pPr>
              <w:spacing w:after="30"/>
            </w:pPr>
            <w:r>
              <w:rPr>
                <w:rFonts w:ascii="Aptos" w:hAnsi="Aptos"/>
                <w:b/>
                <w:i w:val="0"/>
                <w:color w:val="FFFFFF"/>
                <w:sz w:val="16"/>
              </w:rPr>
              <w:t>Solución</w:t>
            </w:r>
          </w:p>
        </w:tc>
        <w:tc>
          <w:tcPr>
            <w:tcW w:type="dxa" w:w="3289"/>
            <w:vAlign w:val="top"/>
            <w:shd w:fill="A80000"/>
          </w:tcPr>
          <w:p>
            <w:pPr>
              <w:spacing w:after="30"/>
            </w:pPr>
            <w:r>
              <w:rPr>
                <w:rFonts w:ascii="Aptos" w:hAnsi="Aptos"/>
                <w:b/>
                <w:i w:val="0"/>
                <w:color w:val="FFFFFF"/>
                <w:sz w:val="16"/>
              </w:rPr>
              <w:t>Respuesta comprensible</w:t>
            </w:r>
          </w:p>
        </w:tc>
        <w:tc>
          <w:tcPr>
            <w:tcW w:type="dxa" w:w="3289"/>
            <w:vAlign w:val="top"/>
            <w:shd w:fill="A80000"/>
          </w:tcPr>
          <w:p>
            <w:pPr>
              <w:spacing w:after="30"/>
            </w:pPr>
            <w:r>
              <w:rPr>
                <w:rFonts w:ascii="Aptos" w:hAnsi="Aptos"/>
                <w:b/>
                <w:i w:val="0"/>
                <w:color w:val="FFFFFF"/>
                <w:sz w:val="16"/>
              </w:rPr>
              <w:t>Manejo seguro</w:t>
            </w:r>
          </w:p>
        </w:tc>
      </w:tr>
      <w:tr>
        <w:trPr>
          <w:cantSplit/>
        </w:trPr>
        <w:tc>
          <w:tcPr>
            <w:tcW w:type="dxa" w:w="3289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Regresión</w:t>
            </w:r>
          </w:p>
        </w:tc>
        <w:tc>
          <w:tcPr>
            <w:tcW w:type="dxa" w:w="3289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Precio sugerido, rango, métricas y advertencias.</w:t>
            </w:r>
          </w:p>
        </w:tc>
        <w:tc>
          <w:tcPr>
            <w:tcW w:type="dxa" w:w="3289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400 para paquetes/entrada inválida; 503 si no puede cargarse el artefacto.</w:t>
            </w:r>
          </w:p>
        </w:tc>
      </w:tr>
      <w:tr>
        <w:trPr>
          <w:cantSplit/>
        </w:trPr>
        <w:tc>
          <w:tcPr>
            <w:tcW w:type="dxa" w:w="3289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Clasificación</w:t>
            </w:r>
          </w:p>
        </w:tc>
        <w:tc>
          <w:tcPr>
            <w:tcW w:type="dxa" w:w="3289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Clase, texto, confianza, probabilidades y versión.</w:t>
            </w:r>
          </w:p>
        </w:tc>
        <w:tc>
          <w:tcPr>
            <w:tcW w:type="dxa" w:w="3289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color w:val="A80000"/>
                <w:sz w:val="16"/>
              </w:rPr>
              <w:t>available:false</w:t>
            </w:r>
            <w:r>
              <w:rPr>
                <w:rFonts w:ascii="Aptos" w:hAnsi="Aptos"/>
                <w:b w:val="0"/>
                <w:i w:val="0"/>
                <w:sz w:val="16"/>
              </w:rPr>
              <w:t xml:space="preserve"> para datos/modelo insuficiente; nunca bloquea el alta.</w:t>
            </w:r>
          </w:p>
        </w:tc>
      </w:tr>
      <w:tr>
        <w:trPr>
          <w:cantSplit/>
        </w:trPr>
        <w:tc>
          <w:tcPr>
            <w:tcW w:type="dxa" w:w="3289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Clustering</w:t>
            </w:r>
          </w:p>
        </w:tc>
        <w:tc>
          <w:tcPr>
            <w:tcW w:type="dxa" w:w="3289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Perfiles, estudios, promedios, acción, métricas y atípicos.</w:t>
            </w:r>
          </w:p>
        </w:tc>
        <w:tc>
          <w:tcPr>
            <w:tcW w:type="dxa" w:w="3289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404 sin ejecución; 400 para corte inválido; JWT y rol administrador.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b w:val="0"/>
          <w:i w:val="0"/>
        </w:rPr>
        <w:t>6.2 Actualización de modelos</w:t>
      </w:r>
    </w:p>
    <w:p>
      <w:pPr>
        <w:jc w:val="both"/>
      </w:pPr>
      <w:r>
        <w:rPr>
          <w:b w:val="0"/>
          <w:i w:val="0"/>
        </w:rPr>
        <w:t>Regresión y clasificación se reentrenan mediante comandos controlados y se recargan al reiniciar NestJS. Clustering se recalcula con una fecha de corte y crea una nueva ejecución persistida. Antes de promover un artefacto se comparan métricas, composición real/sintética, hashes y casos de error; se conserva el artefacto anterior para reversión.</w:t>
      </w:r>
    </w:p>
    <w:p>
      <w:r>
        <w:br w:type="page"/>
      </w:r>
    </w:p>
    <w:p>
      <w:pPr>
        <w:pStyle w:val="Heading1"/>
      </w:pPr>
      <w:r>
        <w:rPr>
          <w:b w:val="0"/>
          <w:i w:val="0"/>
        </w:rPr>
        <w:t>7. Reproducibilidad y orden de ejecución</w:t>
      </w:r>
    </w:p>
    <w:p>
      <w:pPr>
        <w:pStyle w:val="CodeBlock"/>
        <w:shd w:fill="111111"/>
      </w:pPr>
      <w:r>
        <w:rPr>
          <w:rFonts w:ascii="Consolas" w:hAnsi="Consolas"/>
        </w:rPr>
        <w:t>createdb econolab_ml_evaluacion</w:t>
        <w:br/>
        <w:t>psql --set ON_ERROR_STOP=on --dbname econolab_ml_evaluacion --file 02_Base_Datos/respaldo_analitico_anonimizado.sql</w:t>
        <w:br/>
        <w:t>psql --set ON_ERROR_STOP=on --dbname econolab_ml_evaluacion --file 02_Base_Datos/02_esquema_modulo_clustering.sql</w:t>
        <w:br/>
        <w:br/>
        <w:t>cd backend</w:t>
        <w:br/>
        <w:t>npm install</w:t>
        <w:br/>
        <w:t>npm run regression:export</w:t>
        <w:br/>
        <w:t>python -m jupyter nbconvert --to notebook --execute --inplace ../06_Notebooks/02_regresion_precio_estudios.ipynb --ExecutePreprocessor.timeout=300</w:t>
        <w:br/>
        <w:t>npm run classification:notebook</w:t>
        <w:br/>
        <w:t>python -m jupyter nbconvert --to notebook --execute --inplace ../06_Notebooks/01_clustering_estudios.ipynb --ExecutePreprocessor.timeout=300</w:t>
        <w:br/>
        <w:t>npm test -- --runInBand</w:t>
        <w:br/>
        <w:t>npm run build</w:t>
        <w:br/>
        <w:br/>
        <w:t>cd ../frontend</w:t>
        <w:br/>
        <w:t>npm install</w:t>
        <w:br/>
        <w:t>npm run build</w:t>
        <w:br/>
        <w:t>npm run dev</w:t>
      </w:r>
    </w:p>
    <w:p>
      <w:pPr>
        <w:jc w:val="both"/>
      </w:pPr>
      <w:r>
        <w:rPr>
          <w:b w:val="0"/>
          <w:i w:val="0"/>
        </w:rPr>
        <w:t>La restauración solo debe ejecutarse en una base vacía de evaluación. Los notebooks están ejecutados en orden, no contienen rutas privadas ni credenciales y guardan el mismo artefacto que utiliza el backend. Los CSV y JSON se relacionan mediante SHA-256.</w:t>
      </w:r>
    </w:p>
    <w:p>
      <w:r>
        <w:br w:type="page"/>
      </w:r>
    </w:p>
    <w:p>
      <w:pPr>
        <w:pStyle w:val="Heading1"/>
      </w:pPr>
      <w:r>
        <w:rPr>
          <w:b w:val="0"/>
          <w:i w:val="0"/>
        </w:rPr>
        <w:t>8. Evidencias funcionales</w:t>
      </w:r>
    </w:p>
    <w:p>
      <w:pPr>
        <w:jc w:val="both"/>
      </w:pPr>
      <w:r>
        <w:rPr>
          <w:b w:val="0"/>
          <w:i w:val="0"/>
        </w:rPr>
        <w:t>Se definieron dos casos distintos por solución. Cada par debe mostrar entrada, ejecución y resultado dentro del sistema. Si una captura no está presente, el recuadro siguiente conserva el nombre exacto pendiente y evita presentar una imagen inventada.</w:t>
      </w:r>
    </w:p>
    <w:p>
      <w:pPr>
        <w:pStyle w:val="Heading2"/>
      </w:pPr>
      <w:r>
        <w:rPr>
          <w:b w:val="0"/>
          <w:i w:val="0"/>
        </w:rPr>
        <w:t>8.1 Clustering</w:t>
      </w:r>
    </w:p>
    <w:p>
      <w:pPr>
        <w:shd w:fill="FFF4F4"/>
        <w:spacing w:before="100" w:after="140"/>
        <w:ind w:left="142" w:right="142"/>
      </w:pPr>
      <w:r>
        <w:rPr>
          <w:b/>
          <w:i w:val="0"/>
        </w:rPr>
        <w:t>Evidencia pendiente:</w:t>
      </w:r>
      <w:r>
        <w:rPr>
          <w:b w:val="0"/>
          <w:i w:val="0"/>
        </w:rPr>
        <w:t xml:space="preserve"> Caso 1: comparacion de clusters - entrada</w:t>
      </w:r>
      <w:r>
        <w:br/>
      </w:r>
      <w:r>
        <w:rPr>
          <w:rFonts w:ascii="Consolas" w:hAnsi="Consolas"/>
          <w:b w:val="0"/>
          <w:i w:val="0"/>
          <w:color w:val="A80000"/>
          <w:sz w:val="17"/>
        </w:rPr>
        <w:t>09_Evidencias/01_clustering_resumen.png</w:t>
      </w:r>
    </w:p>
    <w:p>
      <w:pPr>
        <w:shd w:fill="FFF4F4"/>
        <w:spacing w:before="100" w:after="140"/>
        <w:ind w:left="142" w:right="142"/>
      </w:pPr>
      <w:r>
        <w:rPr>
          <w:b/>
          <w:i w:val="0"/>
        </w:rPr>
        <w:t>Evidencia pendiente:</w:t>
      </w:r>
      <w:r>
        <w:rPr>
          <w:b w:val="0"/>
          <w:i w:val="0"/>
        </w:rPr>
        <w:t xml:space="preserve"> Caso 1: comparacion de clusters - resultado</w:t>
      </w:r>
      <w:r>
        <w:br/>
      </w:r>
      <w:r>
        <w:rPr>
          <w:rFonts w:ascii="Consolas" w:hAnsi="Consolas"/>
          <w:b w:val="0"/>
          <w:i w:val="0"/>
          <w:color w:val="A80000"/>
          <w:sz w:val="17"/>
        </w:rPr>
        <w:t>09_Evidencias/02_clustering_comparacion.png</w:t>
      </w:r>
    </w:p>
    <w:p>
      <w:pPr>
        <w:jc w:val="both"/>
      </w:pPr>
      <w:r>
        <w:rPr>
          <w:b w:val="0"/>
          <w:i w:val="0"/>
        </w:rPr>
        <w:t>Interpretación esperada: comparar dos perfiles con promedios y acciones distintas, observando la silueta y Davies–Bouldin de la ejecución.</w:t>
      </w:r>
    </w:p>
    <w:p>
      <w:pPr>
        <w:shd w:fill="FFF4F4"/>
        <w:spacing w:before="100" w:after="140"/>
        <w:ind w:left="142" w:right="142"/>
      </w:pPr>
      <w:r>
        <w:rPr>
          <w:b/>
          <w:i w:val="0"/>
        </w:rPr>
        <w:t>Evidencia pendiente:</w:t>
      </w:r>
      <w:r>
        <w:rPr>
          <w:b w:val="0"/>
          <w:i w:val="0"/>
        </w:rPr>
        <w:t xml:space="preserve"> Caso 2: estudio atipico - entrada</w:t>
      </w:r>
      <w:r>
        <w:br/>
      </w:r>
      <w:r>
        <w:rPr>
          <w:rFonts w:ascii="Consolas" w:hAnsi="Consolas"/>
          <w:b w:val="0"/>
          <w:i w:val="0"/>
          <w:color w:val="A80000"/>
          <w:sz w:val="17"/>
        </w:rPr>
        <w:t>09_Evidencias/03_clustering_atipico_lista.png</w:t>
      </w:r>
    </w:p>
    <w:p>
      <w:pPr>
        <w:shd w:fill="FFF4F4"/>
        <w:spacing w:before="100" w:after="140"/>
        <w:ind w:left="142" w:right="142"/>
      </w:pPr>
      <w:r>
        <w:rPr>
          <w:b/>
          <w:i w:val="0"/>
        </w:rPr>
        <w:t>Evidencia pendiente:</w:t>
      </w:r>
      <w:r>
        <w:rPr>
          <w:b w:val="0"/>
          <w:i w:val="0"/>
        </w:rPr>
        <w:t xml:space="preserve"> Caso 2: estudio atipico - resultado</w:t>
      </w:r>
      <w:r>
        <w:br/>
      </w:r>
      <w:r>
        <w:rPr>
          <w:rFonts w:ascii="Consolas" w:hAnsi="Consolas"/>
          <w:b w:val="0"/>
          <w:i w:val="0"/>
          <w:color w:val="A80000"/>
          <w:sz w:val="17"/>
        </w:rPr>
        <w:t>09_Evidencias/04_clustering_atipico_detalle.png</w:t>
      </w:r>
    </w:p>
    <w:p>
      <w:pPr>
        <w:jc w:val="both"/>
      </w:pPr>
      <w:r>
        <w:rPr>
          <w:b w:val="0"/>
          <w:i w:val="0"/>
        </w:rPr>
        <w:t>Interpretación esperada: el caso atípico se señala para revisión frente a su cluster; no recibe una clasificación médica ni se edita automáticamente.</w:t>
      </w:r>
    </w:p>
    <w:p>
      <w:pPr>
        <w:pStyle w:val="Heading2"/>
      </w:pPr>
      <w:r>
        <w:rPr>
          <w:b w:val="0"/>
          <w:i w:val="0"/>
        </w:rPr>
        <w:t>8.2 Regresión</w:t>
      </w:r>
    </w:p>
    <w:p>
      <w:pPr>
        <w:shd w:fill="FFF4F4"/>
        <w:spacing w:before="100" w:after="140"/>
        <w:ind w:left="142" w:right="142"/>
      </w:pPr>
      <w:r>
        <w:rPr>
          <w:b/>
          <w:i w:val="0"/>
        </w:rPr>
        <w:t>Evidencia pendiente:</w:t>
      </w:r>
      <w:r>
        <w:rPr>
          <w:b w:val="0"/>
          <w:i w:val="0"/>
        </w:rPr>
        <w:t xml:space="preserve"> Caso 3: precio sugerido y aplicado - entrada</w:t>
      </w:r>
      <w:r>
        <w:br/>
      </w:r>
      <w:r>
        <w:rPr>
          <w:rFonts w:ascii="Consolas" w:hAnsi="Consolas"/>
          <w:b w:val="0"/>
          <w:i w:val="0"/>
          <w:color w:val="A80000"/>
          <w:sz w:val="17"/>
        </w:rPr>
        <w:t>09_Evidencias/05_regresion_estimacion.png</w:t>
      </w:r>
    </w:p>
    <w:p>
      <w:pPr>
        <w:shd w:fill="FFF4F4"/>
        <w:spacing w:before="100" w:after="140"/>
        <w:ind w:left="142" w:right="142"/>
      </w:pPr>
      <w:r>
        <w:rPr>
          <w:b/>
          <w:i w:val="0"/>
        </w:rPr>
        <w:t>Evidencia pendiente:</w:t>
      </w:r>
      <w:r>
        <w:rPr>
          <w:b w:val="0"/>
          <w:i w:val="0"/>
        </w:rPr>
        <w:t xml:space="preserve"> Caso 3: precio sugerido y aplicado - resultado</w:t>
      </w:r>
      <w:r>
        <w:br/>
      </w:r>
      <w:r>
        <w:rPr>
          <w:rFonts w:ascii="Consolas" w:hAnsi="Consolas"/>
          <w:b w:val="0"/>
          <w:i w:val="0"/>
          <w:color w:val="A80000"/>
          <w:sz w:val="17"/>
        </w:rPr>
        <w:t>09_Evidencias/06_regresion_precio_aplicado.png</w:t>
      </w:r>
    </w:p>
    <w:p>
      <w:pPr>
        <w:jc w:val="both"/>
      </w:pPr>
      <w:r>
        <w:rPr>
          <w:b w:val="0"/>
          <w:i w:val="0"/>
        </w:rPr>
        <w:t>Interpretación esperada: el cálculo se genera con método/parámetros y solo se copia al campo de precio después de la acción explícita del usuario.</w:t>
      </w:r>
    </w:p>
    <w:p>
      <w:pPr>
        <w:shd w:fill="FFF4F4"/>
        <w:spacing w:before="100" w:after="140"/>
        <w:ind w:left="142" w:right="142"/>
      </w:pPr>
      <w:r>
        <w:rPr>
          <w:b/>
          <w:i w:val="0"/>
        </w:rPr>
        <w:t>Evidencia pendiente:</w:t>
      </w:r>
      <w:r>
        <w:rPr>
          <w:b w:val="0"/>
          <w:i w:val="0"/>
        </w:rPr>
        <w:t xml:space="preserve"> Caso 4: segunda entrada de regresion - entrada</w:t>
      </w:r>
      <w:r>
        <w:br/>
      </w:r>
      <w:r>
        <w:rPr>
          <w:rFonts w:ascii="Consolas" w:hAnsi="Consolas"/>
          <w:b w:val="0"/>
          <w:i w:val="0"/>
          <w:color w:val="A80000"/>
          <w:sz w:val="17"/>
        </w:rPr>
        <w:t>09_Evidencias/07_regresion_segunda_entrada.png</w:t>
      </w:r>
    </w:p>
    <w:p>
      <w:pPr>
        <w:shd w:fill="FFF4F4"/>
        <w:spacing w:before="100" w:after="140"/>
        <w:ind w:left="142" w:right="142"/>
      </w:pPr>
      <w:r>
        <w:rPr>
          <w:b/>
          <w:i w:val="0"/>
        </w:rPr>
        <w:t>Evidencia pendiente:</w:t>
      </w:r>
      <w:r>
        <w:rPr>
          <w:b w:val="0"/>
          <w:i w:val="0"/>
        </w:rPr>
        <w:t xml:space="preserve"> Caso 4: segunda entrada de regresion - resultado</w:t>
      </w:r>
      <w:r>
        <w:br/>
      </w:r>
      <w:r>
        <w:rPr>
          <w:rFonts w:ascii="Consolas" w:hAnsi="Consolas"/>
          <w:b w:val="0"/>
          <w:i w:val="0"/>
          <w:color w:val="A80000"/>
          <w:sz w:val="17"/>
        </w:rPr>
        <w:t>09_Evidencias/08_regresion_segundo_resultado.png</w:t>
      </w:r>
    </w:p>
    <w:p>
      <w:pPr>
        <w:jc w:val="both"/>
      </w:pPr>
      <w:r>
        <w:rPr>
          <w:b w:val="0"/>
          <w:i w:val="0"/>
        </w:rPr>
        <w:t>Interpretación esperada: cambiar X produce otra estimación y la interfaz mantiene visibles rango, calidad y limitación sintética.</w:t>
      </w:r>
    </w:p>
    <w:p>
      <w:pPr>
        <w:pStyle w:val="Heading2"/>
      </w:pPr>
      <w:r>
        <w:rPr>
          <w:b w:val="0"/>
          <w:i w:val="0"/>
        </w:rPr>
        <w:t>8.3 Clasificación</w:t>
      </w:r>
    </w:p>
    <w:p>
      <w:pPr>
        <w:shd w:fill="FFF4F4"/>
        <w:spacing w:before="100" w:after="140"/>
        <w:ind w:left="142" w:right="142"/>
      </w:pPr>
      <w:r>
        <w:rPr>
          <w:b/>
          <w:i w:val="0"/>
        </w:rPr>
        <w:t>Evidencia pendiente:</w:t>
      </w:r>
      <w:r>
        <w:rPr>
          <w:b w:val="0"/>
          <w:i w:val="0"/>
        </w:rPr>
        <w:t xml:space="preserve"> Caso 5: pronostico durante el registro - entrada</w:t>
      </w:r>
      <w:r>
        <w:br/>
      </w:r>
      <w:r>
        <w:rPr>
          <w:rFonts w:ascii="Consolas" w:hAnsi="Consolas"/>
          <w:b w:val="0"/>
          <w:i w:val="0"/>
          <w:color w:val="A80000"/>
          <w:sz w:val="17"/>
        </w:rPr>
        <w:t>09_Evidencias/09_clasificacion_entrada.png</w:t>
      </w:r>
    </w:p>
    <w:p>
      <w:pPr>
        <w:shd w:fill="FFF4F4"/>
        <w:spacing w:before="100" w:after="140"/>
        <w:ind w:left="142" w:right="142"/>
      </w:pPr>
      <w:r>
        <w:rPr>
          <w:b/>
          <w:i w:val="0"/>
        </w:rPr>
        <w:t>Evidencia pendiente:</w:t>
      </w:r>
      <w:r>
        <w:rPr>
          <w:b w:val="0"/>
          <w:i w:val="0"/>
        </w:rPr>
        <w:t xml:space="preserve"> Caso 5: pronostico durante el registro - resultado</w:t>
      </w:r>
      <w:r>
        <w:br/>
      </w:r>
      <w:r>
        <w:rPr>
          <w:rFonts w:ascii="Consolas" w:hAnsi="Consolas"/>
          <w:b w:val="0"/>
          <w:i w:val="0"/>
          <w:color w:val="A80000"/>
          <w:sz w:val="17"/>
        </w:rPr>
        <w:t>09_Evidencias/10_clasificacion_pronostico.png</w:t>
      </w:r>
    </w:p>
    <w:p>
      <w:pPr>
        <w:jc w:val="both"/>
      </w:pPr>
      <w:r>
        <w:rPr>
          <w:b w:val="0"/>
          <w:i w:val="0"/>
        </w:rPr>
        <w:t>Interpretación esperada: antes de guardar se muestran clase, confianza y probabilidades sin cambiar el estado de la orden.</w:t>
      </w:r>
    </w:p>
    <w:p>
      <w:pPr>
        <w:shd w:fill="FFF4F4"/>
        <w:spacing w:before="100" w:after="140"/>
        <w:ind w:left="142" w:right="142"/>
      </w:pPr>
      <w:r>
        <w:rPr>
          <w:b/>
          <w:i w:val="0"/>
        </w:rPr>
        <w:t>Evidencia pendiente:</w:t>
      </w:r>
      <w:r>
        <w:rPr>
          <w:b w:val="0"/>
          <w:i w:val="0"/>
        </w:rPr>
        <w:t xml:space="preserve"> Caso 6: cambio de contexto de clasificacion - entrada</w:t>
      </w:r>
      <w:r>
        <w:br/>
      </w:r>
      <w:r>
        <w:rPr>
          <w:rFonts w:ascii="Consolas" w:hAnsi="Consolas"/>
          <w:b w:val="0"/>
          <w:i w:val="0"/>
          <w:color w:val="A80000"/>
          <w:sz w:val="17"/>
        </w:rPr>
        <w:t>09_Evidencias/11_clasificacion_segunda_entrada.png</w:t>
      </w:r>
    </w:p>
    <w:p>
      <w:pPr>
        <w:shd w:fill="FFF4F4"/>
        <w:spacing w:before="100" w:after="140"/>
        <w:ind w:left="142" w:right="142"/>
      </w:pPr>
      <w:r>
        <w:rPr>
          <w:b/>
          <w:i w:val="0"/>
        </w:rPr>
        <w:t>Evidencia pendiente:</w:t>
      </w:r>
      <w:r>
        <w:rPr>
          <w:b w:val="0"/>
          <w:i w:val="0"/>
        </w:rPr>
        <w:t xml:space="preserve"> Caso 6: cambio de contexto de clasificacion - resultado</w:t>
      </w:r>
      <w:r>
        <w:br/>
      </w:r>
      <w:r>
        <w:rPr>
          <w:rFonts w:ascii="Consolas" w:hAnsi="Consolas"/>
          <w:b w:val="0"/>
          <w:i w:val="0"/>
          <w:color w:val="A80000"/>
          <w:sz w:val="17"/>
        </w:rPr>
        <w:t>09_Evidencias/12_clasificacion_segundo_resultado.png</w:t>
      </w:r>
    </w:p>
    <w:p>
      <w:pPr>
        <w:jc w:val="both"/>
      </w:pPr>
      <w:r>
        <w:rPr>
          <w:b w:val="0"/>
          <w:i w:val="0"/>
        </w:rPr>
        <w:t>Interpretación esperada: modificar estudios o plazo recalcula el pronóstico con las mismas transformaciones del entrenamiento.</w:t>
      </w:r>
    </w:p>
    <w:p>
      <w:r>
        <w:br w:type="page"/>
      </w:r>
    </w:p>
    <w:p>
      <w:pPr>
        <w:pStyle w:val="Heading1"/>
      </w:pPr>
      <w:r>
        <w:rPr>
          <w:b w:val="0"/>
          <w:i w:val="0"/>
        </w:rPr>
        <w:t>9. Resultados globales, limitaciones y mejoras</w:t>
      </w:r>
    </w:p>
    <w:p>
      <w:pPr>
        <w:pStyle w:val="Heading2"/>
      </w:pPr>
      <w:r>
        <w:rPr>
          <w:b w:val="0"/>
          <w:i w:val="0"/>
        </w:rPr>
        <w:t>9.1 Resultados</w:t>
      </w:r>
    </w:p>
    <w:p>
      <w:pPr>
        <w:pStyle w:val="ListBullet"/>
      </w:pPr>
      <w:r>
        <w:rPr>
          <w:b w:val="0"/>
          <w:i w:val="0"/>
        </w:rPr>
        <w:t>El respaldo anónimo reconstruye los tres datasets y supera 2,000 movimientos operativos útiles.</w:t>
      </w:r>
    </w:p>
    <w:p>
      <w:pPr>
        <w:pStyle w:val="ListBullet"/>
      </w:pPr>
      <w:r>
        <w:rPr>
          <w:b w:val="0"/>
          <w:i w:val="0"/>
        </w:rPr>
        <w:t>Los tres notebooks realizan comprensión, preparación, modelado, evaluación y despliegue; los artefactos están versionados.</w:t>
      </w:r>
    </w:p>
    <w:p>
      <w:pPr>
        <w:pStyle w:val="ListBullet"/>
      </w:pPr>
      <w:r>
        <w:rPr>
          <w:b w:val="0"/>
          <w:i w:val="0"/>
        </w:rPr>
        <w:t>Regresión supera su baseline en el dataset actual y presenta MAE/RMSE/R², predicho-real, residuos y evaluación real separada.</w:t>
      </w:r>
    </w:p>
    <w:p>
      <w:pPr>
        <w:pStyle w:val="ListBullet"/>
      </w:pPr>
      <w:r>
        <w:rPr>
          <w:b w:val="0"/>
          <w:i w:val="0"/>
        </w:rPr>
        <w:t>Clasificación se compara con clase mayoritaria mediante un holdout temporal y muestra matriz, precision, recall, F1 y accuracy.</w:t>
      </w:r>
    </w:p>
    <w:p>
      <w:pPr>
        <w:pStyle w:val="ListBullet"/>
      </w:pPr>
      <w:r>
        <w:rPr>
          <w:b w:val="0"/>
          <w:i w:val="0"/>
        </w:rPr>
        <w:t>Clustering compara k=2…6, perfila segmentos y asigna nuevos casos con el artefacto persistido.</w:t>
      </w:r>
    </w:p>
    <w:p>
      <w:pPr>
        <w:pStyle w:val="ListBullet"/>
      </w:pPr>
      <w:r>
        <w:rPr>
          <w:b w:val="0"/>
          <w:i w:val="0"/>
        </w:rPr>
        <w:t>Las tres funciones están conectadas a pantallas y manejan entradas no disponibles o inválidas.</w:t>
      </w:r>
    </w:p>
    <w:p>
      <w:pPr>
        <w:pStyle w:val="Heading2"/>
      </w:pPr>
      <w:r>
        <w:rPr>
          <w:b w:val="0"/>
          <w:i w:val="0"/>
        </w:rPr>
        <w:t>9.2 Limitaciones y sesgos</w:t>
      </w:r>
    </w:p>
    <w:p>
      <w:pPr>
        <w:pStyle w:val="ListBullet"/>
      </w:pPr>
      <w:r>
        <w:rPr>
          <w:b w:val="0"/>
          <w:i w:val="0"/>
        </w:rPr>
        <w:t>La proporción sintética es muy alta; las reglas pueden hacer que las métricas sean más favorables que en producción.</w:t>
      </w:r>
    </w:p>
    <w:p>
      <w:pPr>
        <w:pStyle w:val="ListBullet"/>
      </w:pPr>
      <w:r>
        <w:rPr>
          <w:b w:val="0"/>
          <w:i w:val="0"/>
        </w:rPr>
        <w:t>Regresión tiene cobertura real deficiente de parámetros. El nombre del estudio se excluye para evitar memorizar un sustituto del objetivo.</w:t>
      </w:r>
    </w:p>
    <w:p>
      <w:pPr>
        <w:pStyle w:val="ListBullet"/>
      </w:pPr>
      <w:r>
        <w:rPr>
          <w:b w:val="0"/>
          <w:i w:val="0"/>
        </w:rPr>
        <w:t xml:space="preserve">Clasificación solo cuenta con 12 órdenes reales válidas; además, </w:t>
      </w:r>
      <w:r>
        <w:rPr>
          <w:rFonts w:ascii="Consolas" w:hAnsi="Consolas"/>
          <w:b w:val="0"/>
          <w:i w:val="0"/>
          <w:color w:val="A80000"/>
          <w:sz w:val="17"/>
        </w:rPr>
        <w:t>deliveryAt</w:t>
      </w:r>
      <w:r>
        <w:rPr>
          <w:b w:val="0"/>
          <w:i w:val="0"/>
        </w:rPr>
        <w:t xml:space="preserve"> puede editarse y no existe snapshot histórico de la promesa original.</w:t>
      </w:r>
    </w:p>
    <w:p>
      <w:pPr>
        <w:pStyle w:val="ListBullet"/>
      </w:pPr>
      <w:r>
        <w:rPr>
          <w:b w:val="0"/>
          <w:i w:val="0"/>
        </w:rPr>
        <w:t>La demanda de clustering es 96.67% demostrativa y la silueta es modesta; los perfiles pueden cambiar con operación real.</w:t>
      </w:r>
    </w:p>
    <w:p>
      <w:pPr>
        <w:pStyle w:val="ListBullet"/>
      </w:pPr>
      <w:r>
        <w:rPr>
          <w:b w:val="0"/>
          <w:i w:val="0"/>
        </w:rPr>
        <w:t>Un artefacto puede degradarse por cambios en precios, catálogo, sucursales o carga. No hay automatización de decisiones.</w:t>
      </w:r>
    </w:p>
    <w:p>
      <w:pPr>
        <w:pStyle w:val="Heading2"/>
      </w:pPr>
      <w:r>
        <w:rPr>
          <w:b w:val="0"/>
          <w:i w:val="0"/>
        </w:rPr>
        <w:t>9.3 Mejoras priorizadas</w:t>
      </w:r>
    </w:p>
    <w:p>
      <w:pPr>
        <w:pStyle w:val="ListNumber"/>
      </w:pPr>
      <w:r>
        <w:rPr>
          <w:b w:val="0"/>
          <w:i w:val="0"/>
        </w:rPr>
        <w:t>Completar parámetros reales y capturar snapshots de promesa, catálogo y características de cada orden.</w:t>
      </w:r>
    </w:p>
    <w:p>
      <w:pPr>
        <w:pStyle w:val="ListNumber"/>
      </w:pPr>
      <w:r>
        <w:rPr>
          <w:b w:val="0"/>
          <w:i w:val="0"/>
        </w:rPr>
        <w:t>Acumular historia real y evaluar ventanas temporales consecutivas por sucursal y procedencia.</w:t>
      </w:r>
    </w:p>
    <w:p>
      <w:pPr>
        <w:pStyle w:val="ListNumber"/>
      </w:pPr>
      <w:r>
        <w:rPr>
          <w:b w:val="0"/>
          <w:i w:val="0"/>
        </w:rPr>
        <w:t>Registrar sugerencia, decisión final y acción operativa para medir valor agregado, falsos avisos y aceptación.</w:t>
      </w:r>
    </w:p>
    <w:p>
      <w:pPr>
        <w:pStyle w:val="ListNumber"/>
      </w:pPr>
      <w:r>
        <w:rPr>
          <w:b w:val="0"/>
          <w:i w:val="0"/>
        </w:rPr>
        <w:t>Definir umbrales de negocio con ECONOLAB y monitorear deriva antes de reemplazar artefactos.</w:t>
      </w:r>
    </w:p>
    <w:p>
      <w:pPr>
        <w:pStyle w:val="ListNumber"/>
      </w:pPr>
      <w:r>
        <w:rPr>
          <w:b w:val="0"/>
          <w:i w:val="0"/>
        </w:rPr>
        <w:t>Recalcular clustering mensualmente, comparar estabilidad y documentar por qué cada atípico terminó o no en una corrección.</w:t>
      </w:r>
    </w:p>
    <w:p>
      <w:r>
        <w:br w:type="page"/>
      </w:r>
    </w:p>
    <w:p>
      <w:pPr>
        <w:pStyle w:val="Heading1"/>
      </w:pPr>
      <w:r>
        <w:rPr>
          <w:b w:val="0"/>
          <w:i w:val="0"/>
        </w:rPr>
        <w:t>10. Conclusiones</w:t>
      </w:r>
    </w:p>
    <w:p>
      <w:pPr>
        <w:jc w:val="both"/>
      </w:pPr>
      <w:r>
        <w:rPr>
          <w:b w:val="0"/>
          <w:i w:val="0"/>
        </w:rPr>
        <w:t>ECONOLAB cuenta ahora con tres aplicaciones analíticas distintas y verificables. El valor principal no es una métrica aislada, sino el recorrido completo y demostrable desde PostgreSQL hasta una acción administrativa en la interfaz. Los IDs y datos posteriores se excluyen, las transformaciones se ajustan con entrenamiento, los artefactos se cargan realmente y los errores se comunican sin fabricar respuestas.</w:t>
      </w:r>
    </w:p>
    <w:p>
      <w:pPr>
        <w:jc w:val="both"/>
      </w:pPr>
      <w:r>
        <w:rPr>
          <w:b w:val="0"/>
          <w:i w:val="0"/>
        </w:rPr>
        <w:t>El trabajo también identifica sus límites: todavía no debe considerarse una validación productiva. La alta proporción sintética, la captura incompleta de parámetros y la poca historia real definen el siguiente paso: mejorar la calidad de captura y evaluar por periodos reales. Esta conclusión evita confundir una integración técnica exitosa con evidencia suficiente para decisiones automáticas.</w:t>
      </w:r>
    </w:p>
    <w:p>
      <w:pPr>
        <w:pStyle w:val="Heading1"/>
      </w:pPr>
      <w:r>
        <w:rPr>
          <w:b w:val="0"/>
          <w:i w:val="0"/>
        </w:rPr>
        <w:t>Bibliografía</w:t>
      </w:r>
    </w:p>
    <w:p>
      <w:pPr>
        <w:pStyle w:val="ListNumber"/>
      </w:pPr>
      <w:r>
        <w:rPr>
          <w:b w:val="0"/>
          <w:i w:val="0"/>
        </w:rPr>
        <w:t xml:space="preserve">Chapman, P., Clinton, J., Kerber, R., Khabaza, T., Reinartz, T., Shearer, C., &amp; Wirth, R. (2000). </w:t>
      </w:r>
      <w:r>
        <w:rPr>
          <w:b w:val="0"/>
          <w:i/>
        </w:rPr>
        <w:t>CRISP-DM 1.0: Step-by-step data mining guide</w:t>
      </w:r>
      <w:r>
        <w:rPr>
          <w:b w:val="0"/>
          <w:i w:val="0"/>
        </w:rPr>
        <w:t>. SPSS.</w:t>
      </w:r>
    </w:p>
    <w:p>
      <w:pPr>
        <w:pStyle w:val="ListNumber"/>
      </w:pPr>
      <w:r>
        <w:rPr>
          <w:b w:val="0"/>
          <w:i w:val="0"/>
        </w:rPr>
        <w:t xml:space="preserve">MacQueen, J. (1967). Some methods for classification and analysis of multivariate observations. </w:t>
      </w:r>
      <w:r>
        <w:rPr>
          <w:b w:val="0"/>
          <w:i/>
        </w:rPr>
        <w:t>Proceedings of the Fifth Berkeley Symposium on Mathematical Statistics and Probability</w:t>
      </w:r>
      <w:r>
        <w:rPr>
          <w:b w:val="0"/>
          <w:i w:val="0"/>
        </w:rPr>
        <w:t>, 1, 281–297.</w:t>
      </w:r>
    </w:p>
    <w:p>
      <w:pPr>
        <w:pStyle w:val="ListNumber"/>
      </w:pPr>
      <w:r>
        <w:rPr>
          <w:b w:val="0"/>
          <w:i w:val="0"/>
        </w:rPr>
        <w:t xml:space="preserve">Rousseeuw, P. J. (1987). Silhouettes: A graphical aid to the interpretation and validation of cluster analysis. </w:t>
      </w:r>
      <w:r>
        <w:rPr>
          <w:b w:val="0"/>
          <w:i/>
        </w:rPr>
        <w:t>Journal of Computational and Applied Mathematics, 20</w:t>
      </w:r>
      <w:r>
        <w:rPr>
          <w:b w:val="0"/>
          <w:i w:val="0"/>
        </w:rPr>
        <w:t>, 53–65. https://doi.org/10.1016/0377-0427(87)90125-7</w:t>
      </w:r>
    </w:p>
    <w:p>
      <w:pPr>
        <w:pStyle w:val="ListNumber"/>
      </w:pPr>
      <w:r>
        <w:rPr>
          <w:b w:val="0"/>
          <w:i w:val="0"/>
        </w:rPr>
        <w:t xml:space="preserve">Davies, D. L., &amp; Bouldin, D. W. (1979). A cluster separation measure. </w:t>
      </w:r>
      <w:r>
        <w:rPr>
          <w:b w:val="0"/>
          <w:i/>
        </w:rPr>
        <w:t>IEEE Transactions on Pattern Analysis and Machine Intelligence, PAMI-1</w:t>
      </w:r>
      <w:r>
        <w:rPr>
          <w:b w:val="0"/>
          <w:i w:val="0"/>
        </w:rPr>
        <w:t>(2), 224–227. https://doi.org/10.1109/TPAMI.1979.4766909</w:t>
      </w:r>
    </w:p>
    <w:p>
      <w:pPr>
        <w:pStyle w:val="ListNumber"/>
      </w:pPr>
      <w:r>
        <w:rPr>
          <w:b w:val="0"/>
          <w:i w:val="0"/>
        </w:rPr>
        <w:t xml:space="preserve">James, G., Witten, D., Hastie, T., &amp; Tibshirani, R. (2021). </w:t>
      </w:r>
      <w:r>
        <w:rPr>
          <w:b w:val="0"/>
          <w:i/>
        </w:rPr>
        <w:t>An introduction to statistical learning</w:t>
      </w:r>
      <w:r>
        <w:rPr>
          <w:b w:val="0"/>
          <w:i w:val="0"/>
        </w:rPr>
        <w:t xml:space="preserve"> (2nd ed.). Springer. https://doi.org/10.1007/978-1-0716-1418-1</w:t>
      </w:r>
    </w:p>
    <w:p>
      <w:pPr>
        <w:pStyle w:val="ListNumber"/>
      </w:pPr>
      <w:r>
        <w:rPr>
          <w:b w:val="0"/>
          <w:i w:val="0"/>
        </w:rPr>
        <w:t xml:space="preserve">Hastie, T., Tibshirani, R., &amp; Friedman, J. (2009). </w:t>
      </w:r>
      <w:r>
        <w:rPr>
          <w:b w:val="0"/>
          <w:i/>
        </w:rPr>
        <w:t>The elements of statistical learning</w:t>
      </w:r>
      <w:r>
        <w:rPr>
          <w:b w:val="0"/>
          <w:i w:val="0"/>
        </w:rPr>
        <w:t xml:space="preserve"> (2nd ed.). Springer. https://doi.org/10.1007/978-0-387-84858-7</w:t>
      </w:r>
    </w:p>
    <w:p>
      <w:pPr>
        <w:pStyle w:val="ListNumber"/>
      </w:pPr>
      <w:r>
        <w:rPr>
          <w:b w:val="0"/>
          <w:i w:val="0"/>
        </w:rPr>
        <w:t xml:space="preserve">Pedregosa, F., Varoquaux, G., Gramfort, A., et al. (2011). Scikit-learn: Machine learning in Python. </w:t>
      </w:r>
      <w:r>
        <w:rPr>
          <w:b w:val="0"/>
          <w:i/>
        </w:rPr>
        <w:t>Journal of Machine Learning Research, 12</w:t>
      </w:r>
      <w:r>
        <w:rPr>
          <w:b w:val="0"/>
          <w:i w:val="0"/>
        </w:rPr>
        <w:t>, 2825–2830.</w:t>
      </w:r>
    </w:p>
    <w:p>
      <w:r>
        <w:br w:type="page"/>
      </w:r>
    </w:p>
    <w:p>
      <w:pPr>
        <w:pStyle w:val="Heading1"/>
      </w:pPr>
      <w:r>
        <w:rPr>
          <w:b w:val="0"/>
          <w:i w:val="0"/>
        </w:rPr>
        <w:t>11. Anexos técnicos y trazabilidad</w:t>
      </w:r>
    </w:p>
    <w:p>
      <w:pPr>
        <w:pStyle w:val="Heading2"/>
      </w:pPr>
      <w:r>
        <w:rPr>
          <w:b w:val="0"/>
          <w:i w:val="0"/>
        </w:rPr>
        <w:t>11.1 Trazabilidad — clustering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cantSplit/>
          <w:tblHeader w:val="true"/>
        </w:trPr>
        <w:tc>
          <w:tcPr>
            <w:tcW w:type="dxa" w:w="3289"/>
            <w:vAlign w:val="top"/>
            <w:shd w:fill="A80000"/>
          </w:tcPr>
          <w:p>
            <w:pPr>
              <w:spacing w:after="30"/>
            </w:pPr>
            <w:r>
              <w:rPr>
                <w:rFonts w:ascii="Aptos" w:hAnsi="Aptos"/>
                <w:b/>
                <w:i w:val="0"/>
                <w:color w:val="FFFFFF"/>
                <w:sz w:val="16"/>
              </w:rPr>
              <w:t>Columna</w:t>
            </w:r>
          </w:p>
        </w:tc>
        <w:tc>
          <w:tcPr>
            <w:tcW w:type="dxa" w:w="3289"/>
            <w:vAlign w:val="top"/>
            <w:shd w:fill="A80000"/>
          </w:tcPr>
          <w:p>
            <w:pPr>
              <w:spacing w:after="30"/>
            </w:pPr>
            <w:r>
              <w:rPr>
                <w:rFonts w:ascii="Aptos" w:hAnsi="Aptos"/>
                <w:b/>
                <w:i w:val="0"/>
                <w:color w:val="FFFFFF"/>
                <w:sz w:val="16"/>
              </w:rPr>
              <w:t>Origen y transformación</w:t>
            </w:r>
          </w:p>
        </w:tc>
        <w:tc>
          <w:tcPr>
            <w:tcW w:type="dxa" w:w="3289"/>
            <w:vAlign w:val="top"/>
            <w:shd w:fill="A80000"/>
          </w:tcPr>
          <w:p>
            <w:pPr>
              <w:spacing w:after="30"/>
            </w:pPr>
            <w:r>
              <w:rPr>
                <w:rFonts w:ascii="Aptos" w:hAnsi="Aptos"/>
                <w:b/>
                <w:i w:val="0"/>
                <w:color w:val="FFFFFF"/>
                <w:sz w:val="16"/>
              </w:rPr>
              <w:t>Función/justificación</w:t>
            </w:r>
          </w:p>
        </w:tc>
      </w:tr>
      <w:tr>
        <w:trPr>
          <w:cantSplit/>
        </w:trPr>
        <w:tc>
          <w:tcPr>
            <w:tcW w:type="dxa" w:w="3289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study_id, code, name</w:t>
            </w:r>
          </w:p>
        </w:tc>
        <w:tc>
          <w:tcPr>
            <w:tcW w:type="dxa" w:w="3289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color w:val="A80000"/>
                <w:sz w:val="16"/>
              </w:rPr>
              <w:t>studies</w:t>
            </w:r>
            <w:r>
              <w:rPr>
                <w:rFonts w:ascii="Aptos" w:hAnsi="Aptos"/>
                <w:b w:val="0"/>
                <w:i w:val="0"/>
                <w:sz w:val="16"/>
              </w:rPr>
              <w:t>, sin transformación sustantiva.</w:t>
            </w:r>
          </w:p>
        </w:tc>
        <w:tc>
          <w:tcPr>
            <w:tcW w:type="dxa" w:w="3289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Auditoría/presentación; excluidos para no memorizar identidad.</w:t>
            </w:r>
          </w:p>
        </w:tc>
      </w:tr>
      <w:tr>
        <w:trPr>
          <w:cantSplit/>
        </w:trPr>
        <w:tc>
          <w:tcPr>
            <w:tcW w:type="dxa" w:w="3289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price</w:t>
            </w:r>
          </w:p>
        </w:tc>
        <w:tc>
          <w:tcPr>
            <w:tcW w:type="dxa" w:w="3289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color w:val="A80000"/>
                <w:sz w:val="16"/>
              </w:rPr>
              <w:t>studies.normalPrice</w:t>
            </w:r>
            <w:r>
              <w:rPr>
                <w:rFonts w:ascii="Aptos" w:hAnsi="Aptos"/>
                <w:b w:val="0"/>
                <w:i w:val="0"/>
                <w:sz w:val="16"/>
              </w:rPr>
              <w:t>; valida, imputa, winsoriza y estandariza.</w:t>
            </w:r>
          </w:p>
        </w:tc>
        <w:tc>
          <w:tcPr>
            <w:tcW w:type="dxa" w:w="3289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X económica conocida en catálogo.</w:t>
            </w:r>
          </w:p>
        </w:tc>
      </w:tr>
      <w:tr>
        <w:trPr>
          <w:cantSplit/>
        </w:trPr>
        <w:tc>
          <w:tcPr>
            <w:tcW w:type="dxa" w:w="3289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delivery_hours</w:t>
            </w:r>
          </w:p>
        </w:tc>
        <w:tc>
          <w:tcPr>
            <w:tcW w:type="dxa" w:w="3289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color w:val="A80000"/>
                <w:sz w:val="16"/>
              </w:rPr>
              <w:t>durationMinutes / 60</w:t>
            </w:r>
            <w:r>
              <w:rPr>
                <w:rFonts w:ascii="Aptos" w:hAnsi="Aptos"/>
                <w:b w:val="0"/>
                <w:i w:val="0"/>
                <w:sz w:val="16"/>
              </w:rPr>
              <w:t>; valida, imputa, winsoriza y estandariza.</w:t>
            </w:r>
          </w:p>
        </w:tc>
        <w:tc>
          <w:tcPr>
            <w:tcW w:type="dxa" w:w="3289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X de tiempo operativo.</w:t>
            </w:r>
          </w:p>
        </w:tc>
      </w:tr>
      <w:tr>
        <w:trPr>
          <w:cantSplit/>
        </w:trPr>
        <w:tc>
          <w:tcPr>
            <w:tcW w:type="dxa" w:w="3289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parameter_count</w:t>
            </w:r>
          </w:p>
        </w:tc>
        <w:tc>
          <w:tcPr>
            <w:tcW w:type="dxa" w:w="3289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 xml:space="preserve">COUNT de parámetros activos en </w:t>
            </w:r>
            <w:r>
              <w:rPr>
                <w:rFonts w:ascii="Aptos" w:hAnsi="Aptos"/>
                <w:b w:val="0"/>
                <w:i w:val="0"/>
                <w:color w:val="A80000"/>
                <w:sz w:val="16"/>
              </w:rPr>
              <w:t>study_details</w:t>
            </w:r>
            <w:r>
              <w:rPr>
                <w:rFonts w:ascii="Aptos" w:hAnsi="Aptos"/>
                <w:b w:val="0"/>
                <w:i w:val="0"/>
                <w:sz w:val="16"/>
              </w:rPr>
              <w:t>.</w:t>
            </w:r>
          </w:p>
        </w:tc>
        <w:tc>
          <w:tcPr>
            <w:tcW w:type="dxa" w:w="3289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X de complejidad.</w:t>
            </w:r>
          </w:p>
        </w:tc>
      </w:tr>
      <w:tr>
        <w:trPr>
          <w:cantSplit/>
        </w:trPr>
        <w:tc>
          <w:tcPr>
            <w:tcW w:type="dxa" w:w="3289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request_count</w:t>
            </w:r>
          </w:p>
        </w:tc>
        <w:tc>
          <w:tcPr>
            <w:tcW w:type="dxa" w:w="3289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SUM(quantity) por estudio en órdenes válidas antes del corte.</w:t>
            </w:r>
          </w:p>
        </w:tc>
        <w:tc>
          <w:tcPr>
            <w:tcW w:type="dxa" w:w="3289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X de demanda histórica disponible al ejecutar.</w:t>
            </w:r>
          </w:p>
        </w:tc>
      </w:tr>
      <w:tr>
        <w:trPr>
          <w:cantSplit/>
        </w:trPr>
        <w:tc>
          <w:tcPr>
            <w:tcW w:type="dxa" w:w="3289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sample_type</w:t>
            </w:r>
          </w:p>
        </w:tc>
        <w:tc>
          <w:tcPr>
            <w:tcW w:type="dxa" w:w="3289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color w:val="A80000"/>
                <w:sz w:val="16"/>
              </w:rPr>
              <w:t>studies.sampleType</w:t>
            </w:r>
            <w:r>
              <w:rPr>
                <w:rFonts w:ascii="Aptos" w:hAnsi="Aptos"/>
                <w:b w:val="0"/>
                <w:i w:val="0"/>
                <w:sz w:val="16"/>
              </w:rPr>
              <w:t>; normalización y one-hot.</w:t>
            </w:r>
          </w:p>
        </w:tc>
        <w:tc>
          <w:tcPr>
            <w:tcW w:type="dxa" w:w="3289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X de operación de muestra.</w:t>
            </w:r>
          </w:p>
        </w:tc>
      </w:tr>
      <w:tr>
        <w:trPr>
          <w:cantSplit/>
        </w:trPr>
        <w:tc>
          <w:tcPr>
            <w:tcW w:type="dxa" w:w="3289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analysis_method</w:t>
            </w:r>
          </w:p>
        </w:tc>
        <w:tc>
          <w:tcPr>
            <w:tcW w:type="dxa" w:w="3289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color w:val="A80000"/>
                <w:sz w:val="16"/>
              </w:rPr>
              <w:t>studies.method</w:t>
            </w:r>
            <w:r>
              <w:rPr>
                <w:rFonts w:ascii="Aptos" w:hAnsi="Aptos"/>
                <w:b w:val="0"/>
                <w:i w:val="0"/>
                <w:sz w:val="16"/>
              </w:rPr>
              <w:t>; normalización y one-hot.</w:t>
            </w:r>
          </w:p>
        </w:tc>
        <w:tc>
          <w:tcPr>
            <w:tcW w:type="dxa" w:w="3289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X de tecnología/equipo.</w:t>
            </w:r>
          </w:p>
        </w:tc>
      </w:tr>
      <w:tr>
        <w:trPr>
          <w:cantSplit/>
        </w:trPr>
        <w:tc>
          <w:tcPr>
            <w:tcW w:type="dxa" w:w="3289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requires_special_processing</w:t>
            </w:r>
          </w:p>
        </w:tc>
        <w:tc>
          <w:tcPr>
            <w:tcW w:type="dxa" w:w="3289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color w:val="A80000"/>
                <w:sz w:val="16"/>
              </w:rPr>
              <w:t>studies.requiresSpecialProcessing</w:t>
            </w:r>
            <w:r>
              <w:rPr>
                <w:rFonts w:ascii="Aptos" w:hAnsi="Aptos"/>
                <w:b w:val="0"/>
                <w:i w:val="0"/>
                <w:sz w:val="16"/>
              </w:rPr>
              <w:t>; moda y 0/1.</w:t>
            </w:r>
          </w:p>
        </w:tc>
        <w:tc>
          <w:tcPr>
            <w:tcW w:type="dxa" w:w="3289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X binaria de complejidad.</w:t>
            </w:r>
          </w:p>
        </w:tc>
      </w:tr>
      <w:tr>
        <w:trPr>
          <w:cantSplit/>
        </w:trPr>
        <w:tc>
          <w:tcPr>
            <w:tcW w:type="dxa" w:w="3289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synthetic_request_count, is_synthetic</w:t>
            </w:r>
          </w:p>
        </w:tc>
        <w:tc>
          <w:tcPr>
            <w:tcW w:type="dxa" w:w="3289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Patrones ECO-ML/ECN-CAT.</w:t>
            </w:r>
          </w:p>
        </w:tc>
        <w:tc>
          <w:tcPr>
            <w:tcW w:type="dxa" w:w="3289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Auditoría de procedencia; nunca X.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b w:val="0"/>
          <w:i w:val="0"/>
        </w:rPr>
        <w:t>11.2 Trazabilidad — regresión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cantSplit/>
          <w:tblHeader w:val="true"/>
        </w:trPr>
        <w:tc>
          <w:tcPr>
            <w:tcW w:type="dxa" w:w="3289"/>
            <w:vAlign w:val="top"/>
            <w:shd w:fill="A80000"/>
          </w:tcPr>
          <w:p>
            <w:pPr>
              <w:spacing w:after="30"/>
            </w:pPr>
            <w:r>
              <w:rPr>
                <w:rFonts w:ascii="Aptos" w:hAnsi="Aptos"/>
                <w:b/>
                <w:i w:val="0"/>
                <w:color w:val="FFFFFF"/>
                <w:sz w:val="16"/>
              </w:rPr>
              <w:t>Columna</w:t>
            </w:r>
          </w:p>
        </w:tc>
        <w:tc>
          <w:tcPr>
            <w:tcW w:type="dxa" w:w="3289"/>
            <w:vAlign w:val="top"/>
            <w:shd w:fill="A80000"/>
          </w:tcPr>
          <w:p>
            <w:pPr>
              <w:spacing w:after="30"/>
            </w:pPr>
            <w:r>
              <w:rPr>
                <w:rFonts w:ascii="Aptos" w:hAnsi="Aptos"/>
                <w:b/>
                <w:i w:val="0"/>
                <w:color w:val="FFFFFF"/>
                <w:sz w:val="16"/>
              </w:rPr>
              <w:t>Origen y transformación</w:t>
            </w:r>
          </w:p>
        </w:tc>
        <w:tc>
          <w:tcPr>
            <w:tcW w:type="dxa" w:w="3289"/>
            <w:vAlign w:val="top"/>
            <w:shd w:fill="A80000"/>
          </w:tcPr>
          <w:p>
            <w:pPr>
              <w:spacing w:after="30"/>
            </w:pPr>
            <w:r>
              <w:rPr>
                <w:rFonts w:ascii="Aptos" w:hAnsi="Aptos"/>
                <w:b/>
                <w:i w:val="0"/>
                <w:color w:val="FFFFFF"/>
                <w:sz w:val="16"/>
              </w:rPr>
              <w:t>Función/justificación</w:t>
            </w:r>
          </w:p>
        </w:tc>
      </w:tr>
      <w:tr>
        <w:trPr>
          <w:cantSplit/>
        </w:trPr>
        <w:tc>
          <w:tcPr>
            <w:tcW w:type="dxa" w:w="3289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study_id, study_code, study_name</w:t>
            </w:r>
          </w:p>
        </w:tc>
        <w:tc>
          <w:tcPr>
            <w:tcW w:type="dxa" w:w="3289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color w:val="A80000"/>
                <w:sz w:val="16"/>
              </w:rPr>
              <w:t>studies</w:t>
            </w:r>
            <w:r>
              <w:rPr>
                <w:rFonts w:ascii="Aptos" w:hAnsi="Aptos"/>
                <w:b w:val="0"/>
                <w:i w:val="0"/>
                <w:sz w:val="16"/>
              </w:rPr>
              <w:t>, sin cambio.</w:t>
            </w:r>
          </w:p>
        </w:tc>
        <w:tc>
          <w:tcPr>
            <w:tcW w:type="dxa" w:w="3289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Auditoría; nunca X.</w:t>
            </w:r>
          </w:p>
        </w:tc>
      </w:tr>
      <w:tr>
        <w:trPr>
          <w:cantSplit/>
        </w:trPr>
        <w:tc>
          <w:tcPr>
            <w:tcW w:type="dxa" w:w="3289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is_synthetic</w:t>
            </w:r>
          </w:p>
        </w:tc>
        <w:tc>
          <w:tcPr>
            <w:tcW w:type="dxa" w:w="3289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Patrón reservado del código.</w:t>
            </w:r>
          </w:p>
        </w:tc>
        <w:tc>
          <w:tcPr>
            <w:tcW w:type="dxa" w:w="3289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Auditoría y evaluación por origen; nunca X.</w:t>
            </w:r>
          </w:p>
        </w:tc>
      </w:tr>
      <w:tr>
        <w:trPr>
          <w:cantSplit/>
        </w:trPr>
        <w:tc>
          <w:tcPr>
            <w:tcW w:type="dxa" w:w="3289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type</w:t>
            </w:r>
          </w:p>
        </w:tc>
        <w:tc>
          <w:tcPr>
            <w:tcW w:type="dxa" w:w="3289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color w:val="A80000"/>
                <w:sz w:val="16"/>
              </w:rPr>
              <w:t>studies.type</w:t>
            </w:r>
            <w:r>
              <w:rPr>
                <w:rFonts w:ascii="Aptos" w:hAnsi="Aptos"/>
                <w:b w:val="0"/>
                <w:i w:val="0"/>
                <w:sz w:val="16"/>
              </w:rPr>
              <w:t xml:space="preserve">; filtro </w:t>
            </w:r>
            <w:r>
              <w:rPr>
                <w:rFonts w:ascii="Aptos" w:hAnsi="Aptos"/>
                <w:b w:val="0"/>
                <w:i w:val="0"/>
                <w:color w:val="A80000"/>
                <w:sz w:val="16"/>
              </w:rPr>
              <w:t>study</w:t>
            </w:r>
            <w:r>
              <w:rPr>
                <w:rFonts w:ascii="Aptos" w:hAnsi="Aptos"/>
                <w:b w:val="0"/>
                <w:i w:val="0"/>
                <w:sz w:val="16"/>
              </w:rPr>
              <w:t>.</w:t>
            </w:r>
          </w:p>
        </w:tc>
        <w:tc>
          <w:tcPr>
            <w:tcW w:type="dxa" w:w="3289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Demuestra población; constante y no X.</w:t>
            </w:r>
          </w:p>
        </w:tc>
      </w:tr>
      <w:tr>
        <w:trPr>
          <w:cantSplit/>
        </w:trPr>
        <w:tc>
          <w:tcPr>
            <w:tcW w:type="dxa" w:w="3289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method</w:t>
            </w:r>
          </w:p>
        </w:tc>
        <w:tc>
          <w:tcPr>
            <w:tcW w:type="dxa" w:w="3289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color w:val="A80000"/>
                <w:sz w:val="16"/>
              </w:rPr>
              <w:t>studies.method</w:t>
            </w:r>
            <w:r>
              <w:rPr>
                <w:rFonts w:ascii="Aptos" w:hAnsi="Aptos"/>
                <w:b w:val="0"/>
                <w:i w:val="0"/>
                <w:sz w:val="16"/>
              </w:rPr>
              <w:t>; vacío a SIN_METODO y one-hot.</w:t>
            </w:r>
          </w:p>
        </w:tc>
        <w:tc>
          <w:tcPr>
            <w:tcW w:type="dxa" w:w="3289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X conocida al registrar; aproxima tecnología/costo.</w:t>
            </w:r>
          </w:p>
        </w:tc>
      </w:tr>
      <w:tr>
        <w:trPr>
          <w:cantSplit/>
        </w:trPr>
        <w:tc>
          <w:tcPr>
            <w:tcW w:type="dxa" w:w="3289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parameter_count</w:t>
            </w:r>
          </w:p>
        </w:tc>
        <w:tc>
          <w:tcPr>
            <w:tcW w:type="dxa" w:w="3289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COUNT de parámetros activos por study_id; estandarización.</w:t>
            </w:r>
          </w:p>
        </w:tc>
        <w:tc>
          <w:tcPr>
            <w:tcW w:type="dxa" w:w="3289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X de complejidad conocida.</w:t>
            </w:r>
          </w:p>
        </w:tc>
      </w:tr>
      <w:tr>
        <w:trPr>
          <w:cantSplit/>
        </w:trPr>
        <w:tc>
          <w:tcPr>
            <w:tcW w:type="dxa" w:w="3289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normal_price</w:t>
            </w:r>
          </w:p>
        </w:tc>
        <w:tc>
          <w:tcPr>
            <w:tcW w:type="dxa" w:w="3289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color w:val="A80000"/>
                <w:sz w:val="16"/>
              </w:rPr>
              <w:t>studies.normalPrice</w:t>
            </w:r>
            <w:r>
              <w:rPr>
                <w:rFonts w:ascii="Aptos" w:hAnsi="Aptos"/>
                <w:b w:val="0"/>
                <w:i w:val="0"/>
                <w:sz w:val="16"/>
              </w:rPr>
              <w:t>; precio positivo.</w:t>
            </w:r>
          </w:p>
        </w:tc>
        <w:tc>
          <w:tcPr>
            <w:tcW w:type="dxa" w:w="3289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Y continua en MXN; nunca X.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b w:val="0"/>
          <w:i w:val="0"/>
        </w:rPr>
        <w:t>11.3 Trazabilidad — clasificación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cantSplit/>
          <w:tblHeader w:val="true"/>
        </w:trPr>
        <w:tc>
          <w:tcPr>
            <w:tcW w:type="dxa" w:w="3289"/>
            <w:vAlign w:val="top"/>
            <w:shd w:fill="A80000"/>
          </w:tcPr>
          <w:p>
            <w:pPr>
              <w:spacing w:after="30"/>
            </w:pPr>
            <w:r>
              <w:rPr>
                <w:rFonts w:ascii="Aptos" w:hAnsi="Aptos"/>
                <w:b/>
                <w:i w:val="0"/>
                <w:color w:val="FFFFFF"/>
                <w:sz w:val="16"/>
              </w:rPr>
              <w:t>Columna</w:t>
            </w:r>
          </w:p>
        </w:tc>
        <w:tc>
          <w:tcPr>
            <w:tcW w:type="dxa" w:w="3289"/>
            <w:vAlign w:val="top"/>
            <w:shd w:fill="A80000"/>
          </w:tcPr>
          <w:p>
            <w:pPr>
              <w:spacing w:after="30"/>
            </w:pPr>
            <w:r>
              <w:rPr>
                <w:rFonts w:ascii="Aptos" w:hAnsi="Aptos"/>
                <w:b/>
                <w:i w:val="0"/>
                <w:color w:val="FFFFFF"/>
                <w:sz w:val="16"/>
              </w:rPr>
              <w:t>Origen y transformación</w:t>
            </w:r>
          </w:p>
        </w:tc>
        <w:tc>
          <w:tcPr>
            <w:tcW w:type="dxa" w:w="3289"/>
            <w:vAlign w:val="top"/>
            <w:shd w:fill="A80000"/>
          </w:tcPr>
          <w:p>
            <w:pPr>
              <w:spacing w:after="30"/>
            </w:pPr>
            <w:r>
              <w:rPr>
                <w:rFonts w:ascii="Aptos" w:hAnsi="Aptos"/>
                <w:b/>
                <w:i w:val="0"/>
                <w:color w:val="FFFFFF"/>
                <w:sz w:val="16"/>
              </w:rPr>
              <w:t>Función/justificación</w:t>
            </w:r>
          </w:p>
        </w:tc>
      </w:tr>
      <w:tr>
        <w:trPr>
          <w:cantSplit/>
        </w:trPr>
        <w:tc>
          <w:tcPr>
            <w:tcW w:type="dxa" w:w="3289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order_id, source_folio</w:t>
            </w:r>
          </w:p>
        </w:tc>
        <w:tc>
          <w:tcPr>
            <w:tcW w:type="dxa" w:w="3289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color w:val="A80000"/>
                <w:sz w:val="16"/>
              </w:rPr>
              <w:t>service_orders</w:t>
            </w:r>
            <w:r>
              <w:rPr>
                <w:rFonts w:ascii="Aptos" w:hAnsi="Aptos"/>
                <w:b w:val="0"/>
                <w:i w:val="0"/>
                <w:sz w:val="16"/>
              </w:rPr>
              <w:t>; folio real seudonimizado.</w:t>
            </w:r>
          </w:p>
        </w:tc>
        <w:tc>
          <w:tcPr>
            <w:tcW w:type="dxa" w:w="3289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Deduplicación/auditoría; nunca X.</w:t>
            </w:r>
          </w:p>
        </w:tc>
      </w:tr>
      <w:tr>
        <w:trPr>
          <w:cantSplit/>
        </w:trPr>
        <w:tc>
          <w:tcPr>
            <w:tcW w:type="dxa" w:w="3289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source_created_at, source_updated_at</w:t>
            </w:r>
          </w:p>
        </w:tc>
        <w:tc>
          <w:tcPr>
            <w:tcW w:type="dxa" w:w="3289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Fechas fuente en ISO.</w:t>
            </w:r>
          </w:p>
        </w:tc>
        <w:tc>
          <w:tcPr>
            <w:tcW w:type="dxa" w:w="3289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Orden del split/marca de agua; nunca X.</w:t>
            </w:r>
          </w:p>
        </w:tc>
      </w:tr>
      <w:tr>
        <w:trPr>
          <w:cantSplit/>
        </w:trPr>
        <w:tc>
          <w:tcPr>
            <w:tcW w:type="dxa" w:w="3289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is_synthetic</w:t>
            </w:r>
          </w:p>
        </w:tc>
        <w:tc>
          <w:tcPr>
            <w:tcW w:type="dxa" w:w="3289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Patrón ECO-ML.</w:t>
            </w:r>
          </w:p>
        </w:tc>
        <w:tc>
          <w:tcPr>
            <w:tcW w:type="dxa" w:w="3289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Auditoría; nunca X.</w:t>
            </w:r>
          </w:p>
        </w:tc>
      </w:tr>
      <w:tr>
        <w:trPr>
          <w:cantSplit/>
        </w:trPr>
        <w:tc>
          <w:tcPr>
            <w:tcW w:type="dxa" w:w="3289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promised_lead_hours</w:t>
            </w:r>
          </w:p>
        </w:tc>
        <w:tc>
          <w:tcPr>
            <w:tcW w:type="dxa" w:w="3289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color w:val="A80000"/>
                <w:sz w:val="16"/>
              </w:rPr>
              <w:t>deliveryAt - COALESCE(sampleAt, createdAt)</w:t>
            </w:r>
            <w:r>
              <w:rPr>
                <w:rFonts w:ascii="Aptos" w:hAnsi="Aptos"/>
                <w:b w:val="0"/>
                <w:i w:val="0"/>
                <w:sz w:val="16"/>
              </w:rPr>
              <w:t>.</w:t>
            </w:r>
          </w:p>
        </w:tc>
        <w:tc>
          <w:tcPr>
            <w:tcW w:type="dxa" w:w="3289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X de holgura conocida antes del alta.</w:t>
            </w:r>
          </w:p>
        </w:tc>
      </w:tr>
      <w:tr>
        <w:trPr>
          <w:cantSplit/>
        </w:trPr>
        <w:tc>
          <w:tcPr>
            <w:tcW w:type="dxa" w:w="3289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registration_hour, registration_weekday</w:t>
            </w:r>
          </w:p>
        </w:tc>
        <w:tc>
          <w:tcPr>
            <w:tcW w:type="dxa" w:w="3289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 xml:space="preserve">Hora decimal y día derivados de </w:t>
            </w:r>
            <w:r>
              <w:rPr>
                <w:rFonts w:ascii="Aptos" w:hAnsi="Aptos"/>
                <w:b w:val="0"/>
                <w:i w:val="0"/>
                <w:color w:val="A80000"/>
                <w:sz w:val="16"/>
              </w:rPr>
              <w:t>createdAt</w:t>
            </w:r>
            <w:r>
              <w:rPr>
                <w:rFonts w:ascii="Aptos" w:hAnsi="Aptos"/>
                <w:b w:val="0"/>
                <w:i w:val="0"/>
                <w:sz w:val="16"/>
              </w:rPr>
              <w:t>.</w:t>
            </w:r>
          </w:p>
        </w:tc>
        <w:tc>
          <w:tcPr>
            <w:tcW w:type="dxa" w:w="3289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X de turno/carga.</w:t>
            </w:r>
          </w:p>
        </w:tc>
      </w:tr>
      <w:tr>
        <w:trPr>
          <w:cantSplit/>
        </w:trPr>
        <w:tc>
          <w:tcPr>
            <w:tcW w:type="dxa" w:w="3289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item_count, total_quantity, distinct_study_count</w:t>
            </w:r>
          </w:p>
        </w:tc>
        <w:tc>
          <w:tcPr>
            <w:tcW w:type="dxa" w:w="3289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COUNT/SUM/COUNT DISTINCT de ítems.</w:t>
            </w:r>
          </w:p>
        </w:tc>
        <w:tc>
          <w:tcPr>
            <w:tcW w:type="dxa" w:w="3289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X de volumen y diversidad.</w:t>
            </w:r>
          </w:p>
        </w:tc>
      </w:tr>
      <w:tr>
        <w:trPr>
          <w:cantSplit/>
        </w:trPr>
        <w:tc>
          <w:tcPr>
            <w:tcW w:type="dxa" w:w="3289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package_component_count</w:t>
            </w:r>
          </w:p>
        </w:tc>
        <w:tc>
          <w:tcPr>
            <w:tcW w:type="dxa" w:w="3289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 xml:space="preserve">COUNT de </w:t>
            </w:r>
            <w:r>
              <w:rPr>
                <w:rFonts w:ascii="Aptos" w:hAnsi="Aptos"/>
                <w:b w:val="0"/>
                <w:i w:val="0"/>
                <w:color w:val="A80000"/>
                <w:sz w:val="16"/>
              </w:rPr>
              <w:t>source_package_id</w:t>
            </w:r>
            <w:r>
              <w:rPr>
                <w:rFonts w:ascii="Aptos" w:hAnsi="Aptos"/>
                <w:b w:val="0"/>
                <w:i w:val="0"/>
                <w:sz w:val="16"/>
              </w:rPr>
              <w:t xml:space="preserve"> no nulo.</w:t>
            </w:r>
          </w:p>
        </w:tc>
        <w:tc>
          <w:tcPr>
            <w:tcW w:type="dxa" w:w="3289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Candidata conservada en CSV; excluida del artefacto porque 99.61% de train vale cero.</w:t>
            </w:r>
          </w:p>
        </w:tc>
      </w:tr>
      <w:tr>
        <w:trPr>
          <w:cantSplit/>
        </w:trPr>
        <w:tc>
          <w:tcPr>
            <w:tcW w:type="dxa" w:w="3289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subtotal_amount, courtesy_percent, discount_amount, total_amount</w:t>
            </w:r>
          </w:p>
        </w:tc>
        <w:tc>
          <w:tcPr>
            <w:tcW w:type="dxa" w:w="3289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 xml:space="preserve">Importes de </w:t>
            </w:r>
            <w:r>
              <w:rPr>
                <w:rFonts w:ascii="Aptos" w:hAnsi="Aptos"/>
                <w:b w:val="0"/>
                <w:i w:val="0"/>
                <w:color w:val="A80000"/>
                <w:sz w:val="16"/>
              </w:rPr>
              <w:t>service_orders</w:t>
            </w:r>
            <w:r>
              <w:rPr>
                <w:rFonts w:ascii="Aptos" w:hAnsi="Aptos"/>
                <w:b w:val="0"/>
                <w:i w:val="0"/>
                <w:sz w:val="16"/>
              </w:rPr>
              <w:t>, validados.</w:t>
            </w:r>
          </w:p>
        </w:tc>
        <w:tc>
          <w:tcPr>
            <w:tcW w:type="dxa" w:w="3289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X económicas disponibles antes de guardar.</w:t>
            </w:r>
          </w:p>
        </w:tc>
      </w:tr>
      <w:tr>
        <w:trPr>
          <w:cantSplit/>
        </w:trPr>
        <w:tc>
          <w:tcPr>
            <w:tcW w:type="dxa" w:w="3289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branch_name</w:t>
            </w:r>
          </w:p>
        </w:tc>
        <w:tc>
          <w:tcPr>
            <w:tcW w:type="dxa" w:w="3289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Sucursal normalizada y one-hot.</w:t>
            </w:r>
          </w:p>
        </w:tc>
        <w:tc>
          <w:tcPr>
            <w:tcW w:type="dxa" w:w="3289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X de contexto/capacidad.</w:t>
            </w:r>
          </w:p>
        </w:tc>
      </w:tr>
      <w:tr>
        <w:trPr>
          <w:cantSplit/>
        </w:trPr>
        <w:tc>
          <w:tcPr>
            <w:tcW w:type="dxa" w:w="3289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dominant_price_type</w:t>
            </w:r>
          </w:p>
        </w:tc>
        <w:tc>
          <w:tcPr>
            <w:tcW w:type="dxa" w:w="3289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Tarifa con mayor cantidad; desempate determinista.</w:t>
            </w:r>
          </w:p>
        </w:tc>
        <w:tc>
          <w:tcPr>
            <w:tcW w:type="dxa" w:w="3289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X categórica de mezcla tarifaria.</w:t>
            </w:r>
          </w:p>
        </w:tc>
      </w:tr>
      <w:tr>
        <w:trPr>
          <w:cantSplit/>
        </w:trPr>
        <w:tc>
          <w:tcPr>
            <w:tcW w:type="dxa" w:w="3289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outcome</w:t>
            </w:r>
          </w:p>
        </w:tc>
        <w:tc>
          <w:tcPr>
            <w:tcW w:type="dxa" w:w="3289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CASE con estado y fechas finales.</w:t>
            </w:r>
          </w:p>
        </w:tc>
        <w:tc>
          <w:tcPr>
            <w:tcW w:type="dxa" w:w="3289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Y histórica; sus fuentes no entran a X.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b w:val="0"/>
          <w:i w:val="0"/>
        </w:rPr>
        <w:t>11.4 Mapa del código que se puede mostrar en la exposición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 w:val="true"/>
        </w:trPr>
        <w:tc>
          <w:tcPr>
            <w:tcW w:type="dxa" w:w="4933"/>
            <w:vAlign w:val="top"/>
            <w:shd w:fill="A80000"/>
          </w:tcPr>
          <w:p>
            <w:pPr>
              <w:spacing w:after="30"/>
            </w:pPr>
            <w:r>
              <w:rPr>
                <w:rFonts w:ascii="Aptos" w:hAnsi="Aptos"/>
                <w:b/>
                <w:i w:val="0"/>
                <w:color w:val="FFFFFF"/>
                <w:sz w:val="16"/>
              </w:rPr>
              <w:t>Qué demostrar</w:t>
            </w:r>
          </w:p>
        </w:tc>
        <w:tc>
          <w:tcPr>
            <w:tcW w:type="dxa" w:w="4933"/>
            <w:vAlign w:val="top"/>
            <w:shd w:fill="A80000"/>
          </w:tcPr>
          <w:p>
            <w:pPr>
              <w:spacing w:after="30"/>
            </w:pPr>
            <w:r>
              <w:rPr>
                <w:rFonts w:ascii="Aptos" w:hAnsi="Aptos"/>
                <w:b/>
                <w:i w:val="0"/>
                <w:color w:val="FFFFFF"/>
                <w:sz w:val="16"/>
              </w:rPr>
              <w:t>Archivo principal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SQL que extrae y crea cada dataset</w:t>
            </w:r>
          </w:p>
        </w:tc>
        <w:tc>
          <w:tcPr>
            <w:tcW w:type="dxa" w:w="4933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color w:val="A80000"/>
                <w:sz w:val="16"/>
              </w:rPr>
              <w:t>04_ETL/clustering_etl.sql</w:t>
            </w:r>
            <w:r>
              <w:rPr>
                <w:rFonts w:ascii="Aptos" w:hAnsi="Aptos"/>
                <w:b w:val="0"/>
                <w:i w:val="0"/>
                <w:sz w:val="16"/>
              </w:rPr>
              <w:t xml:space="preserve">, </w:t>
            </w:r>
            <w:r>
              <w:rPr>
                <w:rFonts w:ascii="Aptos" w:hAnsi="Aptos"/>
                <w:b w:val="0"/>
                <w:i w:val="0"/>
                <w:color w:val="A80000"/>
                <w:sz w:val="16"/>
              </w:rPr>
              <w:t>02_regresion_extraer_dataset.sql</w:t>
            </w:r>
            <w:r>
              <w:rPr>
                <w:rFonts w:ascii="Aptos" w:hAnsi="Aptos"/>
                <w:b w:val="0"/>
                <w:i w:val="0"/>
                <w:sz w:val="16"/>
              </w:rPr>
              <w:t xml:space="preserve"> y </w:t>
            </w:r>
            <w:r>
              <w:rPr>
                <w:rFonts w:ascii="Aptos" w:hAnsi="Aptos"/>
                <w:b w:val="0"/>
                <w:i w:val="0"/>
                <w:color w:val="A80000"/>
                <w:sz w:val="16"/>
              </w:rPr>
              <w:t>03_clasificacion_extraer_dataset.sql</w:t>
            </w:r>
            <w:r>
              <w:rPr>
                <w:rFonts w:ascii="Aptos" w:hAnsi="Aptos"/>
                <w:b w:val="0"/>
                <w:i w:val="0"/>
                <w:sz w:val="16"/>
              </w:rPr>
              <w:t>.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Entrenamiento/evaluación</w:t>
            </w:r>
          </w:p>
        </w:tc>
        <w:tc>
          <w:tcPr>
            <w:tcW w:type="dxa" w:w="4933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 xml:space="preserve">Los tres notebooks en </w:t>
            </w:r>
            <w:r>
              <w:rPr>
                <w:rFonts w:ascii="Aptos" w:hAnsi="Aptos"/>
                <w:b w:val="0"/>
                <w:i w:val="0"/>
                <w:color w:val="A80000"/>
                <w:sz w:val="16"/>
              </w:rPr>
              <w:t>06_Notebooks</w:t>
            </w:r>
            <w:r>
              <w:rPr>
                <w:rFonts w:ascii="Aptos" w:hAnsi="Aptos"/>
                <w:b w:val="0"/>
                <w:i w:val="0"/>
                <w:sz w:val="16"/>
              </w:rPr>
              <w:t xml:space="preserve"> y los entrenadores referidos por sus celdas.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Artefactos exactos</w:t>
            </w:r>
          </w:p>
        </w:tc>
        <w:tc>
          <w:tcPr>
            <w:tcW w:type="dxa" w:w="4933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color w:val="A80000"/>
                <w:sz w:val="16"/>
              </w:rPr>
              <w:t>07_Modelos/*.json</w:t>
            </w:r>
            <w:r>
              <w:rPr>
                <w:rFonts w:ascii="Aptos" w:hAnsi="Aptos"/>
                <w:b w:val="0"/>
                <w:i w:val="0"/>
                <w:sz w:val="16"/>
              </w:rPr>
              <w:t xml:space="preserve"> y copia/ruta desplegada documentada.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Carga y ejecución real</w:t>
            </w:r>
          </w:p>
        </w:tc>
        <w:tc>
          <w:tcPr>
            <w:tcW w:type="dxa" w:w="4933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color w:val="A80000"/>
                <w:sz w:val="16"/>
              </w:rPr>
              <w:t>study-clustering.service.ts</w:t>
            </w:r>
            <w:r>
              <w:rPr>
                <w:rFonts w:ascii="Aptos" w:hAnsi="Aptos"/>
                <w:b w:val="0"/>
                <w:i w:val="0"/>
                <w:sz w:val="16"/>
              </w:rPr>
              <w:t xml:space="preserve">, </w:t>
            </w:r>
            <w:r>
              <w:rPr>
                <w:rFonts w:ascii="Aptos" w:hAnsi="Aptos"/>
                <w:b w:val="0"/>
                <w:i w:val="0"/>
                <w:color w:val="A80000"/>
                <w:sz w:val="16"/>
              </w:rPr>
              <w:t>study-estimation.model.ts</w:t>
            </w:r>
            <w:r>
              <w:rPr>
                <w:rFonts w:ascii="Aptos" w:hAnsi="Aptos"/>
                <w:b w:val="0"/>
                <w:i w:val="0"/>
                <w:sz w:val="16"/>
              </w:rPr>
              <w:t xml:space="preserve"> y </w:t>
            </w:r>
            <w:r>
              <w:rPr>
                <w:rFonts w:ascii="Aptos" w:hAnsi="Aptos"/>
                <w:b w:val="0"/>
                <w:i w:val="0"/>
                <w:color w:val="A80000"/>
                <w:sz w:val="16"/>
              </w:rPr>
              <w:t>service-outcome-prediction.model.ts</w:t>
            </w:r>
            <w:r>
              <w:rPr>
                <w:rFonts w:ascii="Aptos" w:hAnsi="Aptos"/>
                <w:b w:val="0"/>
                <w:i w:val="0"/>
                <w:sz w:val="16"/>
              </w:rPr>
              <w:t>.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>Llamada desde el sistema</w:t>
            </w:r>
          </w:p>
        </w:tc>
        <w:tc>
          <w:tcPr>
            <w:tcW w:type="dxa" w:w="4933"/>
            <w:vAlign w:val="top"/>
          </w:tcPr>
          <w:p>
            <w:pPr>
              <w:spacing w:after="30"/>
            </w:pPr>
            <w:r>
              <w:rPr>
                <w:rFonts w:ascii="Aptos" w:hAnsi="Aptos"/>
                <w:b w:val="0"/>
                <w:i w:val="0"/>
                <w:sz w:val="16"/>
              </w:rPr>
              <w:t xml:space="preserve">Controladores NestJS y componentes React listados en </w:t>
            </w:r>
            <w:r>
              <w:rPr>
                <w:rFonts w:ascii="Aptos" w:hAnsi="Aptos"/>
                <w:b w:val="0"/>
                <w:i w:val="0"/>
                <w:color w:val="A80000"/>
                <w:sz w:val="16"/>
              </w:rPr>
              <w:t>GUIA_CODIGO_TRES_PROPUESTAS_ML.md</w:t>
            </w:r>
            <w:r>
              <w:rPr>
                <w:rFonts w:ascii="Aptos" w:hAnsi="Aptos"/>
                <w:b w:val="0"/>
                <w:i w:val="0"/>
                <w:sz w:val="16"/>
              </w:rPr>
              <w:t>.</w:t>
            </w:r>
          </w:p>
        </w:tc>
      </w:tr>
    </w:tbl>
    <w:p>
      <w:pPr>
        <w:spacing w:after="20"/>
      </w:pPr>
    </w:p>
    <w:p>
      <w:pPr>
        <w:jc w:val="both"/>
      </w:pPr>
      <w:r>
        <w:rPr>
          <w:b w:val="0"/>
          <w:i w:val="0"/>
          <w:color w:val="666666"/>
          <w:sz w:val="16"/>
        </w:rPr>
        <w:t xml:space="preserve">La trazabilidad completa por campo, con tipo final, disponibilidad y aporte individual, se encuentra en </w:t>
      </w:r>
      <w:r>
        <w:rPr>
          <w:rFonts w:ascii="Consolas" w:hAnsi="Consolas"/>
          <w:b w:val="0"/>
          <w:i w:val="0"/>
          <w:color w:val="666666"/>
          <w:sz w:val="16"/>
        </w:rPr>
        <w:t>04_ETL/TRAZABILIDAD_DATASETS.md</w:t>
      </w:r>
      <w:r>
        <w:rPr>
          <w:b w:val="0"/>
          <w:i w:val="0"/>
          <w:color w:val="666666"/>
          <w:sz w:val="16"/>
        </w:rPr>
        <w:t>. Este anexo resume la misma evidencia sin sustituir el archivo ejecutable.</w:t>
      </w:r>
    </w:p>
    <w:sectPr w:rsidR="00FC693F" w:rsidRPr="0006063C" w:rsidSect="00034616">
      <w:headerReference w:type="default" r:id="rId9"/>
      <w:footerReference w:type="default" r:id="rId10"/>
      <w:type w:val="continuous"/>
      <w:pgSz w:w="11906" w:h="16838"/>
      <w:pgMar w:top="1134" w:right="1020" w:bottom="113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Página </w:t>
    </w:r>
    <w:r>
      <w:fldChar w:fldCharType="begin"/>
      <w:instrText xml:space="preserve"> PAGE 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66666"/>
        <w:sz w:val="16"/>
      </w:rPr>
      <w:t>ECONOLAB · Proyecto práctico de Machine Learning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color w:val="20212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A80000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A80000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10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02124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80" w:after="100"/>
      <w:outlineLvl w:val="3"/>
    </w:pPr>
    <w:rPr>
      <w:rFonts w:asciiTheme="majorHAnsi" w:eastAsiaTheme="majorEastAsia" w:hAnsiTheme="majorHAnsi" w:cstheme="majorBidi" w:ascii="Aptos Display" w:hAnsi="Aptos Display"/>
      <w:b/>
      <w:bCs/>
      <w:i/>
      <w:iCs/>
      <w:color w:val="202124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100" w:after="140"/>
    </w:pPr>
    <w:rPr>
      <w:rFonts w:ascii="Consolas" w:hAnsi="Consolas"/>
      <w:color w:val="FFFFFF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Reporte práctico de Machine Learning — ECONOLAB</dc:title>
  <dc:subject>Extracción de conocimiento en bases de datos</dc:subject>
  <dc:creator>Equipo ECONOLAB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