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C5C5C"/>
          <w:spacing w:val="60"/>
          <w:sz w:val="20"/>
          <w:szCs w:val="20"/>
        </w:rPr>
        <w:t xml:space="preserve">HANGR CONSULTANT</w:t>
      </w:r>
    </w:p>
    <w:p>
      <w:pPr>
        <w:spacing w:after="60" w:before="60"/>
      </w:pPr>
      <w:r>
        <w:rPr>
          <w:rFonts w:ascii="Georgia" w:cs="Georgia" w:eastAsia="Georgia" w:hAnsi="Georgia"/>
          <w:b/>
          <w:bCs/>
          <w:color w:val="1A1A1A"/>
          <w:sz w:val="34"/>
          <w:szCs w:val="34"/>
        </w:rPr>
        <w:t xml:space="preserve">An introduction</w:t>
      </w:r>
    </w:p>
    <w:p>
      <w:pPr>
        <w:pBdr>
          <w:bottom w:val="single" w:color="BBBBBB" w:sz="6" w:space="8"/>
        </w:pBdr>
        <w:spacing w:after="160"/>
      </w:pPr>
      <w:r>
        <w:rPr>
          <w:rFonts w:ascii="Calibri" w:cs="Calibri" w:eastAsia="Calibri" w:hAnsi="Calibri"/>
          <w:color w:val="5C5C5C"/>
          <w:sz w:val="20"/>
          <w:szCs w:val="20"/>
        </w:rPr>
        <w:t xml:space="preserve">Prepared for Rita Morrison, Chief Executive Officer, Laundry Association Australia  ·  David Hudson, Hudson Group  ·  August 2026</w:t>
      </w:r>
    </w:p>
    <w:p>
      <w:pPr>
        <w:spacing w:after="120" w:line="276"/>
        <w:jc w:val="left"/>
      </w:pPr>
      <w:r>
        <w:rPr>
          <w:rFonts w:ascii="Calibri" w:cs="Calibri" w:eastAsia="Calibri" w:hAnsi="Calibri"/>
          <w:b w:val="false"/>
          <w:bCs w:val="false"/>
          <w:color w:val="1A1A1A"/>
          <w:sz w:val="22"/>
          <w:szCs w:val="22"/>
        </w:rPr>
        <w:t xml:space="preserve">Dear Rita,</w:t>
      </w:r>
    </w:p>
    <w:p>
      <w:pPr>
        <w:spacing w:after="120" w:line="276"/>
        <w:jc w:val="left"/>
      </w:pPr>
      <w:r>
        <w:rPr>
          <w:rFonts w:ascii="Calibri" w:cs="Calibri" w:eastAsia="Calibri" w:hAnsi="Calibri"/>
          <w:b w:val="false"/>
          <w:bCs w:val="false"/>
          <w:color w:val="1A1A1A"/>
          <w:sz w:val="22"/>
          <w:szCs w:val="22"/>
        </w:rPr>
        <w:t xml:space="preserve">Thank you for the time you gave me when we spoke. As promised, here is the written version of what I have been building, so you can read it properly rather than take my word for it over the phone.</w:t>
      </w:r>
    </w:p>
    <w:p>
      <w:pPr>
        <w:pStyle w:val="Heading2"/>
        <w:spacing w:after="80" w:before="240"/>
      </w:pPr>
      <w:r>
        <w:rPr>
          <w:rFonts w:ascii="Georgia" w:cs="Georgia" w:eastAsia="Georgia" w:hAnsi="Georgia"/>
          <w:b/>
          <w:bCs/>
          <w:color w:val="1A1A1A"/>
          <w:sz w:val="23"/>
          <w:szCs w:val="23"/>
        </w:rPr>
        <w:t xml:space="preserve">What Hangr is</w:t>
      </w:r>
    </w:p>
    <w:p>
      <w:pPr>
        <w:spacing w:after="120" w:line="276"/>
        <w:jc w:val="left"/>
      </w:pPr>
      <w:r>
        <w:rPr>
          <w:rFonts w:ascii="Calibri" w:cs="Calibri" w:eastAsia="Calibri" w:hAnsi="Calibri"/>
          <w:b w:val="false"/>
          <w:bCs w:val="false"/>
          <w:color w:val="1A1A1A"/>
          <w:sz w:val="22"/>
          <w:szCs w:val="22"/>
        </w:rPr>
        <w:t xml:space="preserve">Hangr is an AI consultant built specifically for Australian dry cleaning and laundry operators. It is not a point-of-sale system, a route tracker or a production system — it sits alongside whatever an operator already runs. What it does is answer the questions an operator would otherwise ring a consultant, an HR adviser or a lawyer about, and then produce the document that has to go out afterwards.</w:t>
      </w:r>
    </w:p>
    <w:p>
      <w:pPr>
        <w:pStyle w:val="Heading2"/>
        <w:spacing w:after="80" w:before="240"/>
      </w:pPr>
      <w:r>
        <w:rPr>
          <w:rFonts w:ascii="Georgia" w:cs="Georgia" w:eastAsia="Georgia" w:hAnsi="Georgia"/>
          <w:b/>
          <w:bCs/>
          <w:color w:val="1A1A1A"/>
          <w:sz w:val="23"/>
          <w:szCs w:val="23"/>
        </w:rPr>
        <w:t xml:space="preserve">The problem it is aimed at</w:t>
      </w:r>
    </w:p>
    <w:p>
      <w:pPr>
        <w:spacing w:after="120" w:line="276"/>
        <w:jc w:val="left"/>
      </w:pPr>
      <w:r>
        <w:rPr>
          <w:rFonts w:ascii="Calibri" w:cs="Calibri" w:eastAsia="Calibri" w:hAnsi="Calibri"/>
          <w:b w:val="false"/>
          <w:bCs w:val="false"/>
          <w:color w:val="1A1A1A"/>
          <w:sz w:val="22"/>
          <w:szCs w:val="22"/>
        </w:rPr>
        <w:t xml:space="preserve">In this industry the knowledge that decides an outcome sits in very few heads. An operator facing an angry customer at the counter on a Saturday morning has no framework to work from and nobody to ask, so they either pay out on a garment that was never their fault or refuse one that was, and either way they write a letter that will not survive being read back to them. Behind that sits an award with its own classification structure, work health and safety obligations that differ in every state, environmental requirements for solvent and waste, and staff turnover that means the person at the counter is often three weeks into the job. Hangr puts that knowledge behind a chat window, and puts a defensible document at the end of it.</w:t>
      </w:r>
    </w:p>
    <w:p>
      <w:pPr>
        <w:pStyle w:val="Heading2"/>
        <w:spacing w:after="80" w:before="240"/>
      </w:pPr>
      <w:r>
        <w:rPr>
          <w:rFonts w:ascii="Georgia" w:cs="Georgia" w:eastAsia="Georgia" w:hAnsi="Georgia"/>
          <w:b/>
          <w:bCs/>
          <w:color w:val="1A1A1A"/>
          <w:sz w:val="23"/>
          <w:szCs w:val="23"/>
        </w:rPr>
        <w:t xml:space="preserve">What is in it</w:t>
      </w:r>
    </w:p>
    <w:p>
      <w:pPr>
        <w:pStyle w:val="ListParagraph"/>
        <w:numPr>
          <w:ilvl w:val="0"/>
          <w:numId w:val="2"/>
        </w:numPr>
        <w:spacing w:after="80" w:line="276"/>
      </w:pPr>
      <w:r>
        <w:rPr>
          <w:rFonts w:ascii="Calibri" w:cs="Calibri" w:eastAsia="Calibri" w:hAnsi="Calibri"/>
          <w:b/>
          <w:bCs/>
          <w:color w:val="1A1A1A"/>
          <w:sz w:val="22"/>
          <w:szCs w:val="22"/>
        </w:rPr>
        <w:t xml:space="preserve">Onboarding</w:t>
      </w:r>
      <w:r>
        <w:rPr>
          <w:rFonts w:ascii="Calibri" w:cs="Calibri" w:eastAsia="Calibri" w:hAnsi="Calibri"/>
          <w:b w:val="false"/>
          <w:bCs w:val="false"/>
          <w:color w:val="1A1A1A"/>
          <w:sz w:val="22"/>
          <w:szCs w:val="22"/>
        </w:rPr>
        <w:t xml:space="preserve"> — the business profile: sites, services offered, machinery, solvents, utilities, documents and price list. Everything after this is answered in the context of that specific business.</w:t>
      </w:r>
    </w:p>
    <w:p>
      <w:pPr>
        <w:pStyle w:val="ListParagraph"/>
        <w:numPr>
          <w:ilvl w:val="0"/>
          <w:numId w:val="2"/>
        </w:numPr>
        <w:spacing w:after="80" w:line="276"/>
      </w:pPr>
      <w:r>
        <w:rPr>
          <w:rFonts w:ascii="Calibri" w:cs="Calibri" w:eastAsia="Calibri" w:hAnsi="Calibri"/>
          <w:b/>
          <w:bCs/>
          <w:color w:val="1A1A1A"/>
          <w:sz w:val="22"/>
          <w:szCs w:val="22"/>
        </w:rPr>
        <w:t xml:space="preserve">Chat</w:t>
      </w:r>
      <w:r>
        <w:rPr>
          <w:rFonts w:ascii="Calibri" w:cs="Calibri" w:eastAsia="Calibri" w:hAnsi="Calibri"/>
          <w:b w:val="false"/>
          <w:bCs w:val="false"/>
          <w:color w:val="1A1A1A"/>
          <w:sz w:val="22"/>
          <w:szCs w:val="22"/>
        </w:rPr>
        <w:t xml:space="preserve"> — owner-to-owner advice that knows the operator’s own sites, staff and equipment. Complaints, HR, claims, suppliers, compliance.</w:t>
      </w:r>
    </w:p>
    <w:p>
      <w:pPr>
        <w:pStyle w:val="ListParagraph"/>
        <w:numPr>
          <w:ilvl w:val="0"/>
          <w:numId w:val="2"/>
        </w:numPr>
        <w:spacing w:after="80" w:line="276"/>
      </w:pPr>
      <w:r>
        <w:rPr>
          <w:rFonts w:ascii="Calibri" w:cs="Calibri" w:eastAsia="Calibri" w:hAnsi="Calibri"/>
          <w:b/>
          <w:bCs/>
          <w:color w:val="1A1A1A"/>
          <w:sz w:val="22"/>
          <w:szCs w:val="22"/>
        </w:rPr>
        <w:t xml:space="preserve">Problem Solver</w:t>
      </w:r>
      <w:r>
        <w:rPr>
          <w:rFonts w:ascii="Calibri" w:cs="Calibri" w:eastAsia="Calibri" w:hAnsi="Calibri"/>
          <w:b w:val="false"/>
          <w:bCs w:val="false"/>
          <w:color w:val="1A1A1A"/>
          <w:sz w:val="22"/>
          <w:szCs w:val="22"/>
        </w:rPr>
        <w:t xml:space="preserve"> — the counter report. Staff capture what happened while the customer is still standing there; the report, the advice and any letter stay linked as one thread.</w:t>
      </w:r>
    </w:p>
    <w:p>
      <w:pPr>
        <w:pStyle w:val="ListParagraph"/>
        <w:numPr>
          <w:ilvl w:val="0"/>
          <w:numId w:val="2"/>
        </w:numPr>
        <w:spacing w:after="80" w:line="276"/>
      </w:pPr>
      <w:r>
        <w:rPr>
          <w:rFonts w:ascii="Calibri" w:cs="Calibri" w:eastAsia="Calibri" w:hAnsi="Calibri"/>
          <w:b/>
          <w:bCs/>
          <w:color w:val="1A1A1A"/>
          <w:sz w:val="22"/>
          <w:szCs w:val="22"/>
        </w:rPr>
        <w:t xml:space="preserve">Letters</w:t>
      </w:r>
      <w:r>
        <w:rPr>
          <w:rFonts w:ascii="Calibri" w:cs="Calibri" w:eastAsia="Calibri" w:hAnsi="Calibri"/>
          <w:b w:val="false"/>
          <w:bCs w:val="false"/>
          <w:color w:val="1A1A1A"/>
          <w:sz w:val="22"/>
          <w:szCs w:val="22"/>
        </w:rPr>
        <w:t xml:space="preserve"> — nineteen types across garment and claims work, HR, and commercial documents (quote, request for proposal, scope of works, service request), on the business’s letterhead with its ABN and signature block. The app asks for the facts a defensible letter needs before it will draft one.</w:t>
      </w:r>
    </w:p>
    <w:p>
      <w:pPr>
        <w:pStyle w:val="ListParagraph"/>
        <w:numPr>
          <w:ilvl w:val="0"/>
          <w:numId w:val="2"/>
        </w:numPr>
        <w:spacing w:after="80" w:line="276"/>
      </w:pPr>
      <w:r>
        <w:rPr>
          <w:rFonts w:ascii="Calibri" w:cs="Calibri" w:eastAsia="Calibri" w:hAnsi="Calibri"/>
          <w:b/>
          <w:bCs/>
          <w:color w:val="1A1A1A"/>
          <w:sz w:val="22"/>
          <w:szCs w:val="22"/>
        </w:rPr>
        <w:t xml:space="preserve">Staff</w:t>
      </w:r>
      <w:r>
        <w:rPr>
          <w:rFonts w:ascii="Calibri" w:cs="Calibri" w:eastAsia="Calibri" w:hAnsi="Calibri"/>
          <w:b w:val="false"/>
          <w:bCs w:val="false"/>
          <w:color w:val="1A1A1A"/>
          <w:sz w:val="22"/>
          <w:szCs w:val="22"/>
        </w:rPr>
        <w:t xml:space="preserve"> — the team on file, with classification and employment type, and standardised HR letters drafted from the record following a fair-process structure.</w:t>
      </w:r>
    </w:p>
    <w:p>
      <w:pPr>
        <w:pStyle w:val="ListParagraph"/>
        <w:numPr>
          <w:ilvl w:val="0"/>
          <w:numId w:val="2"/>
        </w:numPr>
        <w:spacing w:after="80" w:line="276"/>
      </w:pPr>
      <w:r>
        <w:rPr>
          <w:rFonts w:ascii="Calibri" w:cs="Calibri" w:eastAsia="Calibri" w:hAnsi="Calibri"/>
          <w:b/>
          <w:bCs/>
          <w:color w:val="1A1A1A"/>
          <w:sz w:val="22"/>
          <w:szCs w:val="22"/>
        </w:rPr>
        <w:t xml:space="preserve">Claims</w:t>
      </w:r>
      <w:r>
        <w:rPr>
          <w:rFonts w:ascii="Calibri" w:cs="Calibri" w:eastAsia="Calibri" w:hAnsi="Calibri"/>
          <w:b w:val="false"/>
          <w:bCs w:val="false"/>
          <w:color w:val="1A1A1A"/>
          <w:sz w:val="22"/>
          <w:szCs w:val="22"/>
        </w:rPr>
        <w:t xml:space="preserve"> — a register of every claim: what it was, who was at fault, what was at stake, what was paid. Settlement figures are calculated against the International Fair Claims Guide rather than guessed.</w:t>
      </w:r>
    </w:p>
    <w:p>
      <w:pPr>
        <w:pStyle w:val="ListParagraph"/>
        <w:numPr>
          <w:ilvl w:val="0"/>
          <w:numId w:val="2"/>
        </w:numPr>
        <w:spacing w:after="80" w:line="276"/>
      </w:pPr>
      <w:r>
        <w:rPr>
          <w:rFonts w:ascii="Calibri" w:cs="Calibri" w:eastAsia="Calibri" w:hAnsi="Calibri"/>
          <w:b/>
          <w:bCs/>
          <w:color w:val="1A1A1A"/>
          <w:sz w:val="22"/>
          <w:szCs w:val="22"/>
        </w:rPr>
        <w:t xml:space="preserve">Staff Training</w:t>
      </w:r>
      <w:r>
        <w:rPr>
          <w:rFonts w:ascii="Calibri" w:cs="Calibri" w:eastAsia="Calibri" w:hAnsi="Calibri"/>
          <w:b w:val="false"/>
          <w:bCs w:val="false"/>
          <w:color w:val="1A1A1A"/>
          <w:sz w:val="22"/>
          <w:szCs w:val="22"/>
        </w:rPr>
        <w:t xml:space="preserve"> — six short courses with quizzes and a dated completion register, plus the ability to build courses from the business’s own procedures.</w:t>
      </w:r>
    </w:p>
    <w:p>
      <w:pPr>
        <w:pStyle w:val="ListParagraph"/>
        <w:numPr>
          <w:ilvl w:val="0"/>
          <w:numId w:val="2"/>
        </w:numPr>
        <w:spacing w:after="80" w:line="276"/>
      </w:pPr>
      <w:r>
        <w:rPr>
          <w:rFonts w:ascii="Calibri" w:cs="Calibri" w:eastAsia="Calibri" w:hAnsi="Calibri"/>
          <w:b/>
          <w:bCs/>
          <w:color w:val="1A1A1A"/>
          <w:sz w:val="22"/>
          <w:szCs w:val="22"/>
        </w:rPr>
        <w:t xml:space="preserve">Bill Compare</w:t>
      </w:r>
      <w:r>
        <w:rPr>
          <w:rFonts w:ascii="Calibri" w:cs="Calibri" w:eastAsia="Calibri" w:hAnsi="Calibri"/>
          <w:b w:val="false"/>
          <w:bCs w:val="false"/>
          <w:color w:val="1A1A1A"/>
          <w:sz w:val="22"/>
          <w:szCs w:val="22"/>
        </w:rPr>
        <w:t xml:space="preserve"> — utility bills tracked over time, with a contract-renewal alert before an operator is rolled onto a worse rate. Built, and on the roadmap to switch on after the pilot.</w:t>
      </w:r>
    </w:p>
    <w:p>
      <w:pPr>
        <w:pStyle w:val="Heading2"/>
        <w:spacing w:after="80" w:before="240"/>
      </w:pPr>
      <w:r>
        <w:rPr>
          <w:rFonts w:ascii="Georgia" w:cs="Georgia" w:eastAsia="Georgia" w:hAnsi="Georgia"/>
          <w:b/>
          <w:bCs/>
          <w:color w:val="1A1A1A"/>
          <w:sz w:val="23"/>
          <w:szCs w:val="23"/>
        </w:rPr>
        <w:t xml:space="preserve">What it is grounded in</w:t>
      </w:r>
    </w:p>
    <w:p>
      <w:pPr>
        <w:spacing w:after="120" w:line="276"/>
        <w:jc w:val="left"/>
      </w:pPr>
      <w:r>
        <w:rPr>
          <w:rFonts w:ascii="Calibri" w:cs="Calibri" w:eastAsia="Calibri" w:hAnsi="Calibri"/>
          <w:b w:val="false"/>
          <w:bCs w:val="false"/>
          <w:color w:val="1A1A1A"/>
          <w:sz w:val="22"/>
          <w:szCs w:val="22"/>
        </w:rPr>
        <w:t xml:space="preserve">The advice sits on 47 reference documents, all Australian where it matters: the Dry Cleaning and Laundry Industry Award MA000096, Fair Work essentials, superannuation, GST and BAS, payroll tax and workers compensation for every state and territory, Australian Consumer Law service guarantees, the International Fair Claims Guide, thirteen textile-analysis families covering the fabric and finish failures that drive claims, solvent chemistry, equipment troubleshooting, intake procedure, insurance, pricing and marketing — plus work health and safety guidance for all eight states and territories and EPA requirements for six. The app retrieves only what a given question needs, so answers stay specific.</w:t>
      </w:r>
    </w:p>
    <w:p>
      <w:pPr>
        <w:pStyle w:val="Heading2"/>
        <w:spacing w:after="80" w:before="240"/>
      </w:pPr>
      <w:r>
        <w:rPr>
          <w:rFonts w:ascii="Georgia" w:cs="Georgia" w:eastAsia="Georgia" w:hAnsi="Georgia"/>
          <w:b/>
          <w:bCs/>
          <w:color w:val="1A1A1A"/>
          <w:sz w:val="23"/>
          <w:szCs w:val="23"/>
        </w:rPr>
        <w:t xml:space="preserve">The guardrails</w:t>
      </w:r>
    </w:p>
    <w:p>
      <w:pPr>
        <w:spacing w:after="120" w:line="276"/>
        <w:jc w:val="left"/>
      </w:pPr>
      <w:r>
        <w:rPr>
          <w:rFonts w:ascii="Calibri" w:cs="Calibri" w:eastAsia="Calibri" w:hAnsi="Calibri"/>
          <w:b w:val="false"/>
          <w:bCs w:val="false"/>
          <w:color w:val="1A1A1A"/>
          <w:sz w:val="22"/>
          <w:szCs w:val="22"/>
        </w:rPr>
        <w:t xml:space="preserve">Each business’s data is isolated to that business. Staff, manager, admin and owner are separate roles, and the separation is real: HR and financial material is kept out of the AI’s context entirely for a staff login, so it cannot be coaxed into disclosing it. Everything the app produces is a draft for a human to read, edit and sign — HR and legal output is labelled as general information, not advice on a specific dispute. Logins carry two-factor authentication, and letters are emailed from a verified sending domain.</w:t>
      </w:r>
    </w:p>
    <w:p>
      <w:pPr>
        <w:pStyle w:val="Heading2"/>
        <w:spacing w:after="80" w:before="240"/>
      </w:pPr>
      <w:r>
        <w:rPr>
          <w:rFonts w:ascii="Georgia" w:cs="Georgia" w:eastAsia="Georgia" w:hAnsi="Georgia"/>
          <w:b/>
          <w:bCs/>
          <w:color w:val="1A1A1A"/>
          <w:sz w:val="23"/>
          <w:szCs w:val="23"/>
        </w:rPr>
        <w:t xml:space="preserve">Why I wanted the laundry side to see it</w:t>
      </w:r>
    </w:p>
    <w:p>
      <w:pPr>
        <w:spacing w:after="120" w:line="276"/>
        <w:jc w:val="left"/>
      </w:pPr>
      <w:r>
        <w:rPr>
          <w:rFonts w:ascii="Calibri" w:cs="Calibri" w:eastAsia="Calibri" w:hAnsi="Calibri"/>
          <w:b w:val="false"/>
          <w:bCs w:val="false"/>
          <w:color w:val="1A1A1A"/>
          <w:sz w:val="22"/>
          <w:szCs w:val="22"/>
        </w:rPr>
        <w:t xml:space="preserve">Much of what is in there is not dry-cleaning-specific. MA000096 covers the laundry classifications as well as the dry cleaning ones. Hospitality linen, workwear and uniforms, wash and fold, manchester, and commercial contract work are all in the service model, and the commercial letter set — quotes, requests for proposal, scopes of works, service requests — was built for exactly the tendering that contract linen operators do. The work health and safety and environmental material applies across both trades. What I do not have is a laundry operator’s read on where the gaps are, and that is worth more to me at this stage than another feature.</w:t>
      </w:r>
    </w:p>
    <w:p>
      <w:pPr>
        <w:pStyle w:val="Heading2"/>
        <w:spacing w:after="80" w:before="240"/>
      </w:pPr>
      <w:r>
        <w:rPr>
          <w:rFonts w:ascii="Georgia" w:cs="Georgia" w:eastAsia="Georgia" w:hAnsi="Georgia"/>
          <w:b/>
          <w:bCs/>
          <w:color w:val="1A1A1A"/>
          <w:sz w:val="23"/>
          <w:szCs w:val="23"/>
        </w:rPr>
        <w:t xml:space="preserve">Where it is up to, and what I’d ask of you</w:t>
      </w:r>
    </w:p>
    <w:p>
      <w:pPr>
        <w:spacing w:after="120" w:line="276"/>
        <w:jc w:val="left"/>
      </w:pPr>
      <w:r>
        <w:rPr>
          <w:rFonts w:ascii="Calibri" w:cs="Calibri" w:eastAsia="Calibri" w:hAnsi="Calibri"/>
          <w:b w:val="false"/>
          <w:bCs w:val="false"/>
          <w:color w:val="1A1A1A"/>
          <w:sz w:val="22"/>
          <w:szCs w:val="22"/>
        </w:rPr>
        <w:t xml:space="preserve">The build is essentially finished and about to go into pilot with a small number of sites. What I would like from you is, first, a proper look at it — it demonstrates far better than it reads, and half an hour on a screen share would tell you more than this page. Second, your honest view on what laundry members would need that a dry-cleaning-shaped product does not yet do. And if it stands up to that, an introduction to a handful of members willing to run it in a real business for a few months.</w:t>
      </w:r>
    </w:p>
    <w:p>
      <w:pPr>
        <w:spacing w:after="0" w:before="200" w:line="276"/>
      </w:pPr>
      <w:r>
        <w:rPr>
          <w:rFonts w:ascii="Calibri" w:cs="Calibri" w:eastAsia="Calibri" w:hAnsi="Calibri"/>
          <w:color w:val="1A1A1A"/>
          <w:sz w:val="22"/>
          <w:szCs w:val="22"/>
        </w:rPr>
        <w:t xml:space="preserve">I would welcome the chance to show you. Any time that suits you works for me.</w:t>
      </w:r>
    </w:p>
    <w:p>
      <w:pPr>
        <w:spacing w:after="0" w:before="0" w:line="276"/>
      </w:pPr>
      <w:r>
        <w:rPr>
          <w:rFonts w:ascii="Calibri" w:cs="Calibri" w:eastAsia="Calibri" w:hAnsi="Calibri"/>
          <w:color w:val="1A1A1A"/>
          <w:sz w:val="22"/>
          <w:szCs w:val="22"/>
        </w:rPr>
        <w:t xml:space="preserve"/>
      </w:r>
    </w:p>
    <w:p>
      <w:pPr>
        <w:spacing w:after="0" w:before="0" w:line="276"/>
      </w:pPr>
      <w:r>
        <w:rPr>
          <w:rFonts w:ascii="Calibri" w:cs="Calibri" w:eastAsia="Calibri" w:hAnsi="Calibri"/>
          <w:color w:val="1A1A1A"/>
          <w:sz w:val="22"/>
          <w:szCs w:val="22"/>
        </w:rPr>
        <w:t xml:space="preserve">Kind regards,</w:t>
      </w:r>
    </w:p>
    <w:p>
      <w:pPr>
        <w:spacing w:after="0" w:before="0" w:line="276"/>
      </w:pPr>
      <w:r>
        <w:rPr>
          <w:rFonts w:ascii="Calibri" w:cs="Calibri" w:eastAsia="Calibri" w:hAnsi="Calibri"/>
          <w:color w:val="1A1A1A"/>
          <w:sz w:val="22"/>
          <w:szCs w:val="22"/>
        </w:rPr>
        <w:t xml:space="preserve">David Hudson</w:t>
      </w:r>
    </w:p>
    <w:p>
      <w:pPr>
        <w:spacing w:after="0" w:before="0" w:line="276"/>
      </w:pPr>
      <w:r>
        <w:rPr>
          <w:rFonts w:ascii="Calibri" w:cs="Calibri" w:eastAsia="Calibri" w:hAnsi="Calibri"/>
          <w:color w:val="1A1A1A"/>
          <w:sz w:val="22"/>
          <w:szCs w:val="22"/>
        </w:rPr>
        <w:t xml:space="preserve">Hudson Group</w:t>
      </w:r>
    </w:p>
    <w:p>
      <w:pPr>
        <w:spacing w:after="0" w:before="0" w:line="276"/>
      </w:pPr>
      <w:r>
        <w:rPr>
          <w:rFonts w:ascii="Calibri" w:cs="Calibri" w:eastAsia="Calibri" w:hAnsi="Calibri"/>
          <w:color w:val="1A1A1A"/>
          <w:sz w:val="22"/>
          <w:szCs w:val="22"/>
        </w:rPr>
        <w:t xml:space="preserve">david@hudsongroup.com.au</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2026-08-26T10:15:05.951Z</dcterms:created>
  <dcterms:modified xsi:type="dcterms:W3CDTF">2026-08-26T10:15:05.951Z</dcterms:modified>
</cp:coreProperties>
</file>

<file path=docProps/custom.xml><?xml version="1.0" encoding="utf-8"?>
<Properties xmlns="http://schemas.openxmlformats.org/officeDocument/2006/custom-properties" xmlns:vt="http://schemas.openxmlformats.org/officeDocument/2006/docPropsVTypes"/>
</file>