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Productivity Impact Analysis</w:t>
      </w:r>
    </w:p>
    <w:p>
      <w:r>
        <w:t>Engineering Investment ROI Assessment</w:t>
      </w:r>
    </w:p>
    <w:p>
      <w:r>
        <w:t>Prepared: January 5, 2026</w:t>
      </w:r>
    </w:p>
    <w:p/>
    <w:p>
      <w:pPr>
        <w:pStyle w:val="Heading1"/>
      </w:pPr>
      <w:r>
        <w:t>Executive Summary</w:t>
      </w:r>
    </w:p>
    <w:p>
      <w:r>
        <w:t>This analysis quantifies the expected productivity improvements and ROI from the proposed 2026 engineering investment (3 headcount + $150K tools). Based on industry benchmarks and our specific situation, we project significant returns within 12 months.</w:t>
      </w:r>
    </w:p>
    <w:p>
      <w:pPr>
        <w:pStyle w:val="Heading1"/>
      </w:pPr>
      <w:r>
        <w:t>Current State Costs</w:t>
      </w:r>
    </w:p>
    <w:p>
      <w:pPr>
        <w:pStyle w:val="Heading2"/>
      </w:pPr>
      <w:r>
        <w:t>Turnover Costs (2025)</w:t>
      </w:r>
    </w:p>
    <w:tbl>
      <w:tblPr>
        <w:tblStyle w:val="TableGrid"/>
        <w:tblW w:type="auto" w:w="0"/>
        <w:tblLook w:firstColumn="1" w:firstRow="1" w:lastColumn="0" w:lastRow="0" w:noHBand="0" w:noVBand="1" w:val="04A0"/>
      </w:tblPr>
      <w:tblGrid>
        <w:gridCol w:w="4320"/>
        <w:gridCol w:w="4320"/>
      </w:tblGrid>
      <w:tr>
        <w:tc>
          <w:tcPr>
            <w:tcW w:type="dxa" w:w="4320"/>
          </w:tcPr>
          <w:p>
            <w:r>
              <w:t>Employees Lost</w:t>
            </w:r>
          </w:p>
        </w:tc>
        <w:tc>
          <w:tcPr>
            <w:tcW w:type="dxa" w:w="4320"/>
          </w:tcPr>
          <w:p>
            <w:r>
              <w:t>4</w:t>
            </w:r>
          </w:p>
        </w:tc>
      </w:tr>
      <w:tr>
        <w:tc>
          <w:tcPr>
            <w:tcW w:type="dxa" w:w="4320"/>
          </w:tcPr>
          <w:p>
            <w:r>
              <w:t>Avg. Replacement Cost (recruiting, onboarding)</w:t>
            </w:r>
          </w:p>
        </w:tc>
        <w:tc>
          <w:tcPr>
            <w:tcW w:type="dxa" w:w="4320"/>
          </w:tcPr>
          <w:p>
            <w:r>
              <w:t>$45,000</w:t>
            </w:r>
          </w:p>
        </w:tc>
      </w:tr>
      <w:tr>
        <w:tc>
          <w:tcPr>
            <w:tcW w:type="dxa" w:w="4320"/>
          </w:tcPr>
          <w:p>
            <w:r>
              <w:t>Productivity Loss (6-month ramp)</w:t>
            </w:r>
          </w:p>
        </w:tc>
        <w:tc>
          <w:tcPr>
            <w:tcW w:type="dxa" w:w="4320"/>
          </w:tcPr>
          <w:p>
            <w:r>
              <w:t>$60,000 per employee</w:t>
            </w:r>
          </w:p>
        </w:tc>
      </w:tr>
      <w:tr>
        <w:tc>
          <w:tcPr>
            <w:tcW w:type="dxa" w:w="4320"/>
          </w:tcPr>
          <w:p>
            <w:r>
              <w:t>Knowledge Loss (estimated)</w:t>
            </w:r>
          </w:p>
        </w:tc>
        <w:tc>
          <w:tcPr>
            <w:tcW w:type="dxa" w:w="4320"/>
          </w:tcPr>
          <w:p>
            <w:r>
              <w:t>$25,000 per employee</w:t>
            </w:r>
          </w:p>
        </w:tc>
      </w:tr>
      <w:tr>
        <w:tc>
          <w:tcPr>
            <w:tcW w:type="dxa" w:w="4320"/>
          </w:tcPr>
          <w:p>
            <w:r>
              <w:t>Total Turnover Cost (2025)</w:t>
            </w:r>
          </w:p>
        </w:tc>
        <w:tc>
          <w:tcPr>
            <w:tcW w:type="dxa" w:w="4320"/>
          </w:tcPr>
          <w:p>
            <w:r>
              <w:t>$520,000</w:t>
            </w:r>
          </w:p>
        </w:tc>
      </w:tr>
    </w:tbl>
    <w:p/>
    <w:p>
      <w:pPr>
        <w:pStyle w:val="Heading2"/>
      </w:pPr>
      <w:r>
        <w:t>Overtime Costs (2025)</w:t>
      </w:r>
    </w:p>
    <w:tbl>
      <w:tblPr>
        <w:tblStyle w:val="TableGrid"/>
        <w:tblW w:type="auto" w:w="0"/>
        <w:tblLook w:firstColumn="1" w:firstRow="1" w:lastColumn="0" w:lastRow="0" w:noHBand="0" w:noVBand="1" w:val="04A0"/>
      </w:tblPr>
      <w:tblGrid>
        <w:gridCol w:w="4320"/>
        <w:gridCol w:w="4320"/>
      </w:tblGrid>
      <w:tr>
        <w:tc>
          <w:tcPr>
            <w:tcW w:type="dxa" w:w="4320"/>
          </w:tcPr>
          <w:p>
            <w:r>
              <w:t>Total Overtime Hours</w:t>
            </w:r>
          </w:p>
        </w:tc>
        <w:tc>
          <w:tcPr>
            <w:tcW w:type="dxa" w:w="4320"/>
          </w:tcPr>
          <w:p>
            <w:r>
              <w:t>847 hours</w:t>
            </w:r>
          </w:p>
        </w:tc>
      </w:tr>
      <w:tr>
        <w:tc>
          <w:tcPr>
            <w:tcW w:type="dxa" w:w="4320"/>
          </w:tcPr>
          <w:p>
            <w:r>
              <w:t>Blended Hourly Rate (1.5x)</w:t>
            </w:r>
          </w:p>
        </w:tc>
        <w:tc>
          <w:tcPr>
            <w:tcW w:type="dxa" w:w="4320"/>
          </w:tcPr>
          <w:p>
            <w:r>
              <w:t>$95/hour</w:t>
            </w:r>
          </w:p>
        </w:tc>
      </w:tr>
      <w:tr>
        <w:tc>
          <w:tcPr>
            <w:tcW w:type="dxa" w:w="4320"/>
          </w:tcPr>
          <w:p>
            <w:r>
              <w:t>Direct Overtime Cost</w:t>
            </w:r>
          </w:p>
        </w:tc>
        <w:tc>
          <w:tcPr>
            <w:tcW w:type="dxa" w:w="4320"/>
          </w:tcPr>
          <w:p>
            <w:r>
              <w:t>$80,465</w:t>
            </w:r>
          </w:p>
        </w:tc>
      </w:tr>
      <w:tr>
        <w:tc>
          <w:tcPr>
            <w:tcW w:type="dxa" w:w="4320"/>
          </w:tcPr>
          <w:p>
            <w:r>
              <w:t>Productivity Loss (fatigue factor)</w:t>
            </w:r>
          </w:p>
        </w:tc>
        <w:tc>
          <w:tcPr>
            <w:tcW w:type="dxa" w:w="4320"/>
          </w:tcPr>
          <w:p>
            <w:r>
              <w:t>$40,000 estimated</w:t>
            </w:r>
          </w:p>
        </w:tc>
      </w:tr>
    </w:tbl>
    <w:p/>
    <w:p>
      <w:pPr>
        <w:pStyle w:val="Heading1"/>
      </w:pPr>
      <w:r>
        <w:t>Projected ROI from Investment</w:t>
      </w:r>
    </w:p>
    <w:p>
      <w:pPr>
        <w:pStyle w:val="Heading2"/>
      </w:pPr>
      <w:r>
        <w:t>Headcount Investment (3 Engineers)</w:t>
      </w:r>
    </w:p>
    <w:p>
      <w:r>
        <w:t>Total Cost: ~$540,000 (fully loaded)</w:t>
      </w:r>
    </w:p>
    <w:p/>
    <w:p>
      <w:r>
        <w:t>Expected Returns:</w:t>
      </w:r>
    </w:p>
    <w:p>
      <w:pPr>
        <w:pStyle w:val="ListBullet"/>
      </w:pPr>
      <w:r>
        <w:t>Reduced turnover: Save 2 departures = $260,000</w:t>
      </w:r>
    </w:p>
    <w:p>
      <w:pPr>
        <w:pStyle w:val="ListBullet"/>
      </w:pPr>
      <w:r>
        <w:t>Eliminated overtime: Save $120,000</w:t>
      </w:r>
    </w:p>
    <w:p>
      <w:pPr>
        <w:pStyle w:val="ListBullet"/>
      </w:pPr>
      <w:r>
        <w:t>Increased delivery capacity: 1,248 additional engineering hours</w:t>
      </w:r>
    </w:p>
    <w:p>
      <w:pPr>
        <w:pStyle w:val="ListBullet"/>
      </w:pPr>
      <w:r>
        <w:t>Faster time-to-market: Estimated $200,000 in accelerated revenue</w:t>
      </w:r>
    </w:p>
    <w:p>
      <w:pPr>
        <w:pStyle w:val="ListBullet"/>
      </w:pPr>
      <w:r>
        <w:t>Reduced technical debt: $100,000 in avoided future costs</w:t>
      </w:r>
    </w:p>
    <w:p/>
    <w:p>
      <w:pPr>
        <w:pStyle w:val="IntenseQuote"/>
      </w:pPr>
      <w:r>
        <w:t>Projected Year 1 ROI: 126%</w:t>
      </w:r>
    </w:p>
    <w:p>
      <w:pPr>
        <w:pStyle w:val="Heading2"/>
      </w:pPr>
      <w:r>
        <w:t>Tools Investment ($150,000)</w:t>
      </w:r>
    </w:p>
    <w:p>
      <w:r>
        <w:t>Expected Returns:</w:t>
      </w:r>
    </w:p>
    <w:p>
      <w:pPr>
        <w:pStyle w:val="ListBullet"/>
      </w:pPr>
      <w:r>
        <w:t>APM tooling: 40% faster incident resolution = $50,000 saved</w:t>
      </w:r>
    </w:p>
    <w:p>
      <w:pPr>
        <w:pStyle w:val="ListBullet"/>
      </w:pPr>
      <w:r>
        <w:t>Load testing: Prevent 2 major outages = $100,000 saved</w:t>
      </w:r>
    </w:p>
    <w:p>
      <w:pPr>
        <w:pStyle w:val="ListBullet"/>
      </w:pPr>
      <w:r>
        <w:t>Feature flags: 50% faster deployments = $75,000 in velocity gains</w:t>
      </w:r>
    </w:p>
    <w:p>
      <w:pPr>
        <w:pStyle w:val="ListBullet"/>
      </w:pPr>
      <w:r>
        <w:t>Security scanning: Avoid 1 security incident = $200,000+ risk mitigation</w:t>
      </w:r>
    </w:p>
    <w:p/>
    <w:p>
      <w:pPr>
        <w:pStyle w:val="IntenseQuote"/>
      </w:pPr>
      <w:r>
        <w:t>Projected Year 1 ROI: 283%</w:t>
      </w:r>
    </w:p>
    <w:p>
      <w:pPr>
        <w:pStyle w:val="Heading1"/>
      </w:pPr>
      <w:r>
        <w:t>Risk of Not Investing</w:t>
      </w:r>
    </w:p>
    <w:p>
      <w:pPr>
        <w:pStyle w:val="ListBullet"/>
      </w:pPr>
      <w:r>
        <w:t>Continued turnover: Expect 2-3 more departures in 2026 ($390,000+ cost)</w:t>
      </w:r>
    </w:p>
    <w:p>
      <w:pPr>
        <w:pStyle w:val="ListBullet"/>
      </w:pPr>
      <w:r>
        <w:t>Missed commitments: $2M ARR at risk from delayed API v3 migration</w:t>
      </w:r>
    </w:p>
    <w:p>
      <w:pPr>
        <w:pStyle w:val="ListBullet"/>
      </w:pPr>
      <w:r>
        <w:t>Competitive disadvantage: Falling further behind better-resourced competitors</w:t>
      </w:r>
    </w:p>
    <w:p>
      <w:pPr>
        <w:pStyle w:val="ListBullet"/>
      </w:pPr>
      <w:r>
        <w:t>Technical debt: Compounding maintenance burden reducing future velocity</w:t>
      </w:r>
    </w:p>
    <w:p>
      <w:pPr>
        <w:pStyle w:val="ListBullet"/>
      </w:pPr>
      <w:r>
        <w:t>Team morale: Further Glassdoor rating decline affecting recruiting</w:t>
      </w:r>
    </w:p>
    <w:p>
      <w:pPr>
        <w:pStyle w:val="Heading1"/>
      </w:pPr>
      <w:r>
        <w:t>Recommendation</w:t>
      </w:r>
    </w:p>
    <w:p>
      <w:r>
        <w:t>The proposed investment of 3 headcount + $150K tools represents a conservative, high-ROI approach to addressing critical capacity constraints. The investment pays for itself within 12 months through reduced turnover, eliminated overtime, and improved delivery velocity. The cost of inaction significantly exceeds the cost of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