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Engineering Department Goals</w:t>
      </w:r>
    </w:p>
    <w:p>
      <w:r>
        <w:t>Fiscal Year 2026</w:t>
      </w:r>
    </w:p>
    <w:p/>
    <w:p>
      <w:pPr>
        <w:pStyle w:val="Heading1"/>
      </w:pPr>
      <w:r>
        <w:t>Mission Statement</w:t>
      </w:r>
    </w:p>
    <w:p>
      <w:r>
        <w:t>The Product Engineering team builds and maintains the core platform that powers our customers' success. We are committed to delivering reliable, scalable, and innovative solutions while fostering a culture of engineering excellence.</w:t>
      </w:r>
    </w:p>
    <w:p>
      <w:pPr>
        <w:pStyle w:val="Heading1"/>
      </w:pPr>
      <w:r>
        <w:t>Strategic Objectives for 2026</w:t>
      </w:r>
    </w:p>
    <w:p>
      <w:pPr>
        <w:pStyle w:val="Heading2"/>
      </w:pPr>
      <w:r>
        <w:t>Objective 1: Deliver Platform Modernization</w:t>
      </w:r>
    </w:p>
    <w:p>
      <w:r>
        <w:t>Target: Complete API v3 migration and mobile app redesign by Q2 2026</w:t>
      </w:r>
    </w:p>
    <w:p/>
    <w:p>
      <w:pPr>
        <w:pStyle w:val="ListBullet"/>
      </w:pPr>
      <w:r>
        <w:t>KR1: API v3 migration complete with 100% customer adoption by June 30</w:t>
      </w:r>
    </w:p>
    <w:p>
      <w:pPr>
        <w:pStyle w:val="ListBullet"/>
      </w:pPr>
      <w:r>
        <w:t>KR2: Mobile app 2.0 launched with 4.5+ App Store rating</w:t>
      </w:r>
    </w:p>
    <w:p>
      <w:pPr>
        <w:pStyle w:val="ListBullet"/>
      </w:pPr>
      <w:r>
        <w:t>KR3: Zero P0 incidents during migration period</w:t>
      </w:r>
    </w:p>
    <w:p>
      <w:pPr>
        <w:pStyle w:val="ListBullet"/>
      </w:pPr>
      <w:r>
        <w:t>KR4: Customer satisfaction score maintained at 85%+</w:t>
      </w:r>
    </w:p>
    <w:p/>
    <w:p>
      <w:pPr>
        <w:pStyle w:val="IntenseQuote"/>
      </w:pPr>
      <w:r>
        <w:t>Resource Dependency: Requires full team capacity + proposed new hires</w:t>
      </w:r>
    </w:p>
    <w:p>
      <w:pPr>
        <w:pStyle w:val="Heading2"/>
      </w:pPr>
      <w:r>
        <w:t>Objective 2: Achieve SOC 2 Type II Certification</w:t>
      </w:r>
    </w:p>
    <w:p>
      <w:r>
        <w:t>Target: Pass SOC 2 audit by Q3 2026</w:t>
      </w:r>
    </w:p>
    <w:p/>
    <w:p>
      <w:pPr>
        <w:pStyle w:val="ListBullet"/>
      </w:pPr>
      <w:r>
        <w:t>KR1: All critical security controls implemented by March 31</w:t>
      </w:r>
    </w:p>
    <w:p>
      <w:pPr>
        <w:pStyle w:val="ListBullet"/>
      </w:pPr>
      <w:r>
        <w:t>KR2: Audit readiness assessment complete by June 30</w:t>
      </w:r>
    </w:p>
    <w:p>
      <w:pPr>
        <w:pStyle w:val="ListBullet"/>
      </w:pPr>
      <w:r>
        <w:t>KR3: Zero high-severity findings in final audit</w:t>
      </w:r>
    </w:p>
    <w:p>
      <w:pPr>
        <w:pStyle w:val="ListBullet"/>
      </w:pPr>
      <w:r>
        <w:t>KR4: Documentation and evidence collection automated</w:t>
      </w:r>
    </w:p>
    <w:p/>
    <w:p>
      <w:pPr>
        <w:pStyle w:val="IntenseQuote"/>
      </w:pPr>
      <w:r>
        <w:t>Resource Dependency: Security tooling budget + DevOps capacity</w:t>
      </w:r>
    </w:p>
    <w:p>
      <w:pPr>
        <w:pStyle w:val="Heading2"/>
      </w:pPr>
      <w:r>
        <w:t>Objective 3: Improve Engineering Velocity &amp; Quality</w:t>
      </w:r>
    </w:p>
    <w:p>
      <w:r>
        <w:t>Target: 25% improvement in deployment frequency with maintained quality</w:t>
      </w:r>
    </w:p>
    <w:p/>
    <w:p>
      <w:pPr>
        <w:pStyle w:val="ListBullet"/>
      </w:pPr>
      <w:r>
        <w:t>KR1: Deploy frequency increased from weekly to 2x weekly</w:t>
      </w:r>
    </w:p>
    <w:p>
      <w:pPr>
        <w:pStyle w:val="ListBullet"/>
      </w:pPr>
      <w:r>
        <w:t>KR2: Change failure rate reduced from 8% to 4%</w:t>
      </w:r>
    </w:p>
    <w:p>
      <w:pPr>
        <w:pStyle w:val="ListBullet"/>
      </w:pPr>
      <w:r>
        <w:t>KR3: Mean time to recovery (MTTR) reduced from 45 min to 20 min</w:t>
      </w:r>
    </w:p>
    <w:p>
      <w:pPr>
        <w:pStyle w:val="ListBullet"/>
      </w:pPr>
      <w:r>
        <w:t>KR4: Test coverage increased from 65% to 80%</w:t>
      </w:r>
    </w:p>
    <w:p/>
    <w:p>
      <w:pPr>
        <w:pStyle w:val="IntenseQuote"/>
      </w:pPr>
      <w:r>
        <w:t>Resource Dependency: CI/CD tooling investment + APM capabilities</w:t>
      </w:r>
    </w:p>
    <w:p>
      <w:pPr>
        <w:pStyle w:val="Heading2"/>
      </w:pPr>
      <w:r>
        <w:t>Objective 4: Build Sustainable Team Capacity</w:t>
      </w:r>
    </w:p>
    <w:p>
      <w:r>
        <w:t>Target: Reduce team utilization to healthy levels while meeting commitments</w:t>
      </w:r>
    </w:p>
    <w:p/>
    <w:p>
      <w:pPr>
        <w:pStyle w:val="ListBullet"/>
      </w:pPr>
      <w:r>
        <w:t>KR1: Average team utilization reduced from 108% to 85%</w:t>
      </w:r>
    </w:p>
    <w:p>
      <w:pPr>
        <w:pStyle w:val="ListBullet"/>
      </w:pPr>
      <w:r>
        <w:t>KR2: Zero unplanned turnover in 2026</w:t>
      </w:r>
    </w:p>
    <w:p>
      <w:pPr>
        <w:pStyle w:val="ListBullet"/>
      </w:pPr>
      <w:r>
        <w:t>KR3: On-call burden reduced to 1 week per 6 weeks per engineer</w:t>
      </w:r>
    </w:p>
    <w:p>
      <w:pPr>
        <w:pStyle w:val="ListBullet"/>
      </w:pPr>
      <w:r>
        <w:t>KR4: Employee satisfaction score improved to 4.0+ (currently 3.2)</w:t>
      </w:r>
    </w:p>
    <w:p/>
    <w:p>
      <w:pPr>
        <w:pStyle w:val="IntenseQuote"/>
      </w:pPr>
      <w:r>
        <w:t>Resource Dependency: CRITICAL - Requires 3 new headcount approved in 2026 budget</w:t>
      </w:r>
    </w:p>
    <w:p>
      <w:pPr>
        <w:pStyle w:val="Heading1"/>
      </w:pPr>
      <w:r>
        <w:t>Budget Dependencies</w:t>
      </w:r>
    </w:p>
    <w:p>
      <w:r>
        <w:t>The objectives outlined above are predicated on the following budget assumptions. Without these resources, goals will need to be rescoped or timelines extended.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if Denied</w:t>
            </w:r>
          </w:p>
        </w:tc>
      </w:tr>
      <w:tr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3 engineers</w:t>
            </w:r>
          </w:p>
        </w:tc>
        <w:tc>
          <w:tcPr>
            <w:tcW w:type="dxa" w:w="2880"/>
          </w:tcPr>
          <w:p>
            <w:r>
              <w:t>Objectives 1, 2, 4 at risk; continued turnover likely</w:t>
            </w:r>
          </w:p>
        </w:tc>
      </w:tr>
      <w:tr>
        <w:tc>
          <w:tcPr>
            <w:tcW w:type="dxa" w:w="2880"/>
          </w:tcPr>
          <w:p>
            <w:r>
              <w:t>Tools Budget</w:t>
            </w:r>
          </w:p>
        </w:tc>
        <w:tc>
          <w:tcPr>
            <w:tcW w:type="dxa" w:w="2880"/>
          </w:tcPr>
          <w:p>
            <w:r>
              <w:t>$150K incremental</w:t>
            </w:r>
          </w:p>
        </w:tc>
        <w:tc>
          <w:tcPr>
            <w:tcW w:type="dxa" w:w="2880"/>
          </w:tcPr>
          <w:p>
            <w:r>
              <w:t>Objectives 2, 3 at risk; velocity improvements blocked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$12K</w:t>
            </w:r>
          </w:p>
        </w:tc>
        <w:tc>
          <w:tcPr>
            <w:tcW w:type="dxa" w:w="2880"/>
          </w:tcPr>
          <w:p>
            <w:r>
              <w:t>Team skill development delayed</w:t>
            </w:r>
          </w:p>
        </w:tc>
      </w:tr>
    </w:tbl>
    <w:p/>
    <w:p>
      <w:pPr>
        <w:pStyle w:val="Heading1"/>
      </w:pPr>
      <w:r>
        <w:t>Risks &amp; Mitigation</w:t>
      </w:r>
    </w:p>
    <w:p>
      <w:pPr>
        <w:pStyle w:val="ListBullet"/>
      </w:pPr>
      <w:r>
        <w:t>Risk: Budget not approved → Mitigation: Prioritize ruthlessly, defer non-critical work</w:t>
      </w:r>
    </w:p>
    <w:p>
      <w:pPr>
        <w:pStyle w:val="ListBullet"/>
      </w:pPr>
      <w:r>
        <w:t>Risk: Hiring takes longer than planned → Mitigation: Use contractors as bridge</w:t>
      </w:r>
    </w:p>
    <w:p>
      <w:pPr>
        <w:pStyle w:val="ListBullet"/>
      </w:pPr>
      <w:r>
        <w:t>Risk: Key person departure → Mitigation: Cross-training, retention bonuses</w:t>
      </w:r>
    </w:p>
    <w:p>
      <w:pPr>
        <w:pStyle w:val="ListBullet"/>
      </w:pPr>
      <w:r>
        <w:t>Risk: SOC 2 audit delays → Mitigation: Engage external consultants early</w:t>
      </w:r>
    </w:p>
    <w:p>
      <w:pPr>
        <w:pStyle w:val="Heading1"/>
      </w:pPr>
      <w:r>
        <w:t>Sign-off</w:t>
      </w:r>
    </w:p>
    <w:p>
      <w:r>
        <w:t>Prepared by: David Kim, Tech Lead</w:t>
      </w:r>
    </w:p>
    <w:p>
      <w:r>
        <w:t>Reviewed by: Michael Torres, VP Engineering</w:t>
      </w:r>
    </w:p>
    <w:p>
      <w:r>
        <w:t>Date: January 3, 2026</w:t>
      </w:r>
    </w:p>
    <w:p>
      <w:r>
        <w:t>Status: Pending budget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