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SERVICES AGREEMENT - TRACKED CHANGES VERSION</w:t>
      </w:r>
    </w:p>
    <w:p>
      <w:r>
        <w:t>Agreement Number: MSA-2026-0147</w:t>
      </w:r>
    </w:p>
    <w:p>
      <w:r>
        <w:t>Effective Date: February 1, 2026</w:t>
      </w:r>
    </w:p>
    <w:p/>
    <w:p>
      <w:r>
        <w:t>NOTE: This document shows tracked changes. Text marked [DELETED] has been removed. Text marked [ADDED] or [MODIFIED] shows new/changed language.</w:t>
      </w:r>
    </w:p>
    <w:p/>
    <w:p>
      <w:pPr>
        <w:pStyle w:val="Heading1"/>
      </w:pPr>
      <w:r>
        <w:t>PARTIES</w:t>
      </w:r>
    </w:p>
    <w:p>
      <w:r>
        <w:t>This Master Services Agreement ("Agreement") is entered into by and between:</w:t>
      </w:r>
    </w:p>
    <w:p>
      <w:r>
        <w:t>Acme Corporation ("Customer"), a Delaware corporation with principal offices at 1200 Technology Drive, San Francisco, CA 94105</w:t>
      </w:r>
    </w:p>
    <w:p>
      <w:r>
        <w:t>and</w:t>
      </w:r>
    </w:p>
    <w:p>
      <w:r>
        <w:t>DataFlow Solutions, Inc. ("Vendor"), a Texas corporation with principal offices at 500 Innovation Parkway, Austin, TX 78701</w:t>
      </w:r>
    </w:p>
    <w:p>
      <w:pPr>
        <w:pStyle w:val="Heading1"/>
      </w:pPr>
      <w:r>
        <w:t>1. SERVICES</w:t>
      </w:r>
    </w:p>
    <w:p>
      <w:r>
        <w:t>1.1 No changes.</w:t>
      </w:r>
    </w:p>
    <w:p>
      <w:r>
        <w:t>1.2 [MODIFIED] Vendor represents and warrants that all services will be performed in a professional and workmanlike manner consistent with [DELETED: "industry standards"] [ADDED: "the highest industry standards for similar services"].</w:t>
      </w:r>
    </w:p>
    <w:p>
      <w:r>
        <w:t>1.3 No changes.</w:t>
      </w:r>
    </w:p>
    <w:p>
      <w:r>
        <w:t>1.4 [ADDED - NEW SECTION] Vendor shall provide Customer with a dedicated account manager and monthly service review meetings.</w:t>
      </w:r>
    </w:p>
    <w:p>
      <w:pPr>
        <w:pStyle w:val="Heading1"/>
      </w:pPr>
      <w:r>
        <w:t>2. TERM AND TERMINATION</w:t>
      </w:r>
    </w:p>
    <w:p>
      <w:r>
        <w:t>2.1 No changes.</w:t>
      </w:r>
    </w:p>
    <w:p>
      <w:r>
        <w:t>2.2 [MODIFIED] [DELETED: "Either party may terminate this Agreement for convenience upon ninety (90) days prior written notice."] [ADDED: "Customer may terminate this Agreement for convenience upon thirty (30) days prior written notice. Vendor may terminate for convenience upon ninety (90) days prior written notice."]</w:t>
      </w:r>
    </w:p>
    <w:p>
      <w:r>
        <w:t>2.3 No changes.</w:t>
      </w:r>
    </w:p>
    <w:p>
      <w:r>
        <w:t>2.4 [ADDED - NEW SECTION] Upon termination, Vendor shall provide transition assistance for up to ninety (90) days at no additional cost to Customer.</w:t>
      </w:r>
    </w:p>
    <w:p>
      <w:r>
        <w:t>2.5 [ADDED - NEW SECTION] Customer may terminate immediately if Vendor experiences a change of control or material adverse change in financial condition.</w:t>
      </w:r>
    </w:p>
    <w:p>
      <w:pPr>
        <w:pStyle w:val="Heading1"/>
      </w:pPr>
      <w:r>
        <w:t>3. FEES AND PAYMENT</w:t>
      </w:r>
    </w:p>
    <w:p>
      <w:r>
        <w:t>3.1 No changes.</w:t>
      </w:r>
    </w:p>
    <w:p>
      <w:r>
        <w:t>3.2 [MODIFIED] Payment is due within [DELETED: "thirty (30)"] [ADDED: "forty-five (45)"] days of invoice date.</w:t>
      </w:r>
    </w:p>
    <w:p>
      <w:r>
        <w:t>3.3 [MODIFIED] Late payments shall accrue interest at the rate of [DELETED: "1.5%"] [ADDED: "1.0%"] per month.</w:t>
      </w:r>
    </w:p>
    <w:p>
      <w:r>
        <w:t>3.4 [ADDED - NEW SECTION] Customer may withhold payment of any disputed amounts pending resolution, without accruing interest.</w:t>
      </w:r>
    </w:p>
    <w:p>
      <w:pPr>
        <w:pStyle w:val="Heading1"/>
      </w:pPr>
      <w:r>
        <w:t>4. INTELLECTUAL PROPERTY - SIGNIFICANT CHANGES</w:t>
      </w:r>
    </w:p>
    <w:p>
      <w:r>
        <w:t>4.1 No changes.</w:t>
      </w:r>
    </w:p>
    <w:p>
      <w:r>
        <w:t>4.2 [MODIFIED] All work product, deliverables, [ADDED: "customizations, and any derivative works"] developed specifically for Customer... shall be owned [ADDED: "exclusively"] by Customer [ADDED: ", including all intellectual property rights therein. Vendor hereby assigns and agrees to assign all such rights to Customer."]</w:t>
      </w:r>
    </w:p>
    <w:p>
      <w:r>
        <w:t>4.3 [MODIFIED] Vendor grants Customer a perpetual, [ADDED: "irrevocable, worldwide,"] royalty-free, [ADDED: "transferable"] license to use[ADDED: ", modify, and create derivative works of"] Vendor Tools.</w:t>
      </w:r>
    </w:p>
    <w:p>
      <w:r>
        <w:t>4.4 [MODIFIED] Added: "Vendor shall not use Customer Data for any other purpose, including but not limited to training machine learning models, benchmarking, or marketing."</w:t>
      </w:r>
    </w:p>
    <w:p>
      <w:r>
        <w:t>4.5 [ADDED - NEW SECTION] No Reverse Engineering clause.</w:t>
      </w:r>
    </w:p>
    <w:p>
      <w:r>
        <w:t>4.6 [ADDED - NEW SECTION] IP Warranty - Vendor represents Services will not infringe third-party IP.</w:t>
      </w:r>
    </w:p>
    <w:p>
      <w:pPr>
        <w:pStyle w:val="Heading1"/>
      </w:pPr>
      <w:r>
        <w:t>5. CONFIDENTIALITY</w:t>
      </w:r>
    </w:p>
    <w:p>
      <w:r>
        <w:t>5.1 Minor enhancement to standard of care language.</w:t>
      </w:r>
    </w:p>
    <w:p>
      <w:r>
        <w:t>5.2 Minor clarifications.</w:t>
      </w:r>
    </w:p>
    <w:p>
      <w:r>
        <w:t>5.3 [MODIFIED] Survival period changed from [DELETED: "three (3) years"] to [ADDED: "five (5) years"].</w:t>
      </w:r>
    </w:p>
    <w:p>
      <w:r>
        <w:t>5.4 [ADDED - NEW SECTION] Return/destruction of Confidential Information requirement.</w:t>
      </w:r>
    </w:p>
    <w:p>
      <w:pPr>
        <w:pStyle w:val="Heading1"/>
      </w:pPr>
      <w:r>
        <w:t>6. LIMITATION OF LIABILITY - SIGNIFICANT CHANGES</w:t>
      </w:r>
    </w:p>
    <w:p>
      <w:r>
        <w:t>6.1 Minor language cleanup.</w:t>
      </w:r>
    </w:p>
    <w:p>
      <w:r>
        <w:t>6.2 [MODIFIED - MAJOR] [DELETED: "EACH PARTY'S TOTAL LIABILITY... SHALL NOT EXCEED THE FEES PAID OR PAYABLE BY CUSTOMER IN THE TWELVE (12) MONTHS PRECEDING THE CLAIM."] [ADDED: "VENDOR'S TOTAL LIABILITY... SHALL NOT EXCEED THREE TIMES (3X) THE FEES PAID... CUSTOMER'S TOTAL LIABILITY SHALL NOT EXCEED THE FEES PAID..."]</w:t>
      </w:r>
    </w:p>
    <w:p>
      <w:r>
        <w:t>6.3 [MODIFIED] Exclusions expanded to include: [ADDED: "(e) data breaches caused by Vendor's failure to maintain reasonable security; or (f) bodily injury or death caused by Vendor's negligence."]</w:t>
      </w:r>
    </w:p>
    <w:p>
      <w:pPr>
        <w:pStyle w:val="Heading1"/>
      </w:pPr>
      <w:r>
        <w:t>7. INDEMNIFICATION - SIGNIFICANT CHANGES</w:t>
      </w:r>
    </w:p>
    <w:p>
      <w:r>
        <w:t>7.1 [MODIFIED - MAJOR] Vendor indemnification expanded significantly. Added coverage for: (d) any data breach or security incident involving Customer Data; (e) any violation of applicable law by Vendor.</w:t>
      </w:r>
    </w:p>
    <w:p>
      <w:r>
        <w:t>7.2 [MODIFIED - MAJOR] Customer indemnification NARROWED. [DELETED: "Customer shall indemnify... from any third-party claims arising from: (a) Customer's breach of this Agreement; (b) Customer's negligence or willful misconduct; or (c) Customer Data."] [ADDED: "Customer shall indemnify... from any third-party claims arising from Customer's gross negligence or willful misconduct."]</w:t>
      </w:r>
    </w:p>
    <w:p>
      <w:r>
        <w:t>7.3 [MODIFIED] Added settlement consent requirement.</w:t>
      </w:r>
    </w:p>
    <w:p>
      <w:r>
        <w:t>7.4 [ADDED - NEW SECTION] IP Infringement Remedy - requires Vendor to cure or refund.</w:t>
      </w:r>
    </w:p>
    <w:p>
      <w:pPr>
        <w:pStyle w:val="Heading1"/>
      </w:pPr>
      <w:r>
        <w:t>8. INSURANCE - INCREASED LIMITS</w:t>
      </w:r>
    </w:p>
    <w:p>
      <w:r>
        <w:t>[MODIFIED] CGL: [DELETED: "$1M"] [ADDED: "$2M"]; E&amp;O: [DELETED: "$2M"] [ADDED: "$5M"]; Cyber: [DELETED: "$5M"] [ADDED: "$10M"]; [ADDED: "Tech E&amp;O: $5M"]</w:t>
      </w:r>
    </w:p>
    <w:p>
      <w:r>
        <w:t>[ADDED] Additional insured and notice requirements.</w:t>
      </w:r>
    </w:p>
    <w:p>
      <w:pPr>
        <w:pStyle w:val="Heading1"/>
      </w:pPr>
      <w:r>
        <w:t>9. DATA PROTECTION AND COMPLIANCE - ENHANCED</w:t>
      </w:r>
    </w:p>
    <w:p>
      <w:r>
        <w:t>[MODIFIED] Added SOC 2 Type II reference.</w:t>
      </w:r>
    </w:p>
    <w:p>
      <w:r>
        <w:t>[MODIFIED] Breach notification: [DELETED: "48 hours"] [ADDED: "24 hours"].</w:t>
      </w:r>
    </w:p>
    <w:p>
      <w:r>
        <w:t>[ADDED] Annual third-party audits.</w:t>
      </w:r>
    </w:p>
    <w:p>
      <w:r>
        <w:t>[ADDED] Customer audit rights.</w:t>
      </w:r>
    </w:p>
    <w:p>
      <w:r>
        <w:t>[ADDED] Written security program requirement.</w:t>
      </w:r>
    </w:p>
    <w:p>
      <w:pPr>
        <w:pStyle w:val="Heading1"/>
      </w:pPr>
      <w:r>
        <w:t>10. GENERAL PROVISIONS</w:t>
      </w:r>
    </w:p>
    <w:p>
      <w:r>
        <w:t>[MODIFIED] Assignment - Customer can assign in M&amp;A without consent.</w:t>
      </w:r>
    </w:p>
    <w:p>
      <w:r>
        <w:t>[ADDED] Survival clause.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