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SERVICES AGREEMENT</w:t>
      </w:r>
    </w:p>
    <w:p>
      <w:r>
        <w:t>Agreement Number: MSA-2026-0147</w:t>
      </w:r>
    </w:p>
    <w:p>
      <w:r>
        <w:t>Effective Date: February 1, 2026</w:t>
      </w:r>
    </w:p>
    <w:p/>
    <w:p>
      <w:pPr>
        <w:pStyle w:val="Heading1"/>
      </w:pPr>
      <w:r>
        <w:t>PARTIES</w:t>
      </w:r>
    </w:p>
    <w:p>
      <w:r>
        <w:t>This Master Services Agreement ("Agreement") is entered into by and between:</w:t>
      </w:r>
    </w:p>
    <w:p>
      <w:r>
        <w:t>Acme Corporation ("Customer"), a Delaware corporation with principal offices at 1200 Technology Drive, San Francisco, CA 94105</w:t>
      </w:r>
    </w:p>
    <w:p>
      <w:r>
        <w:t>and</w:t>
      </w:r>
    </w:p>
    <w:p>
      <w:r>
        <w:t>DataFlow Solutions, Inc. ("Vendor"), a Texas corporation with principal offices at 500 Innovation Parkway, Austin, TX 78701</w:t>
      </w:r>
    </w:p>
    <w:p>
      <w:pPr>
        <w:pStyle w:val="Heading1"/>
      </w:pPr>
      <w:r>
        <w:t>1. SERVICES</w:t>
      </w:r>
    </w:p>
    <w:p>
      <w:r>
        <w:t>1.1 Vendor shall provide Customer with cloud-based data integration and analytics services as described in the attached Statement of Work ("SOW").</w:t>
      </w:r>
    </w:p>
    <w:p>
      <w:r>
        <w:t>1.2 Vendor represents that all services will be performed in a professional and workmanlike manner consistent with industry standards.</w:t>
      </w:r>
    </w:p>
    <w:p>
      <w:r>
        <w:t>1.3 Vendor shall assign qualified personnel to perform the services and shall not reassign key personnel without Customer's prior written consent.</w:t>
      </w:r>
    </w:p>
    <w:p>
      <w:pPr>
        <w:pStyle w:val="Heading1"/>
      </w:pPr>
      <w:r>
        <w:t>2. TERM AND TERMINATION</w:t>
      </w:r>
    </w:p>
    <w:p>
      <w:r>
        <w:t>2.1 This Agreement shall commence on the Effective Date and continue for a period of three (3) years ("Initial Term").</w:t>
      </w:r>
    </w:p>
    <w:p>
      <w:r>
        <w:t>2.2 Either party may terminate this Agreement for convenience upon ninety (90) days prior written notice.</w:t>
      </w:r>
    </w:p>
    <w:p>
      <w:r>
        <w:t>2.3 Either party may terminate immediately upon material breach by the other party that remains uncured for thirty (30) days after written notice.</w:t>
      </w:r>
    </w:p>
    <w:p>
      <w:pPr>
        <w:pStyle w:val="Heading1"/>
      </w:pPr>
      <w:r>
        <w:t>3. FEES AND PAYMENT</w:t>
      </w:r>
    </w:p>
    <w:p>
      <w:r>
        <w:t>3.1 Customer shall pay Vendor the fees set forth in the applicable SOW.</w:t>
      </w:r>
    </w:p>
    <w:p>
      <w:r>
        <w:t>3.2 Vendor shall invoice Customer monthly in arrears. Payment is due within thirty (30) days of invoice date.</w:t>
      </w:r>
    </w:p>
    <w:p>
      <w:r>
        <w:t>3.3 Late payments shall accrue interest at the rate of 1.5% per month or the maximum rate permitted by law, whichever is less.</w:t>
      </w:r>
    </w:p>
    <w:p>
      <w:pPr>
        <w:pStyle w:val="Heading1"/>
      </w:pPr>
      <w:r>
        <w:t>4. INTELLECTUAL PROPERTY</w:t>
      </w:r>
    </w:p>
    <w:p>
      <w:r>
        <w:t>4.1 Pre-Existing IP. Each party retains all rights in its pre-existing intellectual property.</w:t>
      </w:r>
    </w:p>
    <w:p>
      <w:r>
        <w:t>4.2 Work Product. All work product, deliverables, and customizations developed specifically for Customer under this Agreement ("Work Product") shall be owned by Customer.</w:t>
      </w:r>
    </w:p>
    <w:p>
      <w:r>
        <w:t>4.3 Vendor Tools. Vendor retains ownership of its pre-existing tools, methodologies, and software used to deliver services ("Vendor Tools"). Vendor grants Customer a perpetual, royalty-free license to use Vendor Tools solely as incorporated in Work Product.</w:t>
      </w:r>
    </w:p>
    <w:p>
      <w:r>
        <w:t>4.4 Customer Data. Customer retains all rights in Customer Data. Vendor acquires no rights to Customer Data except as necessary to perform services.</w:t>
      </w:r>
    </w:p>
    <w:p>
      <w:pPr>
        <w:pStyle w:val="Heading1"/>
      </w:pPr>
      <w:r>
        <w:t>5. CONFIDENTIALITY</w:t>
      </w:r>
    </w:p>
    <w:p>
      <w:r>
        <w:t>5.1 Each party agrees to maintain the confidentiality of the other party's Confidential Information and not to disclose it to third parties without prior written consent.</w:t>
      </w:r>
    </w:p>
    <w:p>
      <w:r>
        <w:t>5.2 Confidential Information excludes information that: (a) is publicly available; (b) was known prior to disclosure; (c) is independently developed; or (d) is received from a third party without restriction.</w:t>
      </w:r>
    </w:p>
    <w:p>
      <w:r>
        <w:t>5.3 Confidentiality obligations shall survive for three (3) years following termination of this Agreement.</w:t>
      </w:r>
    </w:p>
    <w:p>
      <w:pPr>
        <w:pStyle w:val="Heading1"/>
      </w:pPr>
      <w:r>
        <w:t>6. LIMITATION OF LIABILITY</w:t>
      </w:r>
    </w:p>
    <w:p>
      <w:r>
        <w:t>6.1 EXCEPT FOR BREACHES OF CONFIDENTIALITY, INDEMNIFICATION OBLIGATIONS, OR GROSS NEGLIGENCE/WILLFUL MISCONDUCT, NEITHER PARTY SHALL BE LIABLE FOR ANY INDIRECT, INCIDENTAL, SPECIAL, CONSEQUENTIAL, OR PUNITIVE DAMAGES.</w:t>
      </w:r>
    </w:p>
    <w:p>
      <w:r>
        <w:t>6.2 EXCEPT AS SET FORTH IN SECTION 6.3, EACH PARTY'S TOTAL LIABILITY UNDER THIS AGREEMENT SHALL NOT EXCEED THE FEES PAID OR PAYABLE BY CUSTOMER IN THE TWELVE (12) MONTHS PRECEDING THE CLAIM.</w:t>
      </w:r>
    </w:p>
    <w:p>
      <w:r>
        <w:t>6.3 The limitations in Section 6.2 shall not apply to: (a) breaches of confidentiality; (b) indemnification obligations; (c) gross negligence or willful misconduct; or (d) infringement of intellectual property rights.</w:t>
      </w:r>
    </w:p>
    <w:p>
      <w:pPr>
        <w:pStyle w:val="Heading1"/>
      </w:pPr>
      <w:r>
        <w:t>7. INDEMNIFICATION</w:t>
      </w:r>
    </w:p>
    <w:p>
      <w:r>
        <w:t>7.1 Vendor Indemnification. Vendor shall indemnify, defend, and hold harmless Customer from any third-party claims arising from: (a) Vendor's breach of this Agreement; (b) Vendor's negligence or willful misconduct; or (c) allegations that the Services infringe any third-party intellectual property rights.</w:t>
      </w:r>
    </w:p>
    <w:p>
      <w:r>
        <w:t>7.2 Customer Indemnification. Customer shall indemnify, defend, and hold harmless Vendor from any third-party claims arising from: (a) Customer's breach of this Agreement; (b) Customer's negligence or willful misconduct; or (c) Customer Data.</w:t>
      </w:r>
    </w:p>
    <w:p>
      <w:r>
        <w:t>7.3 Indemnification Procedures. The indemnified party shall provide prompt notice and reasonable cooperation. The indemnifying party shall have sole control of the defense.</w:t>
      </w:r>
    </w:p>
    <w:p>
      <w:pPr>
        <w:pStyle w:val="Heading1"/>
      </w:pPr>
      <w:r>
        <w:t>8. INSURANCE</w:t>
      </w:r>
    </w:p>
    <w:p>
      <w:r>
        <w:t>8.1 Vendor shall maintain: (a) Commercial General Liability insurance of at least $1,000,000 per occurrence; (b) Professional Liability/E&amp;O insurance of at least $2,000,000 per occurrence; (c) Cyber Liability insurance of at least $5,000,000 per occurrence.</w:t>
      </w:r>
    </w:p>
    <w:p>
      <w:r>
        <w:t>8.2 Vendor shall provide certificates of insurance upon request.</w:t>
      </w:r>
    </w:p>
    <w:p>
      <w:pPr>
        <w:pStyle w:val="Heading1"/>
      </w:pPr>
      <w:r>
        <w:t>9. DATA PROTECTION AND COMPLIANCE</w:t>
      </w:r>
    </w:p>
    <w:p>
      <w:r>
        <w:t>9.1 Vendor shall comply with all applicable laws and regulations in performing services.</w:t>
      </w:r>
    </w:p>
    <w:p>
      <w:r>
        <w:t>9.2 Vendor shall implement reasonable security measures to protect Customer Data.</w:t>
      </w:r>
    </w:p>
    <w:p>
      <w:r>
        <w:t>9.3 Vendor shall notify Customer within 48 hours of discovering any data breach affecting Customer Data.</w:t>
      </w:r>
    </w:p>
    <w:p>
      <w:pPr>
        <w:pStyle w:val="Heading1"/>
      </w:pPr>
      <w:r>
        <w:t>10. GENERAL PROVISIONS</w:t>
      </w:r>
    </w:p>
    <w:p>
      <w:r>
        <w:t>10.1 Governing Law. This Agreement shall be governed by the laws of the State of California.</w:t>
      </w:r>
    </w:p>
    <w:p>
      <w:r>
        <w:t>10.2 Dispute Resolution. Any disputes shall be resolved through binding arbitration in San Francisco, California.</w:t>
      </w:r>
    </w:p>
    <w:p>
      <w:r>
        <w:t>10.3 Assignment. Neither party may assign this Agreement without prior written consent, except in connection with a merger or acquisition.</w:t>
      </w:r>
    </w:p>
    <w:p>
      <w:r>
        <w:t>10.4 Entire Agreement. This Agreement constitutes the entire agreement between the parties and supersedes all prior negotiations and agreements.</w:t>
      </w:r>
    </w:p>
    <w:p/>
    <w:p>
      <w:r>
        <w:t>IN WITNESS WHEREOF, the parties have executed this Agreement as of the Effective Date.</w:t>
      </w:r>
    </w:p>
    <w:p/>
    <w:p>
      <w:r>
        <w:t>ACME CORPORATION                    DATAFLOW SOLUTIONS, INC.</w:t>
      </w:r>
    </w:p>
    <w:p/>
    <w:p>
      <w:r>
        <w:t>By: _________________________      By: _________________________</w:t>
      </w:r>
    </w:p>
    <w:p>
      <w:r>
        <w:t>Name: Jennifer Walsh               Name: Marcus Rivera</w:t>
      </w:r>
    </w:p>
    <w:p>
      <w:r>
        <w:t>Title: VP, Procurement             Title: VP, Sales</w:t>
      </w:r>
    </w:p>
    <w:p>
      <w:r>
        <w:t>Date: _________________________    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