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MASTER SERVICES AGREEMENT</w:t>
      </w:r>
    </w:p>
    <w:p>
      <w:r>
        <w:t>Agreement Number: MSA-2026-0147</w:t>
      </w:r>
    </w:p>
    <w:p>
      <w:r>
        <w:t>Effective Date: February 1, 2026</w:t>
      </w:r>
    </w:p>
    <w:p/>
    <w:p>
      <w:pPr>
        <w:pStyle w:val="Heading1"/>
      </w:pPr>
      <w:r>
        <w:t>PARTIES</w:t>
      </w:r>
    </w:p>
    <w:p>
      <w:r>
        <w:t>This Master Services Agreement ("Agreement") is entered into by and between:</w:t>
      </w:r>
    </w:p>
    <w:p>
      <w:r>
        <w:t>Acme Corporation ("Customer"), a Delaware corporation with principal offices at 1200 Technology Drive, San Francisco, CA 94105</w:t>
      </w:r>
    </w:p>
    <w:p>
      <w:r>
        <w:t>and</w:t>
      </w:r>
    </w:p>
    <w:p>
      <w:r>
        <w:t>DataFlow Solutions, Inc. ("Vendor"), a Texas corporation with principal offices at 500 Innovation Parkway, Austin, TX 78701</w:t>
      </w:r>
    </w:p>
    <w:p>
      <w:pPr>
        <w:pStyle w:val="Heading1"/>
      </w:pPr>
      <w:r>
        <w:t>1. SERVICES</w:t>
      </w:r>
    </w:p>
    <w:p>
      <w:r>
        <w:t>1.1 Vendor shall provide Customer with cloud-based data integration and analytics services as described in the attached Statement of Work ("SOW").</w:t>
      </w:r>
    </w:p>
    <w:p>
      <w:r>
        <w:t>1.2 Vendor represents and warrants that all services will be performed in a professional and workmanlike manner consistent with the highest industry standards for similar services.</w:t>
      </w:r>
    </w:p>
    <w:p>
      <w:r>
        <w:t>1.3 Vendor shall assign qualified personnel to perform the services and shall not reassign key personnel without Customer's prior written consent.</w:t>
      </w:r>
    </w:p>
    <w:p>
      <w:r>
        <w:t>1.4 [ADDED] Vendor shall provide Customer with a dedicated account manager and monthly service review meetings.</w:t>
      </w:r>
    </w:p>
    <w:p>
      <w:pPr>
        <w:pStyle w:val="Heading1"/>
      </w:pPr>
      <w:r>
        <w:t>2. TERM AND TERMINATION</w:t>
      </w:r>
    </w:p>
    <w:p>
      <w:r>
        <w:t>2.1 This Agreement shall commence on the Effective Date and continue for a period of three (3) years ("Initial Term").</w:t>
      </w:r>
    </w:p>
    <w:p>
      <w:r>
        <w:t>2.2 Customer may terminate this Agreement for convenience upon thirty (30) days prior written notice. Vendor may terminate for convenience upon ninety (90) days prior written notice. [MODIFIED - asymmetric termination rights]</w:t>
      </w:r>
    </w:p>
    <w:p>
      <w:r>
        <w:t>2.3 Either party may terminate immediately upon material breach by the other party that remains uncured for thirty (30) days after written notice.</w:t>
      </w:r>
    </w:p>
    <w:p>
      <w:r>
        <w:t>2.4 [ADDED] Upon termination, Vendor shall provide transition assistance for up to ninety (90) days at no additional cost to Customer.</w:t>
      </w:r>
    </w:p>
    <w:p>
      <w:r>
        <w:t>2.5 [ADDED] Customer may terminate immediately if Vendor experiences a change of control or material adverse change in financial condition.</w:t>
      </w:r>
    </w:p>
    <w:p>
      <w:pPr>
        <w:pStyle w:val="Heading1"/>
      </w:pPr>
      <w:r>
        <w:t>3. FEES AND PAYMENT</w:t>
      </w:r>
    </w:p>
    <w:p>
      <w:r>
        <w:t>3.1 Customer shall pay Vendor the fees set forth in the applicable SOW.</w:t>
      </w:r>
    </w:p>
    <w:p>
      <w:r>
        <w:t>3.2 Vendor shall invoice Customer monthly in arrears. Payment is due within forty-five (45) days of invoice date. [MODIFIED from 30 days]</w:t>
      </w:r>
    </w:p>
    <w:p>
      <w:r>
        <w:t>3.3 Late payments shall accrue interest at the rate of 1.0% per month or the maximum rate permitted by law, whichever is less. [MODIFIED from 1.5%]</w:t>
      </w:r>
    </w:p>
    <w:p>
      <w:r>
        <w:t>3.4 [ADDED] Customer may withhold payment of any disputed amounts pending resolution, without accruing interest.</w:t>
      </w:r>
    </w:p>
    <w:p>
      <w:pPr>
        <w:pStyle w:val="Heading1"/>
      </w:pPr>
      <w:r>
        <w:t>4. INTELLECTUAL PROPERTY</w:t>
      </w:r>
    </w:p>
    <w:p>
      <w:r>
        <w:t>4.1 Pre-Existing IP. Each party retains all rights in its pre-existing intellectual property.</w:t>
      </w:r>
    </w:p>
    <w:p>
      <w:r>
        <w:t>4.2 Work Product. All work product, deliverables, customizations, and any derivative works developed specifically for Customer under this Agreement ("Work Product") shall be owned exclusively by Customer, including all intellectual property rights therein. Vendor hereby assigns and agrees to assign all such rights to Customer. [MODIFIED - added "derivative works" and assignment language]</w:t>
      </w:r>
    </w:p>
    <w:p>
      <w:r>
        <w:t>4.3 Vendor Tools. Vendor retains ownership of its pre-existing tools, methodologies, and software used to deliver services ("Vendor Tools"). Vendor grants Customer a perpetual, irrevocable, worldwide, royalty-free, transferable license to use, modify, and create derivative works of Vendor Tools solely as incorporated in Work Product. [MODIFIED - added irrevocable, worldwide, transferable, and derivative rights]</w:t>
      </w:r>
    </w:p>
    <w:p>
      <w:r>
        <w:t>4.4 Customer Data. Customer retains all rights in Customer Data. Vendor acquires no rights to Customer Data except as strictly necessary to perform services under this Agreement. Vendor shall not use Customer Data for any other purpose, including but not limited to training machine learning models, benchmarking, or marketing. [MODIFIED - added restrictions]</w:t>
      </w:r>
    </w:p>
    <w:p>
      <w:r>
        <w:t>4.5 [ADDED] No Reverse Engineering. Vendor shall not reverse engineer, decompile, or otherwise attempt to derive the source code or algorithms of any Customer systems or data.</w:t>
      </w:r>
    </w:p>
    <w:p>
      <w:r>
        <w:t>4.6 [ADDED] IP Warranty. Vendor represents and warrants that the Services and Work Product will not infringe any third-party intellectual property rights.</w:t>
      </w:r>
    </w:p>
    <w:p>
      <w:pPr>
        <w:pStyle w:val="Heading1"/>
      </w:pPr>
      <w:r>
        <w:t>5. CONFIDENTIALITY</w:t>
      </w:r>
    </w:p>
    <w:p>
      <w:r>
        <w:t>5.1 Each party agrees to maintain the confidentiality of the other party's Confidential Information using at least the same degree of care used to protect its own confidential information, but in no event less than reasonable care, and not to disclose it to third parties without prior written consent.</w:t>
      </w:r>
    </w:p>
    <w:p>
      <w:r>
        <w:t>5.2 Confidential Information excludes information that: (a) is publicly available through no fault of the receiving party; (b) was known prior to disclosure; (c) is independently developed without use of Confidential Information; or (d) is received from a third party without restriction.</w:t>
      </w:r>
    </w:p>
    <w:p>
      <w:r>
        <w:t>5.3 Confidentiality obligations shall survive for five (5) years following termination of this Agreement. [MODIFIED from 3 years]</w:t>
      </w:r>
    </w:p>
    <w:p>
      <w:r>
        <w:t>5.4 [ADDED] Upon termination or Customer request, Vendor shall return or destroy all Confidential Information and certify such destruction in writing within ten (10) business days.</w:t>
      </w:r>
    </w:p>
    <w:p>
      <w:pPr>
        <w:pStyle w:val="Heading1"/>
      </w:pPr>
      <w:r>
        <w:t>6. LIMITATION OF LIABILITY</w:t>
      </w:r>
    </w:p>
    <w:p>
      <w:r>
        <w:t>6.1 EXCEPT FOR THE EXCLUSIONS SET FORTH IN SECTION 6.3, NEITHER PARTY SHALL BE LIABLE FOR ANY INDIRECT, INCIDENTAL, SPECIAL, CONSEQUENTIAL, OR PUNITIVE DAMAGES.</w:t>
      </w:r>
    </w:p>
    <w:p>
      <w:r>
        <w:t>6.2 VENDOR'S TOTAL LIABILITY UNDER THIS AGREEMENT SHALL NOT EXCEED THREE TIMES (3X) THE FEES PAID OR PAYABLE BY CUSTOMER IN THE TWELVE (12) MONTHS PRECEDING THE CLAIM. CUSTOMER'S TOTAL LIABILITY SHALL NOT EXCEED THE FEES PAID OR PAYABLE IN THE TWELVE (12) MONTHS PRECEDING THE CLAIM. [MODIFIED - asymmetric caps, increased Vendor liability from 1x to 3x]</w:t>
      </w:r>
    </w:p>
    <w:p>
      <w:r>
        <w:t>6.3 The limitations in Sections 6.1 and 6.2 shall not apply to: (a) breaches of confidentiality; (b) indemnification obligations; (c) gross negligence or willful misconduct; (d) infringement of intellectual property rights; (e) data breaches caused by Vendor's failure to maintain reasonable security; or (f) bodily injury or death caused by Vendor's negligence. [MODIFIED - added (e) and (f)]</w:t>
      </w:r>
    </w:p>
    <w:p>
      <w:pPr>
        <w:pStyle w:val="Heading1"/>
      </w:pPr>
      <w:r>
        <w:t>7. INDEMNIFICATION</w:t>
      </w:r>
    </w:p>
    <w:p>
      <w:r>
        <w:t>7.1 Vendor Indemnification. Vendor shall indemnify, defend, and hold harmless Customer, its affiliates, and their respective officers, directors, employees, and agents from and against any and all third-party claims, damages, losses, costs, and expenses (including reasonable attorneys' fees) arising from: (a) Vendor's breach of this Agreement; (b) Vendor's negligence or willful misconduct; (c) allegations that the Services or Work Product infringe any third-party intellectual property rights; (d) any data breach or security incident involving Customer Data; or (e) any violation of applicable law by Vendor. [MODIFIED - expanded scope significantly, added (d) and (e)]</w:t>
      </w:r>
    </w:p>
    <w:p>
      <w:r>
        <w:t>7.2 Customer Indemnification. Customer shall indemnify, defend, and hold harmless Vendor from any third-party claims arising from Customer's gross negligence or willful misconduct. [MODIFIED - narrowed significantly from original]</w:t>
      </w:r>
    </w:p>
    <w:p>
      <w:r>
        <w:t>7.3 Indemnification Procedures. The indemnified party shall provide prompt notice and reasonable cooperation. The indemnifying party shall have sole control of the defense; provided, however, that no settlement shall impose any obligation on the indemnified party without its prior written consent.</w:t>
      </w:r>
    </w:p>
    <w:p>
      <w:r>
        <w:t>7.4 [ADDED] IP Infringement Remedy. If any Service or Work Product is found to infringe, or Vendor believes it may infringe, third-party IP rights, Vendor shall at its expense: (a) obtain the right for Customer to continue using it; (b) modify it to be non-infringing while maintaining functionality; or (c) if neither is commercially reasonable, refund all fees paid and compensate Customer for costs of procuring substitute services.</w:t>
      </w:r>
    </w:p>
    <w:p>
      <w:pPr>
        <w:pStyle w:val="Heading1"/>
      </w:pPr>
      <w:r>
        <w:t>8. INSURANCE</w:t>
      </w:r>
    </w:p>
    <w:p>
      <w:r>
        <w:t>8.1 Vendor shall maintain throughout the term: (a) Commercial General Liability insurance of at least $2,000,000 per occurrence; (b) Professional Liability/E&amp;O insurance of at least $5,000,000 per occurrence; (c) Cyber Liability insurance of at least $10,000,000 per occurrence; (d) [ADDED] Technology Errors &amp; Omissions insurance of at least $5,000,000 per occurrence. [MODIFIED - increased all limits significantly]</w:t>
      </w:r>
    </w:p>
    <w:p>
      <w:r>
        <w:t>8.2 Vendor shall provide certificates of insurance upon request and shall name Customer as additional insured on CGL policy.</w:t>
      </w:r>
    </w:p>
    <w:p>
      <w:r>
        <w:t>8.3 [ADDED] Vendor shall provide thirty (30) days prior written notice of any material change to or cancellation of required insurance policies.</w:t>
      </w:r>
    </w:p>
    <w:p>
      <w:pPr>
        <w:pStyle w:val="Heading1"/>
      </w:pPr>
      <w:r>
        <w:t>9. DATA PROTECTION AND COMPLIANCE</w:t>
      </w:r>
    </w:p>
    <w:p>
      <w:r>
        <w:t>9.1 Vendor shall comply with all applicable laws and regulations in performing services, including but not limited to CCPA, GDPR where applicable, and all industry-specific regulations applicable to Customer.</w:t>
      </w:r>
    </w:p>
    <w:p>
      <w:r>
        <w:t>9.2 Vendor shall implement and maintain security measures consistent with SOC 2 Type II standards and industry best practices to protect Customer Data. [MODIFIED - added SOC 2 reference]</w:t>
      </w:r>
    </w:p>
    <w:p>
      <w:r>
        <w:t>9.3 Vendor shall notify Customer within twenty-four (24) hours of discovering any actual or suspected data breach affecting Customer Data. [MODIFIED from 48 hours]</w:t>
      </w:r>
    </w:p>
    <w:p>
      <w:r>
        <w:t>9.4 [ADDED] Vendor shall conduct annual third-party security audits and provide results to Customer upon request.</w:t>
      </w:r>
    </w:p>
    <w:p>
      <w:r>
        <w:t>9.5 [ADDED] Customer shall have the right to conduct security audits of Vendor's systems and facilities with reasonable notice.</w:t>
      </w:r>
    </w:p>
    <w:p>
      <w:r>
        <w:t>9.6 [ADDED] Vendor shall maintain a written information security program and business continuity/disaster recovery plan.</w:t>
      </w:r>
    </w:p>
    <w:p>
      <w:pPr>
        <w:pStyle w:val="Heading1"/>
      </w:pPr>
      <w:r>
        <w:t>10. GENERAL PROVISIONS</w:t>
      </w:r>
    </w:p>
    <w:p>
      <w:r>
        <w:t>10.1 Governing Law. This Agreement shall be governed by the laws of the State of California, without regard to conflicts of law principles.</w:t>
      </w:r>
    </w:p>
    <w:p>
      <w:r>
        <w:t>10.2 Dispute Resolution. The parties shall first attempt to resolve disputes through good-faith negotiation. If unresolved after thirty (30) days, disputes shall be resolved through binding arbitration in San Francisco, California under AAA Commercial Arbitration Rules. [MODIFIED - added negotiation requirement]</w:t>
      </w:r>
    </w:p>
    <w:p>
      <w:r>
        <w:t>10.3 Assignment. Neither party may assign this Agreement without prior written consent. Notwithstanding the foregoing, Customer may assign this Agreement to any affiliate or in connection with a merger, acquisition, or sale of substantially all assets without Vendor consent. [MODIFIED - allows Customer assignment without consent in M&amp;A]</w:t>
      </w:r>
    </w:p>
    <w:p>
      <w:r>
        <w:t>10.4 Entire Agreement. This Agreement constitutes the entire agreement between the parties and supersedes all prior negotiations and agreements.</w:t>
      </w:r>
    </w:p>
    <w:p>
      <w:r>
        <w:t>10.5 [ADDED] Survival. Sections 4, 5, 6, 7, 9, and 10 shall survive termination or expiration of this Agreement.</w:t>
      </w:r>
    </w:p>
    <w:p/>
    <w:p>
      <w:r>
        <w:t>IN WITNESS WHEREOF, the parties have executed this Agreement as of the Effective Date.</w:t>
      </w:r>
    </w:p>
    <w:p/>
    <w:p>
      <w:r>
        <w:t>ACME CORPORATION                    DATAFLOW SOLUTIONS, INC.</w:t>
      </w:r>
    </w:p>
    <w:p/>
    <w:p>
      <w:r>
        <w:t>By: _________________________      By: _________________________</w:t>
      </w:r>
    </w:p>
    <w:p>
      <w:r>
        <w:t>Name: Jennifer Walsh               Name: Marcus Rivera</w:t>
      </w:r>
    </w:p>
    <w:p>
      <w:r>
        <w:t>Title: VP, Procurement             Title: VP, Sales</w:t>
      </w:r>
    </w:p>
    <w:p>
      <w:r>
        <w:t>Date: _________________________    Date: 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