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Vendor Payment Terms Summary</w:t>
      </w:r>
    </w:p>
    <w:p>
      <w:r>
        <w:t>Accounts Payable Reference Document</w:t>
      </w:r>
    </w:p>
    <w:p>
      <w:r>
        <w:t>Last Updated: December 1, 2025</w:t>
      </w:r>
    </w:p>
    <w:p/>
    <w:p>
      <w:pPr>
        <w:pStyle w:val="Heading1"/>
      </w:pPr>
      <w:r>
        <w:t>Overview</w:t>
      </w:r>
    </w:p>
    <w:p>
      <w:r>
        <w:t>This document summarizes the payment terms negotiated with each of our primary vendors. Always verify terms against the current contract before processing payments. Contact Procurement for any discrepancies.</w:t>
      </w:r>
    </w:p>
    <w:p>
      <w:pPr>
        <w:pStyle w:val="Heading1"/>
      </w:pPr>
      <w:r>
        <w:t>Vendor Payment Terms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Vendor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Standard Terms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Early Pay Discount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Late Fee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Notes</w:t>
            </w:r>
          </w:p>
        </w:tc>
      </w:tr>
      <w:tr>
        <w:tc>
          <w:tcPr>
            <w:tcW w:type="dxa" w:w="1728"/>
          </w:tcPr>
          <w:p>
            <w:r>
              <w:t>ACME Corporation</w:t>
            </w:r>
          </w:p>
        </w:tc>
        <w:tc>
          <w:tcPr>
            <w:tcW w:type="dxa" w:w="1728"/>
          </w:tcPr>
          <w:p>
            <w:r>
              <w:t>Net 30</w:t>
            </w:r>
          </w:p>
        </w:tc>
        <w:tc>
          <w:tcPr>
            <w:tcW w:type="dxa" w:w="1728"/>
          </w:tcPr>
          <w:p>
            <w:r>
              <w:t>2% / 10 days</w:t>
            </w:r>
          </w:p>
        </w:tc>
        <w:tc>
          <w:tcPr>
            <w:tcW w:type="dxa" w:w="1728"/>
          </w:tcPr>
          <w:p>
            <w:r>
              <w:t>1.5%/month</w:t>
            </w:r>
          </w:p>
        </w:tc>
        <w:tc>
          <w:tcPr>
            <w:tcW w:type="dxa" w:w="1728"/>
          </w:tcPr>
          <w:p>
            <w:r>
              <w:t>Master agreement MA-2024-001</w:t>
            </w:r>
          </w:p>
        </w:tc>
      </w:tr>
      <w:tr>
        <w:tc>
          <w:tcPr>
            <w:tcW w:type="dxa" w:w="1728"/>
          </w:tcPr>
          <w:p>
            <w:r>
              <w:t>Globex Corporation</w:t>
            </w:r>
          </w:p>
        </w:tc>
        <w:tc>
          <w:tcPr>
            <w:tcW w:type="dxa" w:w="1728"/>
          </w:tcPr>
          <w:p>
            <w:r>
              <w:t>Net 30</w:t>
            </w:r>
          </w:p>
        </w:tc>
        <w:tc>
          <w:tcPr>
            <w:tcW w:type="dxa" w:w="1728"/>
          </w:tcPr>
          <w:p>
            <w:r>
              <w:t>None</w:t>
            </w:r>
          </w:p>
        </w:tc>
        <w:tc>
          <w:tcPr>
            <w:tcW w:type="dxa" w:w="1728"/>
          </w:tcPr>
          <w:p>
            <w:r>
              <w:t>1.5%/month</w:t>
            </w:r>
          </w:p>
        </w:tc>
        <w:tc>
          <w:tcPr>
            <w:tcW w:type="dxa" w:w="1728"/>
          </w:tcPr>
          <w:p>
            <w:r>
              <w:t>Quarterly invoicing</w:t>
            </w:r>
          </w:p>
        </w:tc>
      </w:tr>
      <w:tr>
        <w:tc>
          <w:tcPr>
            <w:tcW w:type="dxa" w:w="1728"/>
          </w:tcPr>
          <w:p>
            <w:r>
              <w:t>Initech Consulting</w:t>
            </w:r>
          </w:p>
        </w:tc>
        <w:tc>
          <w:tcPr>
            <w:tcW w:type="dxa" w:w="1728"/>
          </w:tcPr>
          <w:p>
            <w:r>
              <w:t>Net 30</w:t>
            </w:r>
          </w:p>
        </w:tc>
        <w:tc>
          <w:tcPr>
            <w:tcW w:type="dxa" w:w="1728"/>
          </w:tcPr>
          <w:p>
            <w:r>
              <w:t>None</w:t>
            </w:r>
          </w:p>
        </w:tc>
        <w:tc>
          <w:tcPr>
            <w:tcW w:type="dxa" w:w="1728"/>
          </w:tcPr>
          <w:p>
            <w:r>
              <w:t>1%/month</w:t>
            </w:r>
          </w:p>
        </w:tc>
        <w:tc>
          <w:tcPr>
            <w:tcW w:type="dxa" w:w="1728"/>
          </w:tcPr>
          <w:p>
            <w:r>
              <w:t>Monthly time &amp; materials</w:t>
            </w:r>
          </w:p>
        </w:tc>
      </w:tr>
      <w:tr>
        <w:tc>
          <w:tcPr>
            <w:tcW w:type="dxa" w:w="1728"/>
          </w:tcPr>
          <w:p>
            <w:r>
              <w:t>DataCenter Pro</w:t>
            </w:r>
          </w:p>
        </w:tc>
        <w:tc>
          <w:tcPr>
            <w:tcW w:type="dxa" w:w="1728"/>
          </w:tcPr>
          <w:p>
            <w:r>
              <w:t>Net 30</w:t>
            </w:r>
          </w:p>
        </w:tc>
        <w:tc>
          <w:tcPr>
            <w:tcW w:type="dxa" w:w="1728"/>
          </w:tcPr>
          <w:p>
            <w:r>
              <w:t>1% / 15 days</w:t>
            </w:r>
          </w:p>
        </w:tc>
        <w:tc>
          <w:tcPr>
            <w:tcW w:type="dxa" w:w="1728"/>
          </w:tcPr>
          <w:p>
            <w:r>
              <w:t>1.5%/month</w:t>
            </w:r>
          </w:p>
        </w:tc>
        <w:tc>
          <w:tcPr>
            <w:tcW w:type="dxa" w:w="1728"/>
          </w:tcPr>
          <w:p>
            <w:r>
              <w:t>Pre-paid for Q4</w:t>
            </w:r>
          </w:p>
        </w:tc>
      </w:tr>
      <w:tr>
        <w:tc>
          <w:tcPr>
            <w:tcW w:type="dxa" w:w="1728"/>
          </w:tcPr>
          <w:p>
            <w:r>
              <w:t>TechSupply Inc</w:t>
            </w:r>
          </w:p>
        </w:tc>
        <w:tc>
          <w:tcPr>
            <w:tcW w:type="dxa" w:w="1728"/>
          </w:tcPr>
          <w:p>
            <w:r>
              <w:t>Net 45</w:t>
            </w:r>
          </w:p>
        </w:tc>
        <w:tc>
          <w:tcPr>
            <w:tcW w:type="dxa" w:w="1728"/>
          </w:tcPr>
          <w:p>
            <w:r>
              <w:t>None</w:t>
            </w:r>
          </w:p>
        </w:tc>
        <w:tc>
          <w:tcPr>
            <w:tcW w:type="dxa" w:w="1728"/>
          </w:tcPr>
          <w:p>
            <w:r>
              <w:t>2%/month</w:t>
            </w:r>
          </w:p>
        </w:tc>
        <w:tc>
          <w:tcPr>
            <w:tcW w:type="dxa" w:w="1728"/>
          </w:tcPr>
          <w:p>
            <w:r>
              <w:t>Extended terms for hardware</w:t>
            </w:r>
          </w:p>
        </w:tc>
      </w:tr>
      <w:tr>
        <w:tc>
          <w:tcPr>
            <w:tcW w:type="dxa" w:w="1728"/>
          </w:tcPr>
          <w:p>
            <w:r>
              <w:t>Wayne Marketing*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*Contract pending</w:t>
            </w:r>
          </w:p>
        </w:tc>
      </w:tr>
    </w:tbl>
    <w:p/>
    <w:p>
      <w:pPr>
        <w:pStyle w:val="Heading1"/>
      </w:pPr>
      <w:r>
        <w:t>Special Instructions</w:t>
      </w:r>
    </w:p>
    <w:p>
      <w:pPr>
        <w:pStyle w:val="Heading2"/>
      </w:pPr>
      <w:r>
        <w:t>Invoice Requirements</w:t>
      </w:r>
    </w:p>
    <w:p>
      <w:pPr>
        <w:pStyle w:val="ListBullet"/>
      </w:pPr>
      <w:r>
        <w:t>All invoices MUST reference a valid PO number</w:t>
      </w:r>
    </w:p>
    <w:p>
      <w:pPr>
        <w:pStyle w:val="ListBullet"/>
      </w:pPr>
      <w:r>
        <w:t>Invoices without PO reference will be returned to vendor</w:t>
      </w:r>
    </w:p>
    <w:p>
      <w:pPr>
        <w:pStyle w:val="ListBullet"/>
      </w:pPr>
      <w:r>
        <w:t>Exception: Pre-approved emergency purchases (requires VP approval within 48 hrs)</w:t>
      </w:r>
    </w:p>
    <w:p>
      <w:pPr>
        <w:pStyle w:val="Heading2"/>
      </w:pPr>
      <w:r>
        <w:t>Duplicate Invoice Prevention</w:t>
      </w:r>
    </w:p>
    <w:p>
      <w:r>
        <w:t>Before processing any invoice, check for duplicates by searching: (1) Invoice number, (2) Amount + Date combination, (3) PO reference. Flag potential duplicates immediately - do NOT process until verified.</w:t>
      </w:r>
    </w:p>
    <w:p>
      <w:pPr>
        <w:pStyle w:val="Heading2"/>
      </w:pPr>
      <w:r>
        <w:t>Discrepancy Resolution</w:t>
      </w:r>
    </w:p>
    <w:p>
      <w:r>
        <w:t>If invoice amount differs from PO by more than $100 or 2%, flag for review. Check contract rates and contact Procurement before approving variance.</w:t>
      </w:r>
    </w:p>
    <w:p>
      <w:pPr>
        <w:pStyle w:val="Heading1"/>
      </w:pPr>
      <w:r>
        <w:t>Key Contacts</w:t>
      </w:r>
    </w:p>
    <w:p>
      <w:pPr>
        <w:pStyle w:val="ListBullet"/>
      </w:pPr>
      <w:r>
        <w:t>Procurement: Michael Torres (michael.torres@contoso.com) - PO questions</w:t>
      </w:r>
    </w:p>
    <w:p>
      <w:pPr>
        <w:pStyle w:val="ListBullet"/>
      </w:pPr>
      <w:r>
        <w:t>CFO Office: Jennifer Walsh (jennifer.walsh@contoso.com) - Approval escalations</w:t>
      </w:r>
    </w:p>
    <w:p>
      <w:pPr>
        <w:pStyle w:val="ListBullet"/>
      </w:pPr>
      <w:r>
        <w:t>AP Team Lead: Maria Santos (maria.santos@contoso.com) - Processing questions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