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- Scope Change Log</w:t>
      </w:r>
    </w:p>
    <w:p>
      <w:r>
        <w:t>Document Control: Final Version</w:t>
      </w:r>
      <w:r>
        <w:br/>
        <w:t>Project ID: PHX-2025</w:t>
      </w:r>
      <w:r>
        <w:br/>
        <w:t>Last Updated: December 15, 2025</w:t>
      </w:r>
      <w:r>
        <w:br/>
        <w:t>Prepared by: James Chen, Project Manager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Total Scope Changes: </w:t>
      </w:r>
      <w:r>
        <w:t>23</w:t>
        <w:br/>
      </w:r>
      <w:r>
        <w:rPr>
          <w:b/>
        </w:rPr>
        <w:t xml:space="preserve">Major Changes (&gt;$20K impact): </w:t>
      </w:r>
      <w:r>
        <w:t>6</w:t>
        <w:br/>
      </w:r>
      <w:r>
        <w:rPr>
          <w:b/>
        </w:rPr>
        <w:t xml:space="preserve">Medium Changes ($5K-$20K impact): </w:t>
      </w:r>
      <w:r>
        <w:t>8</w:t>
        <w:br/>
      </w:r>
      <w:r>
        <w:rPr>
          <w:b/>
        </w:rPr>
        <w:t xml:space="preserve">Minor Changes (&lt;$5K impact): </w:t>
      </w:r>
      <w:r>
        <w:t>9</w:t>
        <w:br/>
        <w:br/>
      </w:r>
      <w:r>
        <w:rPr>
          <w:b/>
        </w:rPr>
        <w:t xml:space="preserve">Total Schedule Impact: </w:t>
      </w:r>
      <w:r>
        <w:t>+14 weeks</w:t>
        <w:br/>
      </w:r>
      <w:r>
        <w:rPr>
          <w:b/>
        </w:rPr>
        <w:t xml:space="preserve">Total Budget Impact: </w:t>
      </w:r>
      <w:r>
        <w:t>+$336,000 (40% of original budget)</w:t>
        <w:br/>
      </w:r>
    </w:p>
    <w:p/>
    <w:p>
      <w:pPr>
        <w:pStyle w:val="Heading1"/>
      </w:pPr>
      <w:r>
        <w:t>Major Scope Changes</w:t>
      </w:r>
    </w:p>
    <w:p>
      <w:pPr>
        <w:pStyle w:val="Heading2"/>
      </w:pPr>
      <w:r>
        <w:t>SC-001: Multi-Tenant Architecture Support</w:t>
      </w:r>
    </w:p>
    <w:p>
      <w:r>
        <w:rPr>
          <w:b/>
        </w:rPr>
        <w:t xml:space="preserve">Requested By: </w:t>
      </w:r>
      <w:r>
        <w:t>TechCorp (Robert Martinez, CEO)</w:t>
        <w:br/>
      </w:r>
      <w:r>
        <w:rPr>
          <w:b/>
        </w:rPr>
        <w:t xml:space="preserve">Request Date: </w:t>
      </w:r>
      <w:r>
        <w:t>2025-05-28</w:t>
        <w:br/>
      </w:r>
      <w:r>
        <w:rPr>
          <w:b/>
        </w:rPr>
        <w:t xml:space="preserve">Approved Date: </w:t>
      </w:r>
      <w:r>
        <w:t>2025-05-30</w:t>
        <w:br/>
      </w:r>
      <w:r>
        <w:rPr>
          <w:b/>
        </w:rPr>
        <w:t xml:space="preserve">Completion Date: </w:t>
      </w:r>
      <w:r>
        <w:t>2025-07-15</w:t>
        <w:br/>
        <w:br/>
      </w:r>
      <w:r>
        <w:rPr>
          <w:b/>
        </w:rPr>
        <w:t xml:space="preserve">Description: </w:t>
      </w:r>
      <w:r>
        <w:t>Add multi-tenant support to allow TechCorp to deploy the platform across their five subsidiaries with complete data isolation and shared administration capabilities.</w:t>
        <w:br/>
        <w:br/>
      </w:r>
      <w:r>
        <w:rPr>
          <w:b/>
        </w:rPr>
        <w:t xml:space="preserve">Business Justification: </w:t>
      </w:r>
      <w:r>
        <w:t>TechCorp requires white-label deployment capability for subsidiary companies. This feature enables significant contract expansion opportunity.</w:t>
        <w:br/>
        <w:br/>
      </w:r>
      <w:r>
        <w:rPr>
          <w:b/>
        </w:rPr>
        <w:t>Impact Assessment:</w:t>
        <w:br/>
      </w:r>
      <w:r>
        <w:t>- Schedule: +6 weeks (database refactor, query updates, security review)</w:t>
        <w:br/>
      </w:r>
      <w:r>
        <w:t>- Budget: +$120,000</w:t>
        <w:br/>
      </w:r>
      <w:r>
        <w:t>- Risk: HIGH - Architectural change affects all components</w:t>
        <w:br/>
      </w:r>
      <w:r>
        <w:t>- Resources: Required full team involvement</w:t>
        <w:br/>
        <w:br/>
      </w:r>
      <w:r>
        <w:rPr>
          <w:b/>
        </w:rPr>
        <w:t xml:space="preserve">Lessons Learned: </w:t>
      </w:r>
      <w:r>
        <w:t>Multi-tenancy should be a Day 1 decision. Retrofitting is expensive. Future projects should explicitly confirm single vs. multi-tenant requirements in discovery.</w:t>
      </w:r>
    </w:p>
    <w:p>
      <w:pPr>
        <w:pStyle w:val="Heading2"/>
      </w:pPr>
      <w:r>
        <w:t>SC-002: Custom Field Support</w:t>
      </w:r>
    </w:p>
    <w:p>
      <w:r>
        <w:rPr>
          <w:b/>
        </w:rPr>
        <w:t xml:space="preserve">Requested By: </w:t>
      </w:r>
      <w:r>
        <w:t>TechCorp (Thomas Park, VP Engineering)</w:t>
        <w:br/>
      </w:r>
      <w:r>
        <w:rPr>
          <w:b/>
        </w:rPr>
        <w:t xml:space="preserve">Request Date: </w:t>
      </w:r>
      <w:r>
        <w:t>2025-06-25</w:t>
        <w:br/>
      </w:r>
      <w:r>
        <w:rPr>
          <w:b/>
        </w:rPr>
        <w:t xml:space="preserve">Approved Date: </w:t>
      </w:r>
      <w:r>
        <w:t>2025-06-28</w:t>
        <w:br/>
      </w:r>
      <w:r>
        <w:rPr>
          <w:b/>
        </w:rPr>
        <w:t xml:space="preserve">Completion Date: </w:t>
      </w:r>
      <w:r>
        <w:t>2025-08-05</w:t>
        <w:br/>
        <w:br/>
      </w:r>
      <w:r>
        <w:rPr>
          <w:b/>
        </w:rPr>
        <w:t xml:space="preserve">Description: </w:t>
      </w:r>
      <w:r>
        <w:t>Allow administrators to create custom fields on all major entities (users, reports, workflows) with support for text, number, date, dropdown, and multi-select field types.</w:t>
        <w:br/>
        <w:br/>
      </w:r>
      <w:r>
        <w:rPr>
          <w:b/>
        </w:rPr>
        <w:t xml:space="preserve">Business Justification: </w:t>
      </w:r>
      <w:r>
        <w:t>Each TechCorp subsidiary has unique data requirements. Custom fields enable flexibility without code changes.</w:t>
        <w:br/>
        <w:br/>
      </w:r>
      <w:r>
        <w:rPr>
          <w:b/>
        </w:rPr>
        <w:t>Impact Assessment:</w:t>
        <w:br/>
      </w:r>
      <w:r>
        <w:t>- Schedule: +4 weeks</w:t>
        <w:br/>
      </w:r>
      <w:r>
        <w:t>- Budget: +$48,000</w:t>
        <w:br/>
      </w:r>
      <w:r>
        <w:t>- Risk: MEDIUM - Schema changes, validation complexity</w:t>
        <w:br/>
        <w:br/>
      </w:r>
      <w:r>
        <w:rPr>
          <w:b/>
        </w:rPr>
        <w:t xml:space="preserve">Lessons Learned: </w:t>
      </w:r>
      <w:r>
        <w:t>Custom field requirements often emerge during implementation. Consider including basic custom field support in base platform.</w:t>
      </w:r>
    </w:p>
    <w:p>
      <w:pPr>
        <w:pStyle w:val="Heading2"/>
      </w:pPr>
      <w:r>
        <w:t>SC-003: Workflow Automation Engine</w:t>
      </w:r>
    </w:p>
    <w:p>
      <w:r>
        <w:rPr>
          <w:b/>
        </w:rPr>
        <w:t xml:space="preserve">Requested By: </w:t>
      </w:r>
      <w:r>
        <w:t>TechCorp (Operations Team)</w:t>
        <w:br/>
      </w:r>
      <w:r>
        <w:rPr>
          <w:b/>
        </w:rPr>
        <w:t xml:space="preserve">Request Date: </w:t>
      </w:r>
      <w:r>
        <w:t>2025-07-20</w:t>
        <w:br/>
      </w:r>
      <w:r>
        <w:rPr>
          <w:b/>
        </w:rPr>
        <w:t xml:space="preserve">Approved Date: </w:t>
      </w:r>
      <w:r>
        <w:t>2025-07-22</w:t>
        <w:br/>
      </w:r>
      <w:r>
        <w:rPr>
          <w:b/>
        </w:rPr>
        <w:t xml:space="preserve">Completion Date: </w:t>
      </w:r>
      <w:r>
        <w:t>2025-09-10</w:t>
        <w:br/>
        <w:br/>
      </w:r>
      <w:r>
        <w:rPr>
          <w:b/>
        </w:rPr>
        <w:t xml:space="preserve">Description: </w:t>
      </w:r>
      <w:r>
        <w:t>Build a no-code workflow automation system allowing users to create trigger-action rules (e.g., "when report status changes to Approved, notify finance team and update dashboard").</w:t>
        <w:br/>
        <w:br/>
      </w:r>
      <w:r>
        <w:rPr>
          <w:b/>
        </w:rPr>
        <w:t xml:space="preserve">Business Justification: </w:t>
      </w:r>
      <w:r>
        <w:t>TechCorp operations team currently manages processes manually. Automation will save estimated 15+ hours/week.</w:t>
        <w:br/>
        <w:br/>
      </w:r>
      <w:r>
        <w:rPr>
          <w:b/>
        </w:rPr>
        <w:t>Impact Assessment:</w:t>
        <w:br/>
      </w:r>
      <w:r>
        <w:t>- Schedule: +8 weeks (complex feature)</w:t>
        <w:br/>
      </w:r>
      <w:r>
        <w:t>- Budget: +$96,000</w:t>
        <w:br/>
      </w:r>
      <w:r>
        <w:t>- Risk: HIGH - New subsystem with complex dependencies</w:t>
        <w:br/>
        <w:br/>
      </w:r>
      <w:r>
        <w:rPr>
          <w:b/>
        </w:rPr>
        <w:t xml:space="preserve">Lessons Learned: </w:t>
      </w:r>
      <w:r>
        <w:t>Workflow automation is a common enterprise requirement. Should be evaluated as potential base feature for similar projects.</w:t>
      </w:r>
    </w:p>
    <w:p>
      <w:pPr>
        <w:pStyle w:val="Heading2"/>
      </w:pPr>
      <w:r>
        <w:t>SC-004: SSO Support (SAML 2.0)</w:t>
      </w:r>
    </w:p>
    <w:p>
      <w:r>
        <w:rPr>
          <w:b/>
        </w:rPr>
        <w:t xml:space="preserve">Requested By: </w:t>
      </w:r>
      <w:r>
        <w:t>TechCorp (IT Security Team)</w:t>
        <w:br/>
      </w:r>
      <w:r>
        <w:rPr>
          <w:b/>
        </w:rPr>
        <w:t xml:space="preserve">Request Date: </w:t>
      </w:r>
      <w:r>
        <w:t>2025-09-12</w:t>
        <w:br/>
      </w:r>
      <w:r>
        <w:rPr>
          <w:b/>
        </w:rPr>
        <w:t xml:space="preserve">Approved Date: </w:t>
      </w:r>
      <w:r>
        <w:t>2025-09-15</w:t>
        <w:br/>
      </w:r>
      <w:r>
        <w:rPr>
          <w:b/>
        </w:rPr>
        <w:t xml:space="preserve">Completion Date: </w:t>
      </w:r>
      <w:r>
        <w:t>2025-10-15</w:t>
        <w:br/>
        <w:br/>
      </w:r>
      <w:r>
        <w:rPr>
          <w:b/>
        </w:rPr>
        <w:t xml:space="preserve">Description: </w:t>
      </w:r>
      <w:r>
        <w:t>Integrate SAML 2.0 SSO to allow TechCorp employees to authenticate using their corporate identity provider (Azure AD).</w:t>
        <w:br/>
        <w:br/>
      </w:r>
      <w:r>
        <w:rPr>
          <w:b/>
        </w:rPr>
        <w:t xml:space="preserve">Business Justification: </w:t>
      </w:r>
      <w:r>
        <w:t>Corporate security policy requires all enterprise applications to support SSO. Blocker for production deployment.</w:t>
        <w:br/>
        <w:br/>
      </w:r>
      <w:r>
        <w:rPr>
          <w:b/>
        </w:rPr>
        <w:t>Impact Assessment:</w:t>
        <w:br/>
      </w:r>
      <w:r>
        <w:t>- Schedule: +3 weeks</w:t>
        <w:br/>
      </w:r>
      <w:r>
        <w:t>- Budget: +$36,000</w:t>
        <w:br/>
      </w:r>
      <w:r>
        <w:t>- Risk: MEDIUM - Well-understood integration pattern</w:t>
        <w:br/>
        <w:br/>
      </w:r>
      <w:r>
        <w:rPr>
          <w:b/>
        </w:rPr>
        <w:t xml:space="preserve">Lessons Learned: </w:t>
      </w:r>
      <w:r>
        <w:t>SSO is standard enterprise requirement. Should be included in original scope for any enterprise project.</w:t>
      </w:r>
    </w:p>
    <w:p>
      <w:pPr>
        <w:pStyle w:val="Heading2"/>
      </w:pPr>
      <w:r>
        <w:t>SC-005: Data Retention Policies</w:t>
      </w:r>
    </w:p>
    <w:p>
      <w:r>
        <w:rPr>
          <w:b/>
        </w:rPr>
        <w:t xml:space="preserve">Requested By: </w:t>
      </w:r>
      <w:r>
        <w:t>TechCorp (Legal/Compliance)</w:t>
        <w:br/>
      </w:r>
      <w:r>
        <w:rPr>
          <w:b/>
        </w:rPr>
        <w:t xml:space="preserve">Request Date: </w:t>
      </w:r>
      <w:r>
        <w:t>2025-10-10</w:t>
        <w:br/>
      </w:r>
      <w:r>
        <w:rPr>
          <w:b/>
        </w:rPr>
        <w:t xml:space="preserve">Approved Date: </w:t>
      </w:r>
      <w:r>
        <w:t>2025-10-12</w:t>
        <w:br/>
      </w:r>
      <w:r>
        <w:rPr>
          <w:b/>
        </w:rPr>
        <w:t xml:space="preserve">Completion Date: </w:t>
      </w:r>
      <w:r>
        <w:t>2025-10-28</w:t>
        <w:br/>
        <w:br/>
      </w:r>
      <w:r>
        <w:rPr>
          <w:b/>
        </w:rPr>
        <w:t xml:space="preserve">Description: </w:t>
      </w:r>
      <w:r>
        <w:t>Implement configurable data retention policies including automatic archival and deletion of data based on age, with audit logging of all retention actions.</w:t>
        <w:br/>
        <w:br/>
      </w:r>
      <w:r>
        <w:rPr>
          <w:b/>
        </w:rPr>
        <w:t xml:space="preserve">Business Justification: </w:t>
      </w:r>
      <w:r>
        <w:t>GDPR and SOX compliance requirements mandate data retention controls. Compliance blocker for go-live.</w:t>
        <w:br/>
        <w:br/>
      </w:r>
      <w:r>
        <w:rPr>
          <w:b/>
        </w:rPr>
        <w:t>Impact Assessment:</w:t>
        <w:br/>
      </w:r>
      <w:r>
        <w:t>- Schedule: +2 weeks</w:t>
        <w:br/>
      </w:r>
      <w:r>
        <w:t>- Budget: +$24,000</w:t>
        <w:br/>
      </w:r>
      <w:r>
        <w:t>- Risk: LOW - Bounded scope, clear requirements</w:t>
        <w:br/>
        <w:br/>
      </w:r>
      <w:r>
        <w:rPr>
          <w:b/>
        </w:rPr>
        <w:t xml:space="preserve">Lessons Learned: </w:t>
      </w:r>
      <w:r>
        <w:t>Compliance requirements should be discovered early. Add compliance checklist to requirements gathering.</w:t>
      </w:r>
    </w:p>
    <w:p>
      <w:pPr>
        <w:pStyle w:val="Heading2"/>
      </w:pPr>
      <w:r>
        <w:t>SC-006: Enhanced Security Audit</w:t>
      </w:r>
    </w:p>
    <w:p>
      <w:r>
        <w:rPr>
          <w:b/>
        </w:rPr>
        <w:t xml:space="preserve">Requested By: </w:t>
      </w:r>
      <w:r>
        <w:t>Internal (Maria Santos, Security Lead)</w:t>
        <w:br/>
      </w:r>
      <w:r>
        <w:rPr>
          <w:b/>
        </w:rPr>
        <w:t xml:space="preserve">Request Date: </w:t>
      </w:r>
      <w:r>
        <w:t>2025-11-08</w:t>
        <w:br/>
      </w:r>
      <w:r>
        <w:rPr>
          <w:b/>
        </w:rPr>
        <w:t xml:space="preserve">Approved Date: </w:t>
      </w:r>
      <w:r>
        <w:t>2025-11-08</w:t>
        <w:br/>
      </w:r>
      <w:r>
        <w:rPr>
          <w:b/>
        </w:rPr>
        <w:t xml:space="preserve">Completion Date: </w:t>
      </w:r>
      <w:r>
        <w:t>2025-11-15</w:t>
        <w:br/>
        <w:br/>
      </w:r>
      <w:r>
        <w:rPr>
          <w:b/>
        </w:rPr>
        <w:t xml:space="preserve">Description: </w:t>
      </w:r>
      <w:r>
        <w:t>Engage third-party security firm for comprehensive penetration testing following discovery of file upload vulnerability.</w:t>
        <w:br/>
        <w:br/>
      </w:r>
      <w:r>
        <w:rPr>
          <w:b/>
        </w:rPr>
        <w:t xml:space="preserve">Business Justification: </w:t>
      </w:r>
      <w:r>
        <w:t>Security vulnerability in file upload handling discovered during internal audit. Additional testing required to ensure no other vulnerabilities exist before production deployment.</w:t>
        <w:br/>
        <w:br/>
      </w:r>
      <w:r>
        <w:rPr>
          <w:b/>
        </w:rPr>
        <w:t>Impact Assessment:</w:t>
        <w:br/>
      </w:r>
      <w:r>
        <w:t>- Schedule: +1 week</w:t>
        <w:br/>
      </w:r>
      <w:r>
        <w:t>- Budget: +$12,000</w:t>
        <w:br/>
      </w:r>
      <w:r>
        <w:t>- Risk: LOW - Defensive measure</w:t>
        <w:br/>
        <w:br/>
      </w:r>
      <w:r>
        <w:rPr>
          <w:b/>
        </w:rPr>
        <w:t xml:space="preserve">Lessons Learned: </w:t>
      </w:r>
      <w:r>
        <w:t>Security audits should be scheduled earlier in project lifecycle to allow time for remediation.</w:t>
      </w:r>
    </w:p>
    <w:p>
      <w:pPr>
        <w:pStyle w:val="Heading1"/>
      </w:pPr>
      <w:r>
        <w:t>Medium Scope Changes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Schedule</w:t>
            </w:r>
          </w:p>
        </w:tc>
        <w:tc>
          <w:tcPr>
            <w:tcW w:type="dxa" w:w="1728"/>
          </w:tcPr>
          <w:p>
            <w:r>
              <w:t>Budget</w:t>
            </w:r>
          </w:p>
        </w:tc>
      </w:tr>
      <w:tr>
        <w:tc>
          <w:tcPr>
            <w:tcW w:type="dxa" w:w="1728"/>
          </w:tcPr>
          <w:p>
            <w:r>
              <w:t>SC-007</w:t>
            </w:r>
          </w:p>
        </w:tc>
        <w:tc>
          <w:tcPr>
            <w:tcW w:type="dxa" w:w="1728"/>
          </w:tcPr>
          <w:p>
            <w:r>
              <w:t>API Rate Limiting</w:t>
            </w:r>
          </w:p>
        </w:tc>
        <w:tc>
          <w:tcPr>
            <w:tcW w:type="dxa" w:w="1728"/>
          </w:tcPr>
          <w:p>
            <w:r>
              <w:t>2025-08-20</w:t>
            </w:r>
          </w:p>
        </w:tc>
        <w:tc>
          <w:tcPr>
            <w:tcW w:type="dxa" w:w="1728"/>
          </w:tcPr>
          <w:p>
            <w:r>
              <w:t>+1 week</w:t>
            </w:r>
          </w:p>
        </w:tc>
        <w:tc>
          <w:tcPr>
            <w:tcW w:type="dxa" w:w="1728"/>
          </w:tcPr>
          <w:p>
            <w:r>
              <w:t>+$12,000</w:t>
            </w:r>
          </w:p>
        </w:tc>
      </w:tr>
      <w:tr>
        <w:tc>
          <w:tcPr>
            <w:tcW w:type="dxa" w:w="1728"/>
          </w:tcPr>
          <w:p>
            <w:r>
              <w:t>SC-008</w:t>
            </w:r>
          </w:p>
        </w:tc>
        <w:tc>
          <w:tcPr>
            <w:tcW w:type="dxa" w:w="1728"/>
          </w:tcPr>
          <w:p>
            <w:r>
              <w:t>Audit Trail Export</w:t>
            </w:r>
          </w:p>
        </w:tc>
        <w:tc>
          <w:tcPr>
            <w:tcW w:type="dxa" w:w="1728"/>
          </w:tcPr>
          <w:p>
            <w:r>
              <w:t>2025-11-10</w:t>
            </w:r>
          </w:p>
        </w:tc>
        <w:tc>
          <w:tcPr>
            <w:tcW w:type="dxa" w:w="1728"/>
          </w:tcPr>
          <w:p>
            <w:r>
              <w:t>+0.5 weeks</w:t>
            </w:r>
          </w:p>
        </w:tc>
        <w:tc>
          <w:tcPr>
            <w:tcW w:type="dxa" w:w="1728"/>
          </w:tcPr>
          <w:p>
            <w:r>
              <w:t>+$8,000</w:t>
            </w:r>
          </w:p>
        </w:tc>
      </w:tr>
      <w:tr>
        <w:tc>
          <w:tcPr>
            <w:tcW w:type="dxa" w:w="1728"/>
          </w:tcPr>
          <w:p>
            <w:r>
              <w:t>SC-009</w:t>
            </w:r>
          </w:p>
        </w:tc>
        <w:tc>
          <w:tcPr>
            <w:tcW w:type="dxa" w:w="1728"/>
          </w:tcPr>
          <w:p>
            <w:r>
              <w:t>Mobile UI Optimization</w:t>
            </w:r>
          </w:p>
        </w:tc>
        <w:tc>
          <w:tcPr>
            <w:tcW w:type="dxa" w:w="1728"/>
          </w:tcPr>
          <w:p>
            <w:r>
              <w:t>2025-08-10</w:t>
            </w:r>
          </w:p>
        </w:tc>
        <w:tc>
          <w:tcPr>
            <w:tcW w:type="dxa" w:w="1728"/>
          </w:tcPr>
          <w:p>
            <w:r>
              <w:t>+2 weeks</w:t>
            </w:r>
          </w:p>
        </w:tc>
        <w:tc>
          <w:tcPr>
            <w:tcW w:type="dxa" w:w="1728"/>
          </w:tcPr>
          <w:p>
            <w:r>
              <w:t>+$18,000</w:t>
            </w:r>
          </w:p>
        </w:tc>
      </w:tr>
      <w:tr>
        <w:tc>
          <w:tcPr>
            <w:tcW w:type="dxa" w:w="1728"/>
          </w:tcPr>
          <w:p>
            <w:r>
              <w:t>SC-010</w:t>
            </w:r>
          </w:p>
        </w:tc>
        <w:tc>
          <w:tcPr>
            <w:tcW w:type="dxa" w:w="1728"/>
          </w:tcPr>
          <w:p>
            <w:r>
              <w:t>Bulk Operations API</w:t>
            </w:r>
          </w:p>
        </w:tc>
        <w:tc>
          <w:tcPr>
            <w:tcW w:type="dxa" w:w="1728"/>
          </w:tcPr>
          <w:p>
            <w:r>
              <w:t>2025-07-15</w:t>
            </w:r>
          </w:p>
        </w:tc>
        <w:tc>
          <w:tcPr>
            <w:tcW w:type="dxa" w:w="1728"/>
          </w:tcPr>
          <w:p>
            <w:r>
              <w:t>+1 week</w:t>
            </w:r>
          </w:p>
        </w:tc>
        <w:tc>
          <w:tcPr>
            <w:tcW w:type="dxa" w:w="1728"/>
          </w:tcPr>
          <w:p>
            <w:r>
              <w:t>+$10,000</w:t>
            </w:r>
          </w:p>
        </w:tc>
      </w:tr>
      <w:tr>
        <w:tc>
          <w:tcPr>
            <w:tcW w:type="dxa" w:w="1728"/>
          </w:tcPr>
          <w:p>
            <w:r>
              <w:t>SC-011</w:t>
            </w:r>
          </w:p>
        </w:tc>
        <w:tc>
          <w:tcPr>
            <w:tcW w:type="dxa" w:w="1728"/>
          </w:tcPr>
          <w:p>
            <w:r>
              <w:t>Dashboard Customization</w:t>
            </w:r>
          </w:p>
        </w:tc>
        <w:tc>
          <w:tcPr>
            <w:tcW w:type="dxa" w:w="1728"/>
          </w:tcPr>
          <w:p>
            <w:r>
              <w:t>2025-06-15</w:t>
            </w:r>
          </w:p>
        </w:tc>
        <w:tc>
          <w:tcPr>
            <w:tcW w:type="dxa" w:w="1728"/>
          </w:tcPr>
          <w:p>
            <w:r>
              <w:t>+1.5 weeks</w:t>
            </w:r>
          </w:p>
        </w:tc>
        <w:tc>
          <w:tcPr>
            <w:tcW w:type="dxa" w:w="1728"/>
          </w:tcPr>
          <w:p>
            <w:r>
              <w:t>+$15,000</w:t>
            </w:r>
          </w:p>
        </w:tc>
      </w:tr>
      <w:tr>
        <w:tc>
          <w:tcPr>
            <w:tcW w:type="dxa" w:w="1728"/>
          </w:tcPr>
          <w:p>
            <w:r>
              <w:t>SC-012</w:t>
            </w:r>
          </w:p>
        </w:tc>
        <w:tc>
          <w:tcPr>
            <w:tcW w:type="dxa" w:w="1728"/>
          </w:tcPr>
          <w:p>
            <w:r>
              <w:t>Enhanced Reporting Filters</w:t>
            </w:r>
          </w:p>
        </w:tc>
        <w:tc>
          <w:tcPr>
            <w:tcW w:type="dxa" w:w="1728"/>
          </w:tcPr>
          <w:p>
            <w:r>
              <w:t>2025-08-05</w:t>
            </w:r>
          </w:p>
        </w:tc>
        <w:tc>
          <w:tcPr>
            <w:tcW w:type="dxa" w:w="1728"/>
          </w:tcPr>
          <w:p>
            <w:r>
              <w:t>+1 week</w:t>
            </w:r>
          </w:p>
        </w:tc>
        <w:tc>
          <w:tcPr>
            <w:tcW w:type="dxa" w:w="1728"/>
          </w:tcPr>
          <w:p>
            <w:r>
              <w:t>+$12,000</w:t>
            </w:r>
          </w:p>
        </w:tc>
      </w:tr>
      <w:tr>
        <w:tc>
          <w:tcPr>
            <w:tcW w:type="dxa" w:w="1728"/>
          </w:tcPr>
          <w:p>
            <w:r>
              <w:t>SC-013</w:t>
            </w:r>
          </w:p>
        </w:tc>
        <w:tc>
          <w:tcPr>
            <w:tcW w:type="dxa" w:w="1728"/>
          </w:tcPr>
          <w:p>
            <w:r>
              <w:t>Email Template Customization</w:t>
            </w:r>
          </w:p>
        </w:tc>
        <w:tc>
          <w:tcPr>
            <w:tcW w:type="dxa" w:w="1728"/>
          </w:tcPr>
          <w:p>
            <w:r>
              <w:t>2025-09-01</w:t>
            </w:r>
          </w:p>
        </w:tc>
        <w:tc>
          <w:tcPr>
            <w:tcW w:type="dxa" w:w="1728"/>
          </w:tcPr>
          <w:p>
            <w:r>
              <w:t>+0.5 weeks</w:t>
            </w:r>
          </w:p>
        </w:tc>
        <w:tc>
          <w:tcPr>
            <w:tcW w:type="dxa" w:w="1728"/>
          </w:tcPr>
          <w:p>
            <w:r>
              <w:t>+$6,000</w:t>
            </w:r>
          </w:p>
        </w:tc>
      </w:tr>
      <w:tr>
        <w:tc>
          <w:tcPr>
            <w:tcW w:type="dxa" w:w="1728"/>
          </w:tcPr>
          <w:p>
            <w:r>
              <w:t>SC-014</w:t>
            </w:r>
          </w:p>
        </w:tc>
        <w:tc>
          <w:tcPr>
            <w:tcW w:type="dxa" w:w="1728"/>
          </w:tcPr>
          <w:p>
            <w:r>
              <w:t>Advanced Search Operators</w:t>
            </w:r>
          </w:p>
        </w:tc>
        <w:tc>
          <w:tcPr>
            <w:tcW w:type="dxa" w:w="1728"/>
          </w:tcPr>
          <w:p>
            <w:r>
              <w:t>2025-08-15</w:t>
            </w:r>
          </w:p>
        </w:tc>
        <w:tc>
          <w:tcPr>
            <w:tcW w:type="dxa" w:w="1728"/>
          </w:tcPr>
          <w:p>
            <w:r>
              <w:t>+1 week</w:t>
            </w:r>
          </w:p>
        </w:tc>
        <w:tc>
          <w:tcPr>
            <w:tcW w:type="dxa" w:w="1728"/>
          </w:tcPr>
          <w:p>
            <w:r>
              <w:t>+$10,000</w:t>
            </w:r>
          </w:p>
        </w:tc>
      </w:tr>
    </w:tbl>
    <w:p>
      <w:pPr>
        <w:pStyle w:val="Heading1"/>
      </w:pPr>
      <w:r>
        <w:t>Minor Scope Changes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Change Description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</w:tr>
      <w:tr>
        <w:tc>
          <w:tcPr>
            <w:tcW w:type="dxa" w:w="2880"/>
          </w:tcPr>
          <w:p>
            <w:r>
              <w:t>SC-015</w:t>
            </w:r>
          </w:p>
        </w:tc>
        <w:tc>
          <w:tcPr>
            <w:tcW w:type="dxa" w:w="2880"/>
          </w:tcPr>
          <w:p>
            <w:r>
              <w:t>Password complexity requirements</w:t>
            </w:r>
          </w:p>
        </w:tc>
        <w:tc>
          <w:tcPr>
            <w:tcW w:type="dxa" w:w="2880"/>
          </w:tcPr>
          <w:p>
            <w:r>
              <w:t>+$3,000</w:t>
            </w:r>
          </w:p>
        </w:tc>
      </w:tr>
      <w:tr>
        <w:tc>
          <w:tcPr>
            <w:tcW w:type="dxa" w:w="2880"/>
          </w:tcPr>
          <w:p>
            <w:r>
              <w:t>SC-016</w:t>
            </w:r>
          </w:p>
        </w:tc>
        <w:tc>
          <w:tcPr>
            <w:tcW w:type="dxa" w:w="2880"/>
          </w:tcPr>
          <w:p>
            <w:r>
              <w:t>Session timeout configuration</w:t>
            </w:r>
          </w:p>
        </w:tc>
        <w:tc>
          <w:tcPr>
            <w:tcW w:type="dxa" w:w="2880"/>
          </w:tcPr>
          <w:p>
            <w:r>
              <w:t>+$2,500</w:t>
            </w:r>
          </w:p>
        </w:tc>
      </w:tr>
      <w:tr>
        <w:tc>
          <w:tcPr>
            <w:tcW w:type="dxa" w:w="2880"/>
          </w:tcPr>
          <w:p>
            <w:r>
              <w:t>SC-017</w:t>
            </w:r>
          </w:p>
        </w:tc>
        <w:tc>
          <w:tcPr>
            <w:tcW w:type="dxa" w:w="2880"/>
          </w:tcPr>
          <w:p>
            <w:r>
              <w:t>Export filename customization</w:t>
            </w:r>
          </w:p>
        </w:tc>
        <w:tc>
          <w:tcPr>
            <w:tcW w:type="dxa" w:w="2880"/>
          </w:tcPr>
          <w:p>
            <w:r>
              <w:t>+$1,500</w:t>
            </w:r>
          </w:p>
        </w:tc>
      </w:tr>
      <w:tr>
        <w:tc>
          <w:tcPr>
            <w:tcW w:type="dxa" w:w="2880"/>
          </w:tcPr>
          <w:p>
            <w:r>
              <w:t>SC-018</w:t>
            </w:r>
          </w:p>
        </w:tc>
        <w:tc>
          <w:tcPr>
            <w:tcW w:type="dxa" w:w="2880"/>
          </w:tcPr>
          <w:p>
            <w:r>
              <w:t>Notification preference granularity</w:t>
            </w:r>
          </w:p>
        </w:tc>
        <w:tc>
          <w:tcPr>
            <w:tcW w:type="dxa" w:w="2880"/>
          </w:tcPr>
          <w:p>
            <w:r>
              <w:t>+$4,000</w:t>
            </w:r>
          </w:p>
        </w:tc>
      </w:tr>
      <w:tr>
        <w:tc>
          <w:tcPr>
            <w:tcW w:type="dxa" w:w="2880"/>
          </w:tcPr>
          <w:p>
            <w:r>
              <w:t>SC-019</w:t>
            </w:r>
          </w:p>
        </w:tc>
        <w:tc>
          <w:tcPr>
            <w:tcW w:type="dxa" w:w="2880"/>
          </w:tcPr>
          <w:p>
            <w:r>
              <w:t>Dashboard widget reordering</w:t>
            </w:r>
          </w:p>
        </w:tc>
        <w:tc>
          <w:tcPr>
            <w:tcW w:type="dxa" w:w="2880"/>
          </w:tcPr>
          <w:p>
            <w:r>
              <w:t>+$3,500</w:t>
            </w:r>
          </w:p>
        </w:tc>
      </w:tr>
      <w:tr>
        <w:tc>
          <w:tcPr>
            <w:tcW w:type="dxa" w:w="2880"/>
          </w:tcPr>
          <w:p>
            <w:r>
              <w:t>SC-020</w:t>
            </w:r>
          </w:p>
        </w:tc>
        <w:tc>
          <w:tcPr>
            <w:tcW w:type="dxa" w:w="2880"/>
          </w:tcPr>
          <w:p>
            <w:r>
              <w:t>Timezone display preferences</w:t>
            </w:r>
          </w:p>
        </w:tc>
        <w:tc>
          <w:tcPr>
            <w:tcW w:type="dxa" w:w="2880"/>
          </w:tcPr>
          <w:p>
            <w:r>
              <w:t>+$2,000</w:t>
            </w:r>
          </w:p>
        </w:tc>
      </w:tr>
      <w:tr>
        <w:tc>
          <w:tcPr>
            <w:tcW w:type="dxa" w:w="2880"/>
          </w:tcPr>
          <w:p>
            <w:r>
              <w:t>SC-021</w:t>
            </w:r>
          </w:p>
        </w:tc>
        <w:tc>
          <w:tcPr>
            <w:tcW w:type="dxa" w:w="2880"/>
          </w:tcPr>
          <w:p>
            <w:r>
              <w:t>Search result pagination options</w:t>
            </w:r>
          </w:p>
        </w:tc>
        <w:tc>
          <w:tcPr>
            <w:tcW w:type="dxa" w:w="2880"/>
          </w:tcPr>
          <w:p>
            <w:r>
              <w:t>+$2,500</w:t>
            </w:r>
          </w:p>
        </w:tc>
      </w:tr>
      <w:tr>
        <w:tc>
          <w:tcPr>
            <w:tcW w:type="dxa" w:w="2880"/>
          </w:tcPr>
          <w:p>
            <w:r>
              <w:t>SC-022</w:t>
            </w:r>
          </w:p>
        </w:tc>
        <w:tc>
          <w:tcPr>
            <w:tcW w:type="dxa" w:w="2880"/>
          </w:tcPr>
          <w:p>
            <w:r>
              <w:t>Report scheduling frequency options</w:t>
            </w:r>
          </w:p>
        </w:tc>
        <w:tc>
          <w:tcPr>
            <w:tcW w:type="dxa" w:w="2880"/>
          </w:tcPr>
          <w:p>
            <w:r>
              <w:t>+$3,000</w:t>
            </w:r>
          </w:p>
        </w:tc>
      </w:tr>
      <w:tr>
        <w:tc>
          <w:tcPr>
            <w:tcW w:type="dxa" w:w="2880"/>
          </w:tcPr>
          <w:p>
            <w:r>
              <w:t>SC-023</w:t>
            </w:r>
          </w:p>
        </w:tc>
        <w:tc>
          <w:tcPr>
            <w:tcW w:type="dxa" w:w="2880"/>
          </w:tcPr>
          <w:p>
            <w:r>
              <w:t>User avatar support</w:t>
            </w:r>
          </w:p>
        </w:tc>
        <w:tc>
          <w:tcPr>
            <w:tcW w:type="dxa" w:w="2880"/>
          </w:tcPr>
          <w:p>
            <w:r>
              <w:t>+$1,500</w:t>
            </w:r>
          </w:p>
        </w:tc>
      </w:tr>
    </w:tbl>
    <w:p>
      <w:pPr>
        <w:pStyle w:val="Heading1"/>
      </w:pPr>
      <w:r>
        <w:t>Recommendations for Future Projects</w:t>
      </w:r>
    </w:p>
    <w:p>
      <w:pPr>
        <w:pStyle w:val="ListBullet"/>
      </w:pPr>
      <w:r>
        <w:t>Establish formal scope change process with defined approval workflow</w:t>
      </w:r>
    </w:p>
    <w:p>
      <w:pPr>
        <w:pStyle w:val="ListBullet"/>
      </w:pPr>
      <w:r>
        <w:t>Require impact analysis (schedule + budget) before scope change approval</w:t>
      </w:r>
    </w:p>
    <w:p>
      <w:pPr>
        <w:pStyle w:val="ListBullet"/>
      </w:pPr>
      <w:r>
        <w:t>Include scope freeze milestone in project plan with client acknowledgment</w:t>
      </w:r>
    </w:p>
    <w:p>
      <w:pPr>
        <w:pStyle w:val="ListBullet"/>
      </w:pPr>
      <w:r>
        <w:t>Build contingency buffer explicitly for scope changes (20-30%)</w:t>
      </w:r>
    </w:p>
    <w:p>
      <w:pPr>
        <w:pStyle w:val="ListBullet"/>
      </w:pPr>
      <w:r>
        <w:t>Conduct architectural decision sessions early to avoid late pivots</w:t>
      </w:r>
    </w:p>
    <w:p>
      <w:pPr>
        <w:pStyle w:val="ListBullet"/>
      </w:pPr>
      <w:r>
        <w:t>Include enterprise requirements (SSO, multi-tenancy, compliance) in discovery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