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30373949" w:rsidR="00746207" w:rsidRPr="00A42F33" w:rsidRDefault="00517EDB" w:rsidP="002F3B1D">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15F3D89B" w:rsidR="009E40F5" w:rsidRDefault="0056749C" w:rsidP="002F3B1D">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2F3B1D">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77777777" w:rsidR="00940637" w:rsidRDefault="00F962C3" w:rsidP="002F3B1D">
      <w:pPr>
        <w:spacing w:line="276" w:lineRule="auto"/>
      </w:pPr>
      <w:r>
        <w:t>Syftet med d</w:t>
      </w:r>
      <w:r w:rsidR="00BB79A3" w:rsidRPr="00154C8E">
        <w:t xml:space="preserve">enna rapport </w:t>
      </w:r>
      <w:r>
        <w:t xml:space="preserve">är att </w:t>
      </w:r>
      <w:r w:rsidR="00BB79A3" w:rsidRPr="00154C8E">
        <w:t xml:space="preserve">analysera datasetet </w:t>
      </w:r>
      <w:r w:rsidR="00BB79A3" w:rsidRPr="00154C8E">
        <w:rPr>
          <w:b/>
          <w:bCs/>
          <w:i/>
          <w:iCs/>
        </w:rPr>
        <w:t>Student’s Social Media Addiction</w:t>
      </w:r>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2F3B1D">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443B7F74" w:rsidR="00C242B5" w:rsidRDefault="008C67C1" w:rsidP="002F3B1D">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876C39">
        <w:t>prediktera</w:t>
      </w:r>
      <w:r w:rsidR="00C242B5">
        <w:t>d</w:t>
      </w:r>
      <w:r w:rsidR="00876C39">
        <w:t xml:space="preserve"> av en tränad Maskininlärnings-modell. </w:t>
      </w:r>
    </w:p>
    <w:p w14:paraId="00A0F6CD" w14:textId="3D4192A0" w:rsidR="002061E5" w:rsidRPr="00C242B5" w:rsidRDefault="00390002" w:rsidP="002F3B1D">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517EDB"/>
    <w:p w14:paraId="07114D5A" w14:textId="51090A67" w:rsidR="0005000D" w:rsidRDefault="00D1565C" w:rsidP="00517EDB">
      <w:r>
        <w:t>Frågeställningar:</w:t>
      </w:r>
    </w:p>
    <w:p w14:paraId="7E4DF460" w14:textId="77777777" w:rsidR="00D1565C" w:rsidRDefault="00D1565C" w:rsidP="00C20B36">
      <w:pPr>
        <w:pStyle w:val="ListParagraph"/>
        <w:numPr>
          <w:ilvl w:val="0"/>
          <w:numId w:val="21"/>
        </w:numPr>
      </w:pPr>
      <w:r>
        <w:t xml:space="preserve">Hur ser den dagliga användningen </w:t>
      </w:r>
      <w:r>
        <w:t>av sociala medier ut bland studenter</w:t>
      </w:r>
      <w:r>
        <w:t xml:space="preserve">? </w:t>
      </w:r>
    </w:p>
    <w:p w14:paraId="4B29C3B3" w14:textId="0AEC2A5D" w:rsidR="00D1565C" w:rsidRDefault="00D1565C" w:rsidP="00C20B36">
      <w:pPr>
        <w:pStyle w:val="ListParagraph"/>
        <w:numPr>
          <w:ilvl w:val="0"/>
          <w:numId w:val="21"/>
        </w:numPr>
      </w:pPr>
      <w:r>
        <w:t>Vilka samband finns mellan sociala medievanor och faktorer som studieresultat, relationer, sömn och psykisk hälsa?</w:t>
      </w:r>
    </w:p>
    <w:p w14:paraId="6C969327" w14:textId="10FF0658" w:rsidR="00D1565C" w:rsidRDefault="00D1565C" w:rsidP="00C20B36">
      <w:pPr>
        <w:pStyle w:val="ListParagraph"/>
        <w:numPr>
          <w:ilvl w:val="0"/>
          <w:numId w:val="21"/>
        </w:numPr>
      </w:pPr>
      <w:r>
        <w:t>Går det att</w:t>
      </w:r>
      <w:r>
        <w:t xml:space="preserve">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C20B36">
      <w:pPr>
        <w:pStyle w:val="ListParagraph"/>
        <w:numPr>
          <w:ilvl w:val="0"/>
          <w:numId w:val="21"/>
        </w:numPr>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517EDB"/>
    <w:p w14:paraId="4508683D" w14:textId="77777777" w:rsidR="0005000D" w:rsidRPr="00154C8E" w:rsidRDefault="0005000D" w:rsidP="00517EDB"/>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AA75177" w:rsidR="00AB3BAF" w:rsidRPr="00C25CE8"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r w:rsidR="00C25CE8">
        <w:t>.</w:t>
      </w:r>
    </w:p>
    <w:p w14:paraId="46A25C13" w14:textId="77777777" w:rsidR="00C25CE8" w:rsidRDefault="00C25CE8" w:rsidP="00297EC7">
      <w:pPr>
        <w:spacing w:line="276" w:lineRule="auto"/>
      </w:pPr>
    </w:p>
    <w:p w14:paraId="6B2F97B9" w14:textId="77777777" w:rsidR="00297EC7" w:rsidRDefault="00297EC7" w:rsidP="00297EC7">
      <w:pPr>
        <w:pStyle w:val="Heading3"/>
        <w:spacing w:line="276" w:lineRule="auto"/>
      </w:pPr>
      <w:r>
        <w:t>Begränsningar</w:t>
      </w:r>
    </w:p>
    <w:p w14:paraId="5D2F58FF" w14:textId="77777777" w:rsidR="00BB1D2E" w:rsidRDefault="00BB1D2E" w:rsidP="00BB1D2E">
      <w:r>
        <w:t>Alla mätningar i datasetet är självrapporterade och självskattade av varje enskild person. Brist på självinsikt och beroendebild kan bidra till icke sanningsenliga svar.</w:t>
      </w:r>
    </w:p>
    <w:p w14:paraId="7C7604CD" w14:textId="77777777" w:rsidR="00BB1D2E" w:rsidRDefault="00BB1D2E" w:rsidP="00BB1D2E">
      <w:r>
        <w:t>Respondenterna skulle även kunna vara påverkade av social önskvärdhetsbias genom att de känner sig pressade att förneka beroendeproblematik, eller rationalisera den.</w:t>
      </w:r>
    </w:p>
    <w:p w14:paraId="30203BE8" w14:textId="47C003E6" w:rsidR="00BB1D2E" w:rsidRDefault="00F91187" w:rsidP="00E66F79">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Eftersom dessa variabler påverkar varandra försvårar det bedömningen av orsak och verkan.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AF6FB8">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09316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2" w:history="1">
        <w:r w:rsidRPr="00E06BF1">
          <w:rPr>
            <w:rStyle w:val="Hyperlink"/>
            <w:i/>
            <w:iCs/>
          </w:rPr>
          <w:t>Bergen Social Media Addiction Scale</w:t>
        </w:r>
      </w:hyperlink>
      <w:r>
        <w:t>.</w:t>
      </w:r>
      <w:r w:rsidR="00532FC8">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852F83">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730350">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730350">
      <w:pPr>
        <w:pStyle w:val="ListParagraph"/>
        <w:numPr>
          <w:ilvl w:val="0"/>
          <w:numId w:val="15"/>
        </w:numPr>
        <w:spacing w:line="276" w:lineRule="auto"/>
        <w:rPr>
          <w:lang w:val="en-SE"/>
        </w:rPr>
      </w:pPr>
      <w:r>
        <w:rPr>
          <w:lang w:val="en-SE"/>
        </w:rPr>
        <w:t>Kategorin</w:t>
      </w:r>
      <w:r>
        <w:rPr>
          <w:lang w:val="en-SE"/>
        </w:rPr>
        <w:t xml:space="preserve">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9408F">
      <w:pPr>
        <w:spacing w:line="276" w:lineRule="auto"/>
        <w:rPr>
          <w:lang w:val="en-SE"/>
        </w:rPr>
      </w:pPr>
    </w:p>
    <w:p w14:paraId="1B1045EB" w14:textId="77777777" w:rsidR="00C82627" w:rsidRDefault="00C82627" w:rsidP="0069408F">
      <w:pPr>
        <w:spacing w:line="276" w:lineRule="auto"/>
        <w:rPr>
          <w:lang w:val="en-SE"/>
        </w:rPr>
      </w:pPr>
    </w:p>
    <w:p w14:paraId="5A38B544" w14:textId="77777777" w:rsidR="00C82627" w:rsidRDefault="00C82627" w:rsidP="0069408F">
      <w:pPr>
        <w:spacing w:line="276" w:lineRule="auto"/>
        <w:rPr>
          <w:lang w:val="en-SE"/>
        </w:rPr>
      </w:pPr>
    </w:p>
    <w:p w14:paraId="1CAD8A79" w14:textId="77777777" w:rsidR="00C82627" w:rsidRDefault="00C82627" w:rsidP="0069408F">
      <w:pPr>
        <w:spacing w:line="276" w:lineRule="auto"/>
        <w:rPr>
          <w:lang w:val="en-SE"/>
        </w:rPr>
      </w:pPr>
    </w:p>
    <w:p w14:paraId="2453F501" w14:textId="77777777" w:rsidR="00C82627" w:rsidRDefault="00C82627" w:rsidP="0069408F">
      <w:pPr>
        <w:spacing w:line="276" w:lineRule="auto"/>
        <w:rPr>
          <w:lang w:val="en-SE"/>
        </w:rPr>
      </w:pPr>
    </w:p>
    <w:p w14:paraId="59DDB91F" w14:textId="77777777" w:rsidR="00C82627" w:rsidRPr="0069408F" w:rsidRDefault="00C82627" w:rsidP="0069408F">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3"/>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5B59423E" w:rsidR="0043734C" w:rsidRDefault="0043734C" w:rsidP="0043734C">
      <w:pPr>
        <w:pStyle w:val="Heading3"/>
        <w:spacing w:line="276" w:lineRule="auto"/>
      </w:pPr>
      <w:r>
        <w:lastRenderedPageBreak/>
        <w:t>Med</w:t>
      </w:r>
      <w:r w:rsidR="00B072C5">
        <w:t>elvärden</w:t>
      </w:r>
    </w:p>
    <w:p w14:paraId="2AD39756" w14:textId="1763BC7E" w:rsidR="0043734C" w:rsidRPr="00EA5B0E" w:rsidRDefault="0043734C" w:rsidP="008D2777">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4"/>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5"/>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591CE2">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1B5060E4" w:rsidR="0043734C" w:rsidRPr="00591CE2" w:rsidRDefault="0043734C" w:rsidP="00591CE2">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591CE2">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6"/>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591CE2">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6A6242F9" w:rsidR="00180232" w:rsidRPr="009D4BB3" w:rsidRDefault="009D4BB3" w:rsidP="00180232">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7"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8"/>
                    <a:stretch>
                      <a:fillRect/>
                    </a:stretch>
                  </pic:blipFill>
                  <pic:spPr>
                    <a:xfrm>
                      <a:off x="0" y="0"/>
                      <a:ext cx="5760720" cy="3153410"/>
                    </a:xfrm>
                    <a:prstGeom prst="rect">
                      <a:avLst/>
                    </a:prstGeom>
                  </pic:spPr>
                </pic:pic>
              </a:graphicData>
            </a:graphic>
          </wp:inline>
        </w:drawing>
      </w:r>
    </w:p>
    <w:p w14:paraId="7F180367" w14:textId="2B81710C" w:rsidR="00376785" w:rsidRDefault="00A90A72" w:rsidP="006929AB">
      <w:pPr>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B466E66" w:rsidR="00BA168D" w:rsidRDefault="00BA168D" w:rsidP="00BA168D">
      <w:pPr>
        <w:pStyle w:val="Heading2"/>
        <w:spacing w:line="276" w:lineRule="auto"/>
      </w:pPr>
      <w:r>
        <w:t>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1D638479" w:rsidR="005E276F" w:rsidRDefault="005E276F" w:rsidP="003E0A7A">
      <w:pPr>
        <w:pStyle w:val="Heading3"/>
        <w:rPr>
          <w:color w:val="2F5496" w:themeColor="accent1" w:themeShade="BF"/>
          <w:sz w:val="26"/>
          <w:szCs w:val="26"/>
        </w:rPr>
      </w:pPr>
      <w:r>
        <w:rPr>
          <w:color w:val="2F5496" w:themeColor="accent1" w:themeShade="BF"/>
          <w:sz w:val="26"/>
          <w:szCs w:val="26"/>
        </w:rPr>
        <w:t xml:space="preserve">Preprocessering </w:t>
      </w:r>
      <w:r w:rsidR="004A0F0F">
        <w:rPr>
          <w:color w:val="2F5496" w:themeColor="accent1" w:themeShade="BF"/>
          <w:sz w:val="26"/>
          <w:szCs w:val="26"/>
        </w:rPr>
        <w:t>&amp; Feature Engineering</w:t>
      </w:r>
      <w:r>
        <w:rPr>
          <w:color w:val="2F5496" w:themeColor="accent1" w:themeShade="BF"/>
          <w:sz w:val="26"/>
          <w:szCs w:val="26"/>
        </w:rPr>
        <w:t xml:space="preserve"> inför modellträning</w:t>
      </w:r>
    </w:p>
    <w:p w14:paraId="11DE988B" w14:textId="57E6154B" w:rsidR="002D5BD1" w:rsidRDefault="00E4457A" w:rsidP="002D5BD1">
      <w:r>
        <w:t>Under bearbetningen av datasetet inför modellträning</w:t>
      </w:r>
      <w:r w:rsidR="000F4AE4">
        <w:t xml:space="preserve"> läses datasetet in på nytt.</w:t>
      </w:r>
    </w:p>
    <w:p w14:paraId="4D76F69C" w14:textId="2D6EA8E6" w:rsidR="00C27FF0" w:rsidRDefault="00613C32" w:rsidP="002D5BD1">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2D5BD1">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49BBA5E0"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3796B6FD" w:rsidR="00002A00" w:rsidRPr="00002A00" w:rsidRDefault="00585768" w:rsidP="00002A00">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7C2E403C"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529E372C" w14:textId="77777777" w:rsidR="001A6D74" w:rsidRPr="00544F5C" w:rsidRDefault="001A6D74" w:rsidP="00B60461"/>
    <w:p w14:paraId="7B87F52F" w14:textId="0A4E61B3" w:rsidR="00B60461" w:rsidRDefault="00B60461" w:rsidP="003E0A7A">
      <w:pPr>
        <w:pStyle w:val="Heading3"/>
        <w:rPr>
          <w:color w:val="2F5496" w:themeColor="accent1" w:themeShade="BF"/>
          <w:sz w:val="26"/>
          <w:szCs w:val="26"/>
        </w:rPr>
      </w:pPr>
      <w:r>
        <w:rPr>
          <w:color w:val="2F5496" w:themeColor="accent1" w:themeShade="BF"/>
          <w:sz w:val="26"/>
          <w:szCs w:val="26"/>
        </w:rPr>
        <w:t xml:space="preserve">Preprocessering av data inför </w:t>
      </w:r>
      <w:r w:rsidR="00507966">
        <w:rPr>
          <w:color w:val="2F5496" w:themeColor="accent1" w:themeShade="BF"/>
          <w:sz w:val="26"/>
          <w:szCs w:val="26"/>
        </w:rPr>
        <w:t>Klassificeringsmodeller</w:t>
      </w:r>
    </w:p>
    <w:p w14:paraId="1D2B3964" w14:textId="57D0250B" w:rsidR="0090786A" w:rsidRDefault="00086A6F" w:rsidP="00B60461">
      <w:r>
        <w:t>Processen för klassificeringsmodelle</w:t>
      </w:r>
      <w:r w:rsidR="00D37AAE">
        <w:t>r</w:t>
      </w:r>
      <w:r>
        <w:t xml:space="preserve"> innebär lite mer arbete</w:t>
      </w:r>
      <w:r w:rsidR="00EC2DBA">
        <w:t xml:space="preserve"> och ställningstaganden</w:t>
      </w:r>
      <w:r w:rsidR="00110101">
        <w:t xml:space="preserve"> än för linjär regression</w:t>
      </w:r>
      <w:r w:rsidR="0056354E">
        <w:t xml:space="preserve">. </w:t>
      </w:r>
    </w:p>
    <w:p w14:paraId="24D52936" w14:textId="712F0378" w:rsidR="007008AF" w:rsidRDefault="007008AF" w:rsidP="00B60461">
      <w:r w:rsidRPr="00544F5C">
        <w:rPr>
          <w:i/>
          <w:iCs/>
        </w:rPr>
        <w:t>Dummy-variable-encoding</w:t>
      </w:r>
      <w:r w:rsidRPr="00544F5C">
        <w:t xml:space="preserve"> (likväl som </w:t>
      </w:r>
      <w:r w:rsidRPr="00544F5C">
        <w:rPr>
          <w:i/>
          <w:iCs/>
        </w:rPr>
        <w:t>one-hot-encoding</w:t>
      </w:r>
      <w:r w:rsidRPr="00544F5C">
        <w:t>) används för</w:t>
      </w:r>
      <w:r>
        <w:t xml:space="preserve"> att omvandla kategorisk data till numerisk data. Detta är nödvändigt för att våra ML-modeller ska kunna tränas, fungera och prediktera åt oss. Vi skiljer på </w:t>
      </w:r>
      <w:r>
        <w:rPr>
          <w:i/>
          <w:iCs/>
        </w:rPr>
        <w:t>nominal</w:t>
      </w:r>
      <w:r>
        <w:t xml:space="preserve"> och </w:t>
      </w:r>
      <w:r>
        <w:rPr>
          <w:i/>
          <w:iCs/>
        </w:rPr>
        <w:t>ordinal</w:t>
      </w:r>
      <w:r>
        <w:t xml:space="preserve"> data – där det förstnämnda innebär värden som saknar inbördes rangordning, medan det sistnämnda har en tydlig rangordning. </w:t>
      </w:r>
    </w:p>
    <w:p w14:paraId="78732BF6" w14:textId="0EF98384"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B60461">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19"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6C717E79"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7B083D7E" w:rsidR="002151B1" w:rsidRDefault="002E2295" w:rsidP="00E928E4">
      <w:pPr>
        <w:rPr>
          <w:rFonts w:eastAsiaTheme="minorEastAsia"/>
        </w:rPr>
      </w:pPr>
      <w:r>
        <w:rPr>
          <w:lang w:val="en-SE"/>
        </w:rPr>
        <w:lastRenderedPageBreak/>
        <w:t xml:space="preserve">Hanteringen av övriga kategoriska variabler sker via </w:t>
      </w:r>
      <w:r>
        <w:rPr>
          <w:i/>
          <w:iCs/>
          <w:lang w:val="en-SE"/>
        </w:rPr>
        <w:t>one-hot-encoding</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C73D5B">
        <w:t>)</w:t>
      </w:r>
      <w:r w:rsidR="009D29ED">
        <w:rPr>
          <w:lang w:val="en-SE"/>
        </w:rPr>
        <w:t>.</w:t>
      </w:r>
    </w:p>
    <w:p w14:paraId="439DDD04" w14:textId="77777777" w:rsidR="002151B1" w:rsidRPr="000612C2" w:rsidRDefault="002151B1" w:rsidP="00E928E4">
      <w:pPr>
        <w:rPr>
          <w:rFonts w:eastAsiaTheme="minorEastAsia"/>
        </w:rPr>
      </w:pPr>
    </w:p>
    <w:p w14:paraId="53D7FCCD" w14:textId="1FB28CC1" w:rsidR="00E53DD2" w:rsidRDefault="00E53DD2" w:rsidP="00E53DD2">
      <w:pPr>
        <w:pStyle w:val="Heading2"/>
        <w:numPr>
          <w:ilvl w:val="0"/>
          <w:numId w:val="0"/>
        </w:numPr>
        <w:spacing w:line="276" w:lineRule="auto"/>
        <w:ind w:left="576" w:hanging="576"/>
      </w:pPr>
      <w:r>
        <w:t>2.3</w:t>
      </w:r>
      <w:r w:rsidR="00A87AD9">
        <w:t xml:space="preserve">   </w:t>
      </w:r>
      <w:r w:rsidR="00E1749E">
        <w:t xml:space="preserve">Utvärderingsmått: </w:t>
      </w:r>
      <w:r w:rsidR="0046655B">
        <w:t>Confusion Matrix</w:t>
      </w:r>
    </w:p>
    <w:p w14:paraId="300EC34A" w14:textId="77777777" w:rsidR="00D34763" w:rsidRDefault="0046655B" w:rsidP="0046655B">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46655B">
      <w:pPr>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46655B">
      <w:pPr>
        <w:rPr>
          <w:lang w:val="en-GB"/>
        </w:rPr>
      </w:pPr>
      <w:r w:rsidRPr="00FD5B00">
        <w:rPr>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0"/>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D332ED">
      <w:pPr>
        <w:pStyle w:val="Caption"/>
      </w:pPr>
      <w:r>
        <w:t xml:space="preserve">Fig </w:t>
      </w:r>
      <w:r>
        <w:fldChar w:fldCharType="begin"/>
      </w:r>
      <w:r>
        <w:instrText xml:space="preserve"> SEQ Figure \* ARABIC </w:instrText>
      </w:r>
      <w:r>
        <w:fldChar w:fldCharType="separate"/>
      </w:r>
      <w:r>
        <w:rPr>
          <w:noProof/>
        </w:rPr>
        <w:t>1</w:t>
      </w:r>
      <w:r>
        <w:fldChar w:fldCharType="end"/>
      </w:r>
      <w:r>
        <w:t>. Schematisk representation av en Confusion Matrix</w:t>
      </w:r>
    </w:p>
    <w:p w14:paraId="6C6636B0" w14:textId="77777777" w:rsidR="00A8589E" w:rsidRPr="00E53DD2" w:rsidRDefault="00A8589E" w:rsidP="00E53DD2"/>
    <w:p w14:paraId="7B4BFDAF" w14:textId="50E39075" w:rsidR="00E53DD2" w:rsidRPr="00A322CE" w:rsidRDefault="00E53DD2" w:rsidP="00E53DD2">
      <w:pPr>
        <w:pStyle w:val="Heading2"/>
        <w:numPr>
          <w:ilvl w:val="0"/>
          <w:numId w:val="0"/>
        </w:numPr>
        <w:spacing w:line="276" w:lineRule="auto"/>
        <w:ind w:left="576" w:hanging="576"/>
      </w:pPr>
      <w:r w:rsidRPr="00A322CE">
        <w:t>2.3.</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p>
    <w:p w14:paraId="59C0FCBD" w14:textId="374C59E1" w:rsidR="00C45FBC" w:rsidRDefault="00D27C11" w:rsidP="00C45FBC">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BD6FDC">
      <w:pPr>
        <w:pStyle w:val="ListParagraph"/>
        <w:numPr>
          <w:ilvl w:val="0"/>
          <w:numId w:val="20"/>
        </w:numPr>
      </w:pPr>
      <w:r w:rsidRPr="00BD6FDC">
        <w:rPr>
          <w:b/>
          <w:bCs/>
          <w:i/>
          <w:iCs/>
        </w:rPr>
        <w:t>Accuracy</w:t>
      </w:r>
      <w:r>
        <w:t xml:space="preserve"> utgör den andel korrekta prediktioner av samtliga observationer.</w:t>
      </w:r>
    </w:p>
    <w:p w14:paraId="79E6DE32" w14:textId="6650923A" w:rsidR="00845C86" w:rsidRDefault="00845C86" w:rsidP="00BD6FDC">
      <w:pPr>
        <w:pStyle w:val="ListParagraph"/>
        <w:numPr>
          <w:ilvl w:val="0"/>
          <w:numId w:val="20"/>
        </w:numPr>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BD6FDC">
      <w:pPr>
        <w:pStyle w:val="ListParagraph"/>
        <w:numPr>
          <w:ilvl w:val="0"/>
          <w:numId w:val="20"/>
        </w:numPr>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CD8CB73" w14:textId="2FFD76E8" w:rsidR="00BC058D" w:rsidRDefault="00BC058D" w:rsidP="00BD6FDC">
      <w:pPr>
        <w:pStyle w:val="ListParagraph"/>
        <w:numPr>
          <w:ilvl w:val="0"/>
          <w:numId w:val="20"/>
        </w:numPr>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09587A">
        <w:t xml:space="preserve"> enligt formeln:</w:t>
      </w:r>
    </w:p>
    <w:p w14:paraId="1C818C31" w14:textId="23684D60" w:rsidR="00BF5DC9" w:rsidRPr="00BF5DC9" w:rsidRDefault="00BF5DC9" w:rsidP="00BF5DC9">
      <w:pPr>
        <w:rPr>
          <w:rFonts w:ascii="Cambria Math" w:hAnsi="Cambria Math"/>
          <w:oMath/>
        </w:rPr>
      </w:pPr>
      <m:oMathPara>
        <m:oMath>
          <m:r>
            <w:rPr>
              <w:rFonts w:ascii="Cambria Math" w:hAnsi="Cambria Math"/>
            </w:rPr>
            <m:t>F1 = 2 * (precision * recall) / (precision + recall)</m:t>
          </m:r>
        </m:oMath>
      </m:oMathPara>
    </w:p>
    <w:p w14:paraId="30EBF032" w14:textId="10727115" w:rsidR="00BF5DC9" w:rsidRPr="00BF5DC9" w:rsidRDefault="00BF5DC9" w:rsidP="00BF5DC9">
      <w:pPr>
        <w:rPr>
          <w:rFonts w:ascii="Cambria Math" w:hAnsi="Cambria Math"/>
          <w:oMath/>
        </w:rPr>
      </w:pPr>
      <m:oMathPara>
        <m:oMath>
          <m:r>
            <w:rPr>
              <w:rFonts w:ascii="Cambria Math" w:hAnsi="Cambria Math"/>
            </w:rPr>
            <m:t>precision = TP / (TP + FP)</m:t>
          </m:r>
        </m:oMath>
      </m:oMathPara>
    </w:p>
    <w:p w14:paraId="2BD60649" w14:textId="301171DA" w:rsidR="00740F17" w:rsidRDefault="00BF5DC9" w:rsidP="00BF5DC9">
      <w:pPr>
        <w:rPr>
          <w:rFonts w:eastAsiaTheme="minorEastAsia"/>
        </w:rPr>
      </w:pPr>
      <m:oMathPara>
        <m:oMath>
          <m:r>
            <w:rPr>
              <w:rFonts w:ascii="Cambria Math" w:hAnsi="Cambria Math"/>
            </w:rPr>
            <m:t>recall = TP / (TP + FN</m:t>
          </m:r>
          <m:r>
            <w:rPr>
              <w:rFonts w:ascii="Cambria Math" w:hAnsi="Cambria Math"/>
            </w:rPr>
            <m:t>)</m:t>
          </m:r>
        </m:oMath>
      </m:oMathPara>
    </w:p>
    <w:p w14:paraId="76A93A28" w14:textId="2AD71B45" w:rsidR="00E53DD2" w:rsidRDefault="00FE0930" w:rsidP="005A23B2">
      <w:pPr>
        <w:rPr>
          <w:lang w:val="en-GB"/>
        </w:rPr>
      </w:pPr>
      <w:r w:rsidRPr="00FE0930">
        <w:rPr>
          <w:lang w:val="en-GB"/>
        </w:rPr>
        <w:t>(s. 162, Prg</w:t>
      </w:r>
      <w:r>
        <w:rPr>
          <w:lang w:val="en-GB"/>
        </w:rPr>
        <w:t>omet et al. 2025)</w:t>
      </w:r>
    </w:p>
    <w:p w14:paraId="53A8C318" w14:textId="77777777" w:rsidR="00C51ECD" w:rsidRDefault="00C51ECD" w:rsidP="005A23B2">
      <w:pPr>
        <w:rPr>
          <w:lang w:val="en-GB"/>
        </w:rPr>
      </w:pPr>
    </w:p>
    <w:p w14:paraId="462AB201" w14:textId="77777777" w:rsidR="00E32B84" w:rsidRDefault="00E32B84" w:rsidP="005A23B2">
      <w:pPr>
        <w:rPr>
          <w:lang w:val="en-GB"/>
        </w:rPr>
      </w:pPr>
    </w:p>
    <w:p w14:paraId="22633059" w14:textId="2336B16D" w:rsidR="00C51ECD" w:rsidRPr="00C51ECD" w:rsidRDefault="00C51ECD" w:rsidP="00C51ECD">
      <w:pPr>
        <w:pStyle w:val="Heading2"/>
        <w:numPr>
          <w:ilvl w:val="0"/>
          <w:numId w:val="0"/>
        </w:numPr>
        <w:spacing w:line="276" w:lineRule="auto"/>
        <w:ind w:left="576" w:hanging="576"/>
        <w:rPr>
          <w:lang w:val="nb-NO"/>
        </w:rPr>
      </w:pPr>
      <w:r w:rsidRPr="00C51ECD">
        <w:rPr>
          <w:lang w:val="nb-NO"/>
        </w:rPr>
        <w:lastRenderedPageBreak/>
        <w:t>2.</w:t>
      </w:r>
      <w:r w:rsidR="00F63934">
        <w:rPr>
          <w:lang w:val="nb-NO"/>
        </w:rPr>
        <w:t>5</w:t>
      </w:r>
      <w:r w:rsidRPr="00C51ECD">
        <w:rPr>
          <w:lang w:val="nb-NO"/>
        </w:rPr>
        <w:t xml:space="preserve">   </w:t>
      </w:r>
      <w:r>
        <w:rPr>
          <w:lang w:val="nb-NO"/>
        </w:rPr>
        <w:t>Klassificeringsmodeller</w:t>
      </w:r>
    </w:p>
    <w:p w14:paraId="1934A4C6" w14:textId="77777777" w:rsidR="00C51ECD" w:rsidRDefault="00C51ECD" w:rsidP="00C51ECD">
      <w:pPr>
        <w:pStyle w:val="Heading2"/>
        <w:numPr>
          <w:ilvl w:val="0"/>
          <w:numId w:val="0"/>
        </w:numPr>
        <w:spacing w:line="276" w:lineRule="auto"/>
        <w:ind w:left="576" w:hanging="576"/>
        <w:rPr>
          <w:lang w:val="nb-NO"/>
        </w:rPr>
      </w:pPr>
    </w:p>
    <w:p w14:paraId="03512E52" w14:textId="5307B8D5" w:rsidR="00F63934" w:rsidRDefault="000E7019" w:rsidP="00F63934">
      <w:pPr>
        <w:rPr>
          <w:lang w:val="nb-NO"/>
        </w:rPr>
      </w:pPr>
      <w:r w:rsidRPr="00C51ECD">
        <w:rPr>
          <w:lang w:val="nb-NO"/>
        </w:rPr>
        <w:t>(s. 151-153, 190, 203-205, Prgomet et al. 2025)</w:t>
      </w:r>
    </w:p>
    <w:p w14:paraId="4FE46176" w14:textId="77777777" w:rsidR="00F63934" w:rsidRPr="00F63934" w:rsidRDefault="00F63934" w:rsidP="00F63934">
      <w:pPr>
        <w:rPr>
          <w:lang w:val="nb-NO"/>
        </w:rPr>
      </w:pPr>
    </w:p>
    <w:p w14:paraId="5D033943" w14:textId="77777777" w:rsidR="00F63934" w:rsidRPr="00C51ECD" w:rsidRDefault="00F63934" w:rsidP="00F63934">
      <w:pPr>
        <w:pStyle w:val="Heading2"/>
        <w:numPr>
          <w:ilvl w:val="0"/>
          <w:numId w:val="0"/>
        </w:numPr>
        <w:spacing w:line="276" w:lineRule="auto"/>
        <w:ind w:left="576" w:hanging="576"/>
        <w:rPr>
          <w:lang w:val="nb-NO"/>
        </w:rPr>
      </w:pPr>
      <w:r w:rsidRPr="00C51ECD">
        <w:rPr>
          <w:lang w:val="nb-NO"/>
        </w:rPr>
        <w:t>2.</w:t>
      </w:r>
      <w:r>
        <w:rPr>
          <w:lang w:val="nb-NO"/>
        </w:rPr>
        <w:t>5.1</w:t>
      </w:r>
      <w:r w:rsidRPr="00C51ECD">
        <w:rPr>
          <w:lang w:val="nb-NO"/>
        </w:rPr>
        <w:t xml:space="preserve">   Maskininlärningsmodell: RandomForestClassifier</w:t>
      </w:r>
    </w:p>
    <w:p w14:paraId="5FB8ACE2" w14:textId="77777777" w:rsidR="00F63934" w:rsidRPr="00F63934" w:rsidRDefault="00F63934" w:rsidP="00F63934">
      <w:pPr>
        <w:rPr>
          <w:lang w:val="nb-NO"/>
        </w:rPr>
      </w:pPr>
      <w:r w:rsidRPr="00F63934">
        <w:rPr>
          <w:lang w:val="nb-NO"/>
        </w:rPr>
        <w:t xml:space="preserve">Optimerad implementation för </w:t>
      </w:r>
      <w:r w:rsidRPr="00F63934">
        <w:rPr>
          <w:i/>
          <w:iCs/>
          <w:lang w:val="nb-NO"/>
        </w:rPr>
        <w:t>Random forest</w:t>
      </w:r>
      <w:r w:rsidRPr="00F63934">
        <w:rPr>
          <w:lang w:val="nb-NO"/>
        </w:rPr>
        <w:t xml:space="preserve">-modeller </w:t>
      </w:r>
      <w:r w:rsidRPr="00C51ECD">
        <w:rPr>
          <w:lang w:val="nb-NO"/>
        </w:rPr>
        <w:t xml:space="preserve">(s. </w:t>
      </w:r>
      <w:r>
        <w:rPr>
          <w:lang w:val="nb-NO"/>
        </w:rPr>
        <w:t>204</w:t>
      </w:r>
      <w:r w:rsidRPr="00C51ECD">
        <w:rPr>
          <w:lang w:val="nb-NO"/>
        </w:rPr>
        <w:t>, Prgomet et al. 2025)</w:t>
      </w:r>
      <w:r w:rsidRPr="00F63934">
        <w:rPr>
          <w:lang w:val="nb-NO"/>
        </w:rPr>
        <w:t>.</w:t>
      </w:r>
    </w:p>
    <w:p w14:paraId="4ACD495F" w14:textId="77777777" w:rsidR="00F63934" w:rsidRPr="002B1B7A" w:rsidRDefault="00F63934" w:rsidP="00F63934">
      <w:pPr>
        <w:rPr>
          <w:lang w:val="nb-NO"/>
        </w:rPr>
      </w:pPr>
      <w:r w:rsidRPr="00C51ECD">
        <w:rPr>
          <w:lang w:val="nb-NO"/>
        </w:rPr>
        <w:t>(s. 151-153, 190, 203-205, Prgomet et al. 2025)</w:t>
      </w:r>
    </w:p>
    <w:p w14:paraId="4084913C" w14:textId="77777777" w:rsidR="00F63934" w:rsidRPr="002B1B7A" w:rsidRDefault="00F63934" w:rsidP="00F63934">
      <w:pPr>
        <w:spacing w:line="276" w:lineRule="auto"/>
        <w:rPr>
          <w:lang w:val="nb-NO"/>
        </w:rPr>
      </w:pPr>
    </w:p>
    <w:p w14:paraId="38C48ED4" w14:textId="77777777" w:rsidR="00F63934" w:rsidRPr="00F63934" w:rsidRDefault="00F63934" w:rsidP="00F63934">
      <w:pPr>
        <w:pStyle w:val="Heading2"/>
        <w:numPr>
          <w:ilvl w:val="0"/>
          <w:numId w:val="0"/>
        </w:numPr>
        <w:spacing w:line="276" w:lineRule="auto"/>
        <w:ind w:left="576" w:hanging="576"/>
        <w:rPr>
          <w:lang w:val="nb-NO"/>
        </w:rPr>
      </w:pPr>
      <w:r w:rsidRPr="00F63934">
        <w:rPr>
          <w:lang w:val="nb-NO"/>
        </w:rPr>
        <w:t>2.5.2   Maskininlärningsmodell: Support Vector Machines (SVM)</w:t>
      </w:r>
    </w:p>
    <w:p w14:paraId="67A8214C" w14:textId="77777777" w:rsidR="00F63934" w:rsidRPr="00F63934" w:rsidRDefault="00F63934" w:rsidP="00F63934">
      <w:pPr>
        <w:spacing w:line="276" w:lineRule="auto"/>
        <w:rPr>
          <w:lang w:val="nb-NO"/>
        </w:rPr>
      </w:pPr>
    </w:p>
    <w:p w14:paraId="381248FC" w14:textId="77777777" w:rsidR="00F63934" w:rsidRPr="00F6775E" w:rsidRDefault="00F63934" w:rsidP="00F63934">
      <w:pPr>
        <w:spacing w:line="276" w:lineRule="auto"/>
        <w:rPr>
          <w:lang w:val="nb-NO"/>
        </w:rPr>
      </w:pPr>
      <w:r w:rsidRPr="00C51ECD">
        <w:rPr>
          <w:lang w:val="nb-NO"/>
        </w:rPr>
        <w:t xml:space="preserve">(s. </w:t>
      </w:r>
      <w:r>
        <w:rPr>
          <w:lang w:val="nb-NO"/>
        </w:rPr>
        <w:t>176-180</w:t>
      </w:r>
      <w:r w:rsidRPr="00C51ECD">
        <w:rPr>
          <w:lang w:val="nb-NO"/>
        </w:rPr>
        <w:t>, Prgomet et al. 2025)</w:t>
      </w:r>
    </w:p>
    <w:p w14:paraId="46476DF8" w14:textId="77777777" w:rsidR="00F63934" w:rsidRDefault="00F63934" w:rsidP="00C51ECD">
      <w:pPr>
        <w:rPr>
          <w:lang w:val="nb-NO"/>
        </w:rPr>
      </w:pPr>
    </w:p>
    <w:p w14:paraId="07710733" w14:textId="695C0CA9" w:rsidR="00BA522C" w:rsidRPr="00632004" w:rsidRDefault="00BA522C" w:rsidP="00BA522C">
      <w:pPr>
        <w:pStyle w:val="Heading2"/>
        <w:numPr>
          <w:ilvl w:val="0"/>
          <w:numId w:val="0"/>
        </w:numPr>
        <w:spacing w:line="276" w:lineRule="auto"/>
        <w:ind w:left="576" w:hanging="576"/>
      </w:pPr>
      <w:r w:rsidRPr="00632004">
        <w:t>2.</w:t>
      </w:r>
      <w:r>
        <w:t>7</w:t>
      </w:r>
      <w:r w:rsidRPr="00632004">
        <w:t xml:space="preserve">   </w:t>
      </w:r>
      <w:r>
        <w:t>K-delad Korsvalidering</w:t>
      </w:r>
    </w:p>
    <w:p w14:paraId="58C6CD4A" w14:textId="4B7730AE" w:rsidR="00BA522C" w:rsidRDefault="00BA522C" w:rsidP="00BA522C">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709C25D2" w:rsidR="00BA522C" w:rsidRDefault="00BA522C" w:rsidP="00C51ECD">
      <w:r>
        <w:t xml:space="preserve">I varje iteration utförs en validering och ett värde tilldelas utifrån det utvärderingsmått som används. Slutligen tas medelvärdet av alla utvärderingsmått; resultatet blir en siffra som bedömer hur bra modellen presterat. </w:t>
      </w:r>
    </w:p>
    <w:p w14:paraId="3D54EEBF" w14:textId="60CC6845" w:rsidR="004C7F0D" w:rsidRPr="00BA522C" w:rsidRDefault="004C7F0D" w:rsidP="00C51ECD">
      <w:r>
        <w:t>Motiveringen bakom användningen av denna metod är att datasetet är förhållandevis litet</w:t>
      </w:r>
      <w:r w:rsidR="002975F1">
        <w:t xml:space="preserve">. </w:t>
      </w:r>
      <w:r w:rsidR="000C6815">
        <w:t>Metoden lämpar sig väl när datamängden är begränsad.</w:t>
      </w:r>
    </w:p>
    <w:p w14:paraId="421DAC8A" w14:textId="77777777" w:rsidR="00BA522C" w:rsidRPr="00BA522C" w:rsidRDefault="00BA522C" w:rsidP="00C51ECD"/>
    <w:p w14:paraId="14C73613" w14:textId="20CA1B1B" w:rsidR="00632004" w:rsidRPr="00632004" w:rsidRDefault="00632004" w:rsidP="00632004">
      <w:pPr>
        <w:pStyle w:val="Heading2"/>
        <w:numPr>
          <w:ilvl w:val="0"/>
          <w:numId w:val="0"/>
        </w:numPr>
        <w:spacing w:line="276" w:lineRule="auto"/>
        <w:ind w:left="576" w:hanging="576"/>
      </w:pPr>
      <w:r w:rsidRPr="00632004">
        <w:t>2.</w:t>
      </w:r>
      <w:r w:rsidR="00BA522C">
        <w:t>7</w:t>
      </w:r>
      <w:r w:rsidRPr="00632004">
        <w:t xml:space="preserve">   </w:t>
      </w:r>
      <w:r w:rsidRPr="00632004">
        <w:t>GridSearchCV</w:t>
      </w:r>
    </w:p>
    <w:p w14:paraId="1A42849D" w14:textId="0FB0FE5B" w:rsidR="00632004" w:rsidRDefault="00632004" w:rsidP="00776AC2">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Pr="00C51ECD" w:rsidRDefault="00632004" w:rsidP="00C51ECD">
      <w:pPr>
        <w:rPr>
          <w:lang w:val="nb-NO"/>
        </w:rPr>
      </w:pPr>
    </w:p>
    <w:p w14:paraId="4F99CB06" w14:textId="08F117FE" w:rsidR="00C51ECD" w:rsidRPr="00F63934" w:rsidRDefault="00C51ECD" w:rsidP="00C51ECD">
      <w:pPr>
        <w:pStyle w:val="Heading2"/>
        <w:numPr>
          <w:ilvl w:val="0"/>
          <w:numId w:val="0"/>
        </w:numPr>
        <w:spacing w:line="276" w:lineRule="auto"/>
        <w:ind w:left="576" w:hanging="576"/>
        <w:rPr>
          <w:lang w:val="da-DK"/>
        </w:rPr>
      </w:pPr>
      <w:r w:rsidRPr="00F63934">
        <w:rPr>
          <w:lang w:val="da-DK"/>
        </w:rPr>
        <w:t>2.</w:t>
      </w:r>
      <w:r w:rsidR="00BA522C">
        <w:rPr>
          <w:lang w:val="da-DK"/>
        </w:rPr>
        <w:t>8</w:t>
      </w:r>
      <w:r w:rsidRPr="00F63934">
        <w:rPr>
          <w:lang w:val="da-DK"/>
        </w:rPr>
        <w:t xml:space="preserve">   </w:t>
      </w:r>
      <w:r w:rsidRPr="00F63934">
        <w:rPr>
          <w:lang w:val="da-DK"/>
        </w:rPr>
        <w:t>Gini</w:t>
      </w:r>
    </w:p>
    <w:p w14:paraId="632CB182" w14:textId="77777777" w:rsidR="00C51ECD" w:rsidRPr="00F63934" w:rsidRDefault="00C51ECD" w:rsidP="00C51ECD">
      <w:pPr>
        <w:rPr>
          <w:lang w:val="da-DK"/>
        </w:rPr>
      </w:pPr>
    </w:p>
    <w:p w14:paraId="2FF94349" w14:textId="3768E97C" w:rsidR="00C51ECD" w:rsidRPr="00632004" w:rsidRDefault="00632004" w:rsidP="00C51ECD">
      <w:pPr>
        <w:rPr>
          <w:lang w:val="da-DK"/>
        </w:rPr>
      </w:pPr>
      <w:r w:rsidRPr="00C51ECD">
        <w:rPr>
          <w:lang w:val="da-DK"/>
        </w:rPr>
        <w:t>(s. 194-195, Prgomet et al. 2025)</w:t>
      </w: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1"/>
                    <a:stretch>
                      <a:fillRect/>
                    </a:stretch>
                  </pic:blipFill>
                  <pic:spPr>
                    <a:xfrm>
                      <a:off x="0" y="0"/>
                      <a:ext cx="5760720" cy="905510"/>
                    </a:xfrm>
                    <a:prstGeom prst="rect">
                      <a:avLst/>
                    </a:prstGeom>
                  </pic:spPr>
                </pic:pic>
              </a:graphicData>
            </a:graphic>
          </wp:inline>
        </w:drawing>
      </w:r>
    </w:p>
    <w:p w14:paraId="6C389995" w14:textId="3AF0E629" w:rsidR="005A7B86" w:rsidRDefault="005A7B86" w:rsidP="005A7B86">
      <w:pPr>
        <w:pStyle w:val="Caption"/>
      </w:pPr>
      <w:r>
        <w:t xml:space="preserve">Figur </w:t>
      </w:r>
      <w:r>
        <w:fldChar w:fldCharType="begin"/>
      </w:r>
      <w:r>
        <w:instrText xml:space="preserve"> SEQ Figure \* ARABIC </w:instrText>
      </w:r>
      <w:r>
        <w:fldChar w:fldCharType="separate"/>
      </w:r>
      <w:r w:rsidR="008D73F4">
        <w:rPr>
          <w:noProof/>
        </w:rPr>
        <w:t>2</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29C1FFD0" w14:textId="7E8699DC" w:rsidR="003C05BA" w:rsidRDefault="00EA00F8" w:rsidP="003C05BA">
      <w:pPr>
        <w:pStyle w:val="ListParagraph"/>
        <w:numPr>
          <w:ilvl w:val="0"/>
          <w:numId w:val="6"/>
        </w:numPr>
      </w:pPr>
      <w:hyperlink r:id="rId22" w:history="1">
        <w:r w:rsidRPr="00E4546A">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3" w:history="1">
        <w:r w:rsidRPr="00CF3DF8">
          <w:rPr>
            <w:rStyle w:val="Hyperlink"/>
          </w:rPr>
          <w:t>https://www.sleephealthjournal.org/article/s2352-7218(15)00015-7/fulltext</w:t>
        </w:r>
      </w:hyperlink>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21A1" w14:textId="77777777" w:rsidR="0028386F" w:rsidRDefault="0028386F" w:rsidP="00CC36BA">
      <w:pPr>
        <w:spacing w:after="0" w:line="240" w:lineRule="auto"/>
      </w:pPr>
      <w:r>
        <w:separator/>
      </w:r>
    </w:p>
  </w:endnote>
  <w:endnote w:type="continuationSeparator" w:id="0">
    <w:p w14:paraId="5B2769A7" w14:textId="77777777" w:rsidR="0028386F" w:rsidRDefault="0028386F"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B0D76" w14:textId="77777777" w:rsidR="0028386F" w:rsidRDefault="0028386F" w:rsidP="00CC36BA">
      <w:pPr>
        <w:spacing w:after="0" w:line="240" w:lineRule="auto"/>
      </w:pPr>
      <w:r>
        <w:separator/>
      </w:r>
    </w:p>
  </w:footnote>
  <w:footnote w:type="continuationSeparator" w:id="0">
    <w:p w14:paraId="380640B8" w14:textId="77777777" w:rsidR="0028386F" w:rsidRDefault="0028386F"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5"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1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14"/>
  </w:num>
  <w:num w:numId="2" w16cid:durableId="1296057432">
    <w:abstractNumId w:val="8"/>
  </w:num>
  <w:num w:numId="3" w16cid:durableId="448165794">
    <w:abstractNumId w:val="18"/>
  </w:num>
  <w:num w:numId="4" w16cid:durableId="662398523">
    <w:abstractNumId w:val="5"/>
  </w:num>
  <w:num w:numId="5" w16cid:durableId="1199925911">
    <w:abstractNumId w:val="20"/>
  </w:num>
  <w:num w:numId="6" w16cid:durableId="391389955">
    <w:abstractNumId w:val="9"/>
  </w:num>
  <w:num w:numId="7" w16cid:durableId="771048294">
    <w:abstractNumId w:val="16"/>
  </w:num>
  <w:num w:numId="8" w16cid:durableId="651451274">
    <w:abstractNumId w:val="6"/>
  </w:num>
  <w:num w:numId="9" w16cid:durableId="724722206">
    <w:abstractNumId w:val="15"/>
  </w:num>
  <w:num w:numId="10" w16cid:durableId="2027946832">
    <w:abstractNumId w:val="0"/>
  </w:num>
  <w:num w:numId="11" w16cid:durableId="414977463">
    <w:abstractNumId w:val="17"/>
  </w:num>
  <w:num w:numId="12" w16cid:durableId="134572424">
    <w:abstractNumId w:val="3"/>
  </w:num>
  <w:num w:numId="13" w16cid:durableId="754209290">
    <w:abstractNumId w:val="2"/>
  </w:num>
  <w:num w:numId="14" w16cid:durableId="1371301134">
    <w:abstractNumId w:val="7"/>
  </w:num>
  <w:num w:numId="15" w16cid:durableId="1702779212">
    <w:abstractNumId w:val="1"/>
  </w:num>
  <w:num w:numId="16" w16cid:durableId="1367216655">
    <w:abstractNumId w:val="19"/>
  </w:num>
  <w:num w:numId="17" w16cid:durableId="995450675">
    <w:abstractNumId w:val="21"/>
  </w:num>
  <w:num w:numId="18" w16cid:durableId="1525367833">
    <w:abstractNumId w:val="13"/>
  </w:num>
  <w:num w:numId="19" w16cid:durableId="2046786689">
    <w:abstractNumId w:val="10"/>
  </w:num>
  <w:num w:numId="20" w16cid:durableId="1551839209">
    <w:abstractNumId w:val="12"/>
  </w:num>
  <w:num w:numId="21" w16cid:durableId="510143882">
    <w:abstractNumId w:val="11"/>
  </w:num>
  <w:num w:numId="22" w16cid:durableId="1202011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16FE"/>
    <w:rsid w:val="0002680A"/>
    <w:rsid w:val="00031E6A"/>
    <w:rsid w:val="000360B8"/>
    <w:rsid w:val="00041FA8"/>
    <w:rsid w:val="00042D03"/>
    <w:rsid w:val="00046F30"/>
    <w:rsid w:val="0005000D"/>
    <w:rsid w:val="000535AB"/>
    <w:rsid w:val="00053EB7"/>
    <w:rsid w:val="00056019"/>
    <w:rsid w:val="0006087E"/>
    <w:rsid w:val="000612C2"/>
    <w:rsid w:val="00070699"/>
    <w:rsid w:val="00073433"/>
    <w:rsid w:val="0008379A"/>
    <w:rsid w:val="00083AC2"/>
    <w:rsid w:val="000856BA"/>
    <w:rsid w:val="00086A6F"/>
    <w:rsid w:val="00086B85"/>
    <w:rsid w:val="00086D42"/>
    <w:rsid w:val="00093168"/>
    <w:rsid w:val="00094A69"/>
    <w:rsid w:val="0009587A"/>
    <w:rsid w:val="0009705A"/>
    <w:rsid w:val="000A079E"/>
    <w:rsid w:val="000A3DC4"/>
    <w:rsid w:val="000A6361"/>
    <w:rsid w:val="000B0B46"/>
    <w:rsid w:val="000B1F40"/>
    <w:rsid w:val="000C34FC"/>
    <w:rsid w:val="000C6815"/>
    <w:rsid w:val="000D2E32"/>
    <w:rsid w:val="000D7AE8"/>
    <w:rsid w:val="000E084C"/>
    <w:rsid w:val="000E1DBC"/>
    <w:rsid w:val="000E411B"/>
    <w:rsid w:val="000E7019"/>
    <w:rsid w:val="000F1503"/>
    <w:rsid w:val="000F15F4"/>
    <w:rsid w:val="000F4AE4"/>
    <w:rsid w:val="000F687E"/>
    <w:rsid w:val="00100F23"/>
    <w:rsid w:val="00101DD8"/>
    <w:rsid w:val="00107F19"/>
    <w:rsid w:val="00110101"/>
    <w:rsid w:val="0011690A"/>
    <w:rsid w:val="001232DB"/>
    <w:rsid w:val="001317ED"/>
    <w:rsid w:val="00140AFE"/>
    <w:rsid w:val="00147F71"/>
    <w:rsid w:val="00154BA6"/>
    <w:rsid w:val="00154C8E"/>
    <w:rsid w:val="0015727D"/>
    <w:rsid w:val="00171A4A"/>
    <w:rsid w:val="001734AB"/>
    <w:rsid w:val="001741FF"/>
    <w:rsid w:val="00180232"/>
    <w:rsid w:val="00190730"/>
    <w:rsid w:val="00195447"/>
    <w:rsid w:val="00196AC0"/>
    <w:rsid w:val="001A4C92"/>
    <w:rsid w:val="001A6D74"/>
    <w:rsid w:val="001B0912"/>
    <w:rsid w:val="001B57FD"/>
    <w:rsid w:val="001B5ED2"/>
    <w:rsid w:val="001C1EBB"/>
    <w:rsid w:val="001D28A7"/>
    <w:rsid w:val="001D7050"/>
    <w:rsid w:val="001E448D"/>
    <w:rsid w:val="001F0012"/>
    <w:rsid w:val="001F2515"/>
    <w:rsid w:val="00200F7E"/>
    <w:rsid w:val="002014C9"/>
    <w:rsid w:val="002030E4"/>
    <w:rsid w:val="00203225"/>
    <w:rsid w:val="002061E5"/>
    <w:rsid w:val="002151B1"/>
    <w:rsid w:val="00225678"/>
    <w:rsid w:val="00225BAF"/>
    <w:rsid w:val="0023415F"/>
    <w:rsid w:val="0023747F"/>
    <w:rsid w:val="00241224"/>
    <w:rsid w:val="00253BB2"/>
    <w:rsid w:val="00255734"/>
    <w:rsid w:val="00267DF8"/>
    <w:rsid w:val="002750BF"/>
    <w:rsid w:val="002766C2"/>
    <w:rsid w:val="002818D0"/>
    <w:rsid w:val="002831A3"/>
    <w:rsid w:val="0028386F"/>
    <w:rsid w:val="00290848"/>
    <w:rsid w:val="002975F1"/>
    <w:rsid w:val="00297EC7"/>
    <w:rsid w:val="002A20E4"/>
    <w:rsid w:val="002A4E42"/>
    <w:rsid w:val="002B02B0"/>
    <w:rsid w:val="002B1B7A"/>
    <w:rsid w:val="002B2334"/>
    <w:rsid w:val="002B318E"/>
    <w:rsid w:val="002B6796"/>
    <w:rsid w:val="002C0890"/>
    <w:rsid w:val="002C7259"/>
    <w:rsid w:val="002C74F8"/>
    <w:rsid w:val="002D172E"/>
    <w:rsid w:val="002D2B57"/>
    <w:rsid w:val="002D5BD1"/>
    <w:rsid w:val="002D640F"/>
    <w:rsid w:val="002D7584"/>
    <w:rsid w:val="002E2295"/>
    <w:rsid w:val="002E47E2"/>
    <w:rsid w:val="002E5C62"/>
    <w:rsid w:val="002E7518"/>
    <w:rsid w:val="002E7B10"/>
    <w:rsid w:val="002E7F1D"/>
    <w:rsid w:val="002F3B1D"/>
    <w:rsid w:val="002F4369"/>
    <w:rsid w:val="003021D1"/>
    <w:rsid w:val="00311E80"/>
    <w:rsid w:val="003201B0"/>
    <w:rsid w:val="00324B8B"/>
    <w:rsid w:val="00325C1B"/>
    <w:rsid w:val="003278AA"/>
    <w:rsid w:val="00331A9B"/>
    <w:rsid w:val="00340EC4"/>
    <w:rsid w:val="00346D3A"/>
    <w:rsid w:val="003527BD"/>
    <w:rsid w:val="00354FBD"/>
    <w:rsid w:val="0035712C"/>
    <w:rsid w:val="003626D7"/>
    <w:rsid w:val="00370400"/>
    <w:rsid w:val="00376785"/>
    <w:rsid w:val="003837F0"/>
    <w:rsid w:val="00383876"/>
    <w:rsid w:val="00390002"/>
    <w:rsid w:val="003940BC"/>
    <w:rsid w:val="00394DB0"/>
    <w:rsid w:val="00397352"/>
    <w:rsid w:val="003A0A22"/>
    <w:rsid w:val="003A1490"/>
    <w:rsid w:val="003A2777"/>
    <w:rsid w:val="003A58A1"/>
    <w:rsid w:val="003A591A"/>
    <w:rsid w:val="003B731B"/>
    <w:rsid w:val="003C05BA"/>
    <w:rsid w:val="003C3DBB"/>
    <w:rsid w:val="003C5AB5"/>
    <w:rsid w:val="003D1B72"/>
    <w:rsid w:val="003E0A7A"/>
    <w:rsid w:val="003E0D90"/>
    <w:rsid w:val="003E7C2B"/>
    <w:rsid w:val="003F7DD9"/>
    <w:rsid w:val="00404055"/>
    <w:rsid w:val="00404555"/>
    <w:rsid w:val="00411552"/>
    <w:rsid w:val="004146CF"/>
    <w:rsid w:val="00416C56"/>
    <w:rsid w:val="00421815"/>
    <w:rsid w:val="00423F0A"/>
    <w:rsid w:val="0043734C"/>
    <w:rsid w:val="004460A5"/>
    <w:rsid w:val="00452050"/>
    <w:rsid w:val="00454A31"/>
    <w:rsid w:val="00454D77"/>
    <w:rsid w:val="0046655B"/>
    <w:rsid w:val="004716C6"/>
    <w:rsid w:val="00480927"/>
    <w:rsid w:val="00480AFB"/>
    <w:rsid w:val="00484CE5"/>
    <w:rsid w:val="00485DE6"/>
    <w:rsid w:val="004921E0"/>
    <w:rsid w:val="00492FBA"/>
    <w:rsid w:val="00493801"/>
    <w:rsid w:val="00493AF0"/>
    <w:rsid w:val="00496684"/>
    <w:rsid w:val="004A0F0F"/>
    <w:rsid w:val="004A194F"/>
    <w:rsid w:val="004C3BB4"/>
    <w:rsid w:val="004C7F0D"/>
    <w:rsid w:val="004D3685"/>
    <w:rsid w:val="004D62CA"/>
    <w:rsid w:val="004D6300"/>
    <w:rsid w:val="004D6931"/>
    <w:rsid w:val="004E517A"/>
    <w:rsid w:val="004E6240"/>
    <w:rsid w:val="004F33E8"/>
    <w:rsid w:val="00501708"/>
    <w:rsid w:val="00507966"/>
    <w:rsid w:val="00510ABC"/>
    <w:rsid w:val="005122D8"/>
    <w:rsid w:val="0051244A"/>
    <w:rsid w:val="005126C5"/>
    <w:rsid w:val="00517EDB"/>
    <w:rsid w:val="00532FC8"/>
    <w:rsid w:val="005344D8"/>
    <w:rsid w:val="00534EEF"/>
    <w:rsid w:val="0054056C"/>
    <w:rsid w:val="005407BB"/>
    <w:rsid w:val="00541E5F"/>
    <w:rsid w:val="005422E0"/>
    <w:rsid w:val="00544F5C"/>
    <w:rsid w:val="00554575"/>
    <w:rsid w:val="005573FE"/>
    <w:rsid w:val="00561FD4"/>
    <w:rsid w:val="0056354E"/>
    <w:rsid w:val="00565074"/>
    <w:rsid w:val="00565265"/>
    <w:rsid w:val="0056617A"/>
    <w:rsid w:val="0056749C"/>
    <w:rsid w:val="0057051E"/>
    <w:rsid w:val="00573E05"/>
    <w:rsid w:val="00574771"/>
    <w:rsid w:val="00585768"/>
    <w:rsid w:val="005877F7"/>
    <w:rsid w:val="00591CE2"/>
    <w:rsid w:val="00591DCA"/>
    <w:rsid w:val="005937A0"/>
    <w:rsid w:val="00593CCC"/>
    <w:rsid w:val="005A23B2"/>
    <w:rsid w:val="005A3E93"/>
    <w:rsid w:val="005A61D6"/>
    <w:rsid w:val="005A7B86"/>
    <w:rsid w:val="005B00C5"/>
    <w:rsid w:val="005B0B76"/>
    <w:rsid w:val="005C33B7"/>
    <w:rsid w:val="005C3C1F"/>
    <w:rsid w:val="005C4AE1"/>
    <w:rsid w:val="005C552F"/>
    <w:rsid w:val="005D2830"/>
    <w:rsid w:val="005D4823"/>
    <w:rsid w:val="005D4EB3"/>
    <w:rsid w:val="005E276F"/>
    <w:rsid w:val="005E5815"/>
    <w:rsid w:val="005F153C"/>
    <w:rsid w:val="005F1D7F"/>
    <w:rsid w:val="005F331F"/>
    <w:rsid w:val="005F460C"/>
    <w:rsid w:val="005F654E"/>
    <w:rsid w:val="00601BA6"/>
    <w:rsid w:val="006023FC"/>
    <w:rsid w:val="0060601C"/>
    <w:rsid w:val="00607492"/>
    <w:rsid w:val="0061144B"/>
    <w:rsid w:val="00612C79"/>
    <w:rsid w:val="00613C32"/>
    <w:rsid w:val="00614CE0"/>
    <w:rsid w:val="006227FA"/>
    <w:rsid w:val="00623116"/>
    <w:rsid w:val="00627E17"/>
    <w:rsid w:val="00632004"/>
    <w:rsid w:val="006418B8"/>
    <w:rsid w:val="00641E52"/>
    <w:rsid w:val="00644AFF"/>
    <w:rsid w:val="00647B96"/>
    <w:rsid w:val="00656049"/>
    <w:rsid w:val="006613DD"/>
    <w:rsid w:val="00661ABB"/>
    <w:rsid w:val="006630F8"/>
    <w:rsid w:val="0066677F"/>
    <w:rsid w:val="00673156"/>
    <w:rsid w:val="00676BDA"/>
    <w:rsid w:val="00676F3E"/>
    <w:rsid w:val="00680837"/>
    <w:rsid w:val="006814A2"/>
    <w:rsid w:val="0068183A"/>
    <w:rsid w:val="00681D1B"/>
    <w:rsid w:val="00686F82"/>
    <w:rsid w:val="00690229"/>
    <w:rsid w:val="00690694"/>
    <w:rsid w:val="006914EA"/>
    <w:rsid w:val="0069183C"/>
    <w:rsid w:val="006929AB"/>
    <w:rsid w:val="0069408F"/>
    <w:rsid w:val="00695825"/>
    <w:rsid w:val="0069763E"/>
    <w:rsid w:val="006A2AC1"/>
    <w:rsid w:val="006A4BB2"/>
    <w:rsid w:val="006A5B99"/>
    <w:rsid w:val="006A710E"/>
    <w:rsid w:val="006B2AC7"/>
    <w:rsid w:val="006B3530"/>
    <w:rsid w:val="006B4176"/>
    <w:rsid w:val="006C0A7F"/>
    <w:rsid w:val="006C55E5"/>
    <w:rsid w:val="006D3A8A"/>
    <w:rsid w:val="006E244C"/>
    <w:rsid w:val="006E39CA"/>
    <w:rsid w:val="006F28EE"/>
    <w:rsid w:val="006F3C43"/>
    <w:rsid w:val="006F55D8"/>
    <w:rsid w:val="006F5FBA"/>
    <w:rsid w:val="006F687B"/>
    <w:rsid w:val="007008AF"/>
    <w:rsid w:val="00704AEC"/>
    <w:rsid w:val="0070759F"/>
    <w:rsid w:val="007130D4"/>
    <w:rsid w:val="00717596"/>
    <w:rsid w:val="00720454"/>
    <w:rsid w:val="0072279A"/>
    <w:rsid w:val="00725CB5"/>
    <w:rsid w:val="00725D96"/>
    <w:rsid w:val="00726483"/>
    <w:rsid w:val="00730350"/>
    <w:rsid w:val="00733153"/>
    <w:rsid w:val="007348A4"/>
    <w:rsid w:val="00735713"/>
    <w:rsid w:val="007357F4"/>
    <w:rsid w:val="007405C9"/>
    <w:rsid w:val="00740F17"/>
    <w:rsid w:val="00740F7C"/>
    <w:rsid w:val="00743FA9"/>
    <w:rsid w:val="00746207"/>
    <w:rsid w:val="00746E80"/>
    <w:rsid w:val="00750096"/>
    <w:rsid w:val="00753346"/>
    <w:rsid w:val="00756ACB"/>
    <w:rsid w:val="007616D8"/>
    <w:rsid w:val="00765250"/>
    <w:rsid w:val="00766324"/>
    <w:rsid w:val="00774AF2"/>
    <w:rsid w:val="00776AC2"/>
    <w:rsid w:val="00780EC2"/>
    <w:rsid w:val="00781907"/>
    <w:rsid w:val="007848E7"/>
    <w:rsid w:val="007A4E75"/>
    <w:rsid w:val="007B30D7"/>
    <w:rsid w:val="007B41B8"/>
    <w:rsid w:val="007C24B1"/>
    <w:rsid w:val="007C70B6"/>
    <w:rsid w:val="007D7DFB"/>
    <w:rsid w:val="007E01A9"/>
    <w:rsid w:val="007E449D"/>
    <w:rsid w:val="007F312E"/>
    <w:rsid w:val="007F7388"/>
    <w:rsid w:val="00800346"/>
    <w:rsid w:val="00800767"/>
    <w:rsid w:val="00803987"/>
    <w:rsid w:val="00805E52"/>
    <w:rsid w:val="008064FF"/>
    <w:rsid w:val="008122E0"/>
    <w:rsid w:val="00813C85"/>
    <w:rsid w:val="0082206A"/>
    <w:rsid w:val="00823CD4"/>
    <w:rsid w:val="00823E45"/>
    <w:rsid w:val="008248CA"/>
    <w:rsid w:val="00824CD5"/>
    <w:rsid w:val="0083716E"/>
    <w:rsid w:val="008425D0"/>
    <w:rsid w:val="00845C86"/>
    <w:rsid w:val="0084794C"/>
    <w:rsid w:val="00851B5E"/>
    <w:rsid w:val="00852D2E"/>
    <w:rsid w:val="00852F83"/>
    <w:rsid w:val="00853C0B"/>
    <w:rsid w:val="00861095"/>
    <w:rsid w:val="00865A89"/>
    <w:rsid w:val="008717F0"/>
    <w:rsid w:val="00871FF2"/>
    <w:rsid w:val="00874C87"/>
    <w:rsid w:val="0087504D"/>
    <w:rsid w:val="00876779"/>
    <w:rsid w:val="00876C39"/>
    <w:rsid w:val="008803B3"/>
    <w:rsid w:val="008812B5"/>
    <w:rsid w:val="008833E1"/>
    <w:rsid w:val="008948C2"/>
    <w:rsid w:val="00895EBA"/>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900BF0"/>
    <w:rsid w:val="00903F35"/>
    <w:rsid w:val="0090559E"/>
    <w:rsid w:val="009057B8"/>
    <w:rsid w:val="00906739"/>
    <w:rsid w:val="0090786A"/>
    <w:rsid w:val="00913BA8"/>
    <w:rsid w:val="00914961"/>
    <w:rsid w:val="00914DD7"/>
    <w:rsid w:val="00917836"/>
    <w:rsid w:val="009228DD"/>
    <w:rsid w:val="009267D2"/>
    <w:rsid w:val="00931802"/>
    <w:rsid w:val="00931DAF"/>
    <w:rsid w:val="009350C3"/>
    <w:rsid w:val="00937E41"/>
    <w:rsid w:val="00940637"/>
    <w:rsid w:val="00947EA0"/>
    <w:rsid w:val="009526B5"/>
    <w:rsid w:val="00956206"/>
    <w:rsid w:val="00967948"/>
    <w:rsid w:val="00967C23"/>
    <w:rsid w:val="009716D2"/>
    <w:rsid w:val="00974B08"/>
    <w:rsid w:val="00983ED1"/>
    <w:rsid w:val="0098432D"/>
    <w:rsid w:val="00990994"/>
    <w:rsid w:val="00993676"/>
    <w:rsid w:val="009A74AF"/>
    <w:rsid w:val="009B0D8D"/>
    <w:rsid w:val="009B360D"/>
    <w:rsid w:val="009B3652"/>
    <w:rsid w:val="009B3881"/>
    <w:rsid w:val="009B486D"/>
    <w:rsid w:val="009C2044"/>
    <w:rsid w:val="009C3F59"/>
    <w:rsid w:val="009D19EE"/>
    <w:rsid w:val="009D29ED"/>
    <w:rsid w:val="009D4BB3"/>
    <w:rsid w:val="009D4D5C"/>
    <w:rsid w:val="009E2561"/>
    <w:rsid w:val="009E3D9F"/>
    <w:rsid w:val="009E40F5"/>
    <w:rsid w:val="009E706F"/>
    <w:rsid w:val="009E713D"/>
    <w:rsid w:val="009F28A5"/>
    <w:rsid w:val="00A05CFC"/>
    <w:rsid w:val="00A06339"/>
    <w:rsid w:val="00A079AF"/>
    <w:rsid w:val="00A134C8"/>
    <w:rsid w:val="00A15DB3"/>
    <w:rsid w:val="00A17C43"/>
    <w:rsid w:val="00A23B64"/>
    <w:rsid w:val="00A23EE1"/>
    <w:rsid w:val="00A25DA0"/>
    <w:rsid w:val="00A26FE8"/>
    <w:rsid w:val="00A30A8E"/>
    <w:rsid w:val="00A3209D"/>
    <w:rsid w:val="00A322CE"/>
    <w:rsid w:val="00A357AF"/>
    <w:rsid w:val="00A3730F"/>
    <w:rsid w:val="00A3747C"/>
    <w:rsid w:val="00A37E85"/>
    <w:rsid w:val="00A42F33"/>
    <w:rsid w:val="00A44D0D"/>
    <w:rsid w:val="00A457D3"/>
    <w:rsid w:val="00A56949"/>
    <w:rsid w:val="00A644B5"/>
    <w:rsid w:val="00A7011F"/>
    <w:rsid w:val="00A8075D"/>
    <w:rsid w:val="00A85217"/>
    <w:rsid w:val="00A853E3"/>
    <w:rsid w:val="00A8589E"/>
    <w:rsid w:val="00A868F2"/>
    <w:rsid w:val="00A87AD9"/>
    <w:rsid w:val="00A90A72"/>
    <w:rsid w:val="00A90DBE"/>
    <w:rsid w:val="00A94CC9"/>
    <w:rsid w:val="00AA2ECA"/>
    <w:rsid w:val="00AB3BAF"/>
    <w:rsid w:val="00AB3D7D"/>
    <w:rsid w:val="00AC021A"/>
    <w:rsid w:val="00AC0F25"/>
    <w:rsid w:val="00AC34F8"/>
    <w:rsid w:val="00AC370D"/>
    <w:rsid w:val="00AC41DC"/>
    <w:rsid w:val="00AC7C18"/>
    <w:rsid w:val="00AD053A"/>
    <w:rsid w:val="00AD576E"/>
    <w:rsid w:val="00AE5B2B"/>
    <w:rsid w:val="00AE6CBE"/>
    <w:rsid w:val="00AF6FB8"/>
    <w:rsid w:val="00B01AA9"/>
    <w:rsid w:val="00B072C5"/>
    <w:rsid w:val="00B1031F"/>
    <w:rsid w:val="00B13B14"/>
    <w:rsid w:val="00B1708F"/>
    <w:rsid w:val="00B23976"/>
    <w:rsid w:val="00B245FB"/>
    <w:rsid w:val="00B30BA2"/>
    <w:rsid w:val="00B51D51"/>
    <w:rsid w:val="00B52EC1"/>
    <w:rsid w:val="00B57C1E"/>
    <w:rsid w:val="00B60461"/>
    <w:rsid w:val="00B6119E"/>
    <w:rsid w:val="00B72FE6"/>
    <w:rsid w:val="00B735CE"/>
    <w:rsid w:val="00B76C20"/>
    <w:rsid w:val="00B76F1B"/>
    <w:rsid w:val="00B774AA"/>
    <w:rsid w:val="00B84852"/>
    <w:rsid w:val="00B87480"/>
    <w:rsid w:val="00B91CF7"/>
    <w:rsid w:val="00B94F6B"/>
    <w:rsid w:val="00B97FFA"/>
    <w:rsid w:val="00BA168D"/>
    <w:rsid w:val="00BA2198"/>
    <w:rsid w:val="00BA36AF"/>
    <w:rsid w:val="00BA522C"/>
    <w:rsid w:val="00BB1D2E"/>
    <w:rsid w:val="00BB79A3"/>
    <w:rsid w:val="00BC058D"/>
    <w:rsid w:val="00BC0D74"/>
    <w:rsid w:val="00BC3803"/>
    <w:rsid w:val="00BC3915"/>
    <w:rsid w:val="00BC4957"/>
    <w:rsid w:val="00BD25D3"/>
    <w:rsid w:val="00BD2A14"/>
    <w:rsid w:val="00BD6FDC"/>
    <w:rsid w:val="00BE235C"/>
    <w:rsid w:val="00BF1B85"/>
    <w:rsid w:val="00BF5DC9"/>
    <w:rsid w:val="00C0704C"/>
    <w:rsid w:val="00C130D6"/>
    <w:rsid w:val="00C14358"/>
    <w:rsid w:val="00C20B36"/>
    <w:rsid w:val="00C2393E"/>
    <w:rsid w:val="00C24120"/>
    <w:rsid w:val="00C242B5"/>
    <w:rsid w:val="00C25CE8"/>
    <w:rsid w:val="00C26443"/>
    <w:rsid w:val="00C27FF0"/>
    <w:rsid w:val="00C309C0"/>
    <w:rsid w:val="00C402B7"/>
    <w:rsid w:val="00C4289E"/>
    <w:rsid w:val="00C42ED3"/>
    <w:rsid w:val="00C45FBC"/>
    <w:rsid w:val="00C47DE3"/>
    <w:rsid w:val="00C51ECD"/>
    <w:rsid w:val="00C5623A"/>
    <w:rsid w:val="00C5795F"/>
    <w:rsid w:val="00C64A58"/>
    <w:rsid w:val="00C678EB"/>
    <w:rsid w:val="00C7002B"/>
    <w:rsid w:val="00C72A09"/>
    <w:rsid w:val="00C73CFB"/>
    <w:rsid w:val="00C73D5B"/>
    <w:rsid w:val="00C82319"/>
    <w:rsid w:val="00C82627"/>
    <w:rsid w:val="00C842E2"/>
    <w:rsid w:val="00C85930"/>
    <w:rsid w:val="00C9145C"/>
    <w:rsid w:val="00C95A8D"/>
    <w:rsid w:val="00C96E9C"/>
    <w:rsid w:val="00CA02B4"/>
    <w:rsid w:val="00CA51D6"/>
    <w:rsid w:val="00CA7D9C"/>
    <w:rsid w:val="00CA7FD0"/>
    <w:rsid w:val="00CB0A3C"/>
    <w:rsid w:val="00CB5135"/>
    <w:rsid w:val="00CC36BA"/>
    <w:rsid w:val="00CC3CF8"/>
    <w:rsid w:val="00CC6685"/>
    <w:rsid w:val="00CC7641"/>
    <w:rsid w:val="00CD6605"/>
    <w:rsid w:val="00CE0D04"/>
    <w:rsid w:val="00CE22EF"/>
    <w:rsid w:val="00CE77DA"/>
    <w:rsid w:val="00CF24F5"/>
    <w:rsid w:val="00CF3DF8"/>
    <w:rsid w:val="00CF4498"/>
    <w:rsid w:val="00D100A8"/>
    <w:rsid w:val="00D1565C"/>
    <w:rsid w:val="00D160BB"/>
    <w:rsid w:val="00D23F74"/>
    <w:rsid w:val="00D27C11"/>
    <w:rsid w:val="00D332ED"/>
    <w:rsid w:val="00D34763"/>
    <w:rsid w:val="00D37AAE"/>
    <w:rsid w:val="00D403A2"/>
    <w:rsid w:val="00D42A2A"/>
    <w:rsid w:val="00D473D8"/>
    <w:rsid w:val="00D551C8"/>
    <w:rsid w:val="00D70484"/>
    <w:rsid w:val="00D80573"/>
    <w:rsid w:val="00D84307"/>
    <w:rsid w:val="00D87919"/>
    <w:rsid w:val="00D87B32"/>
    <w:rsid w:val="00D90EBE"/>
    <w:rsid w:val="00D9435A"/>
    <w:rsid w:val="00D96B3F"/>
    <w:rsid w:val="00D96DC0"/>
    <w:rsid w:val="00D97D85"/>
    <w:rsid w:val="00DA2F58"/>
    <w:rsid w:val="00DA69A9"/>
    <w:rsid w:val="00DB7341"/>
    <w:rsid w:val="00DC43C9"/>
    <w:rsid w:val="00DC5053"/>
    <w:rsid w:val="00DC75BF"/>
    <w:rsid w:val="00DD55B9"/>
    <w:rsid w:val="00DD72AB"/>
    <w:rsid w:val="00DE5E3C"/>
    <w:rsid w:val="00DF0955"/>
    <w:rsid w:val="00DF3800"/>
    <w:rsid w:val="00DF5D05"/>
    <w:rsid w:val="00E00D80"/>
    <w:rsid w:val="00E027D8"/>
    <w:rsid w:val="00E06BF1"/>
    <w:rsid w:val="00E06CAD"/>
    <w:rsid w:val="00E1315A"/>
    <w:rsid w:val="00E1595F"/>
    <w:rsid w:val="00E1749E"/>
    <w:rsid w:val="00E207DA"/>
    <w:rsid w:val="00E325C0"/>
    <w:rsid w:val="00E32B84"/>
    <w:rsid w:val="00E33A41"/>
    <w:rsid w:val="00E37F7D"/>
    <w:rsid w:val="00E419CA"/>
    <w:rsid w:val="00E4457A"/>
    <w:rsid w:val="00E4601A"/>
    <w:rsid w:val="00E4744E"/>
    <w:rsid w:val="00E53DD2"/>
    <w:rsid w:val="00E66F79"/>
    <w:rsid w:val="00E67FF7"/>
    <w:rsid w:val="00E70EBE"/>
    <w:rsid w:val="00E800F3"/>
    <w:rsid w:val="00E90A7B"/>
    <w:rsid w:val="00E90EE0"/>
    <w:rsid w:val="00E91D9B"/>
    <w:rsid w:val="00E928E4"/>
    <w:rsid w:val="00E929A4"/>
    <w:rsid w:val="00EA00F8"/>
    <w:rsid w:val="00EA5B0E"/>
    <w:rsid w:val="00EB2685"/>
    <w:rsid w:val="00EB4261"/>
    <w:rsid w:val="00EB43DF"/>
    <w:rsid w:val="00EB6892"/>
    <w:rsid w:val="00EB6D60"/>
    <w:rsid w:val="00EB781E"/>
    <w:rsid w:val="00EC1D4D"/>
    <w:rsid w:val="00EC24AD"/>
    <w:rsid w:val="00EC2DBA"/>
    <w:rsid w:val="00EC5DDB"/>
    <w:rsid w:val="00ED18DF"/>
    <w:rsid w:val="00ED1D2F"/>
    <w:rsid w:val="00ED3AC1"/>
    <w:rsid w:val="00EF0B4A"/>
    <w:rsid w:val="00EF4FA9"/>
    <w:rsid w:val="00F00E4D"/>
    <w:rsid w:val="00F02D2F"/>
    <w:rsid w:val="00F1456F"/>
    <w:rsid w:val="00F221A1"/>
    <w:rsid w:val="00F239F7"/>
    <w:rsid w:val="00F24BF0"/>
    <w:rsid w:val="00F26851"/>
    <w:rsid w:val="00F30529"/>
    <w:rsid w:val="00F30703"/>
    <w:rsid w:val="00F4536A"/>
    <w:rsid w:val="00F468DB"/>
    <w:rsid w:val="00F55565"/>
    <w:rsid w:val="00F60148"/>
    <w:rsid w:val="00F6260A"/>
    <w:rsid w:val="00F63934"/>
    <w:rsid w:val="00F6775E"/>
    <w:rsid w:val="00F710E8"/>
    <w:rsid w:val="00F75F3A"/>
    <w:rsid w:val="00F76073"/>
    <w:rsid w:val="00F8128D"/>
    <w:rsid w:val="00F834A7"/>
    <w:rsid w:val="00F91187"/>
    <w:rsid w:val="00F962C3"/>
    <w:rsid w:val="00F977A7"/>
    <w:rsid w:val="00F978B6"/>
    <w:rsid w:val="00F97929"/>
    <w:rsid w:val="00FA18B7"/>
    <w:rsid w:val="00FA1D9B"/>
    <w:rsid w:val="00FA4BFC"/>
    <w:rsid w:val="00FA4CA2"/>
    <w:rsid w:val="00FC1795"/>
    <w:rsid w:val="00FC1E01"/>
    <w:rsid w:val="00FC2F8F"/>
    <w:rsid w:val="00FC5975"/>
    <w:rsid w:val="00FD5B00"/>
    <w:rsid w:val="00FD6BC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04"/>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hub.salford.ac.uk/psytech/2021/08/10/bergen-social-media-addiction-scale/" TargetMode="External"/><Relationship Id="rId17" Type="http://schemas.openxmlformats.org/officeDocument/2006/relationships/hyperlink" Target="https://www.sleephealthjournal.org/article/s2352-7218(15)00015-7/fulltex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leephealthjournal.org/article/s2352-7218(15)00015-7/fulltext" TargetMode="External"/><Relationship Id="rId10" Type="http://schemas.openxmlformats.org/officeDocument/2006/relationships/footer" Target="footer2.xml"/><Relationship Id="rId19" Type="http://schemas.openxmlformats.org/officeDocument/2006/relationships/hyperlink" Target="-%09https:/hub.salford.ac.uk/psytech/2021/08/10/bergen-social-media-addiction-sca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atareportal.com/reports/digital-2025-global-overview-report"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3697</TotalTime>
  <Pages>21</Pages>
  <Words>2972</Words>
  <Characters>16944</Characters>
  <Application>Microsoft Office Word</Application>
  <DocSecurity>0</DocSecurity>
  <Lines>141</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678</cp:revision>
  <dcterms:created xsi:type="dcterms:W3CDTF">2023-12-11T16:42:00Z</dcterms:created>
  <dcterms:modified xsi:type="dcterms:W3CDTF">2025-09-18T09:06:00Z</dcterms:modified>
</cp:coreProperties>
</file>