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4097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F3B57"/>
          <w:sz w:val="36"/>
          <w:szCs w:val="36"/>
        </w:rPr>
        <w:t xml:space="preserve">BUDGET PROJET</w:t>
      </w:r>
    </w:p>
    <w:p>
      <w:pPr>
        <w:spacing w:after="30"/>
        <w:jc w:val="center"/>
      </w:pPr>
      <w:r>
        <w:rPr>
          <w:b/>
          <w:bCs/>
          <w:color w:val="B8862B"/>
          <w:sz w:val="24"/>
          <w:szCs w:val="24"/>
        </w:rPr>
        <w:t xml:space="preserve">Système de gestion de file d'attente</w:t>
      </w:r>
    </w:p>
    <w:p>
      <w:pPr>
        <w:spacing w:after="160"/>
        <w:jc w:val="center"/>
      </w:pPr>
      <w:r>
        <w:rPr>
          <w:i/>
          <w:iCs/>
          <w:color w:val="6B7280"/>
          <w:sz w:val="19"/>
          <w:szCs w:val="19"/>
        </w:rPr>
        <w:t xml:space="preserve">Budget global du projet — 4 agences — V1 + V2</w:t>
      </w:r>
    </w:p>
    <w:p>
      <w:pPr>
        <w:spacing w:after="10"/>
        <w:jc w:val="center"/>
      </w:pPr>
      <w:r>
        <w:rPr>
          <w:color w:val="6B7280"/>
          <w:sz w:val="18"/>
          <w:szCs w:val="18"/>
        </w:rPr>
        <w:t xml:space="preserve">Document interne — à destination du Président Directeur Général</w:t>
      </w:r>
    </w:p>
    <w:p>
      <w:pPr>
        <w:spacing w:after="10"/>
        <w:jc w:val="center"/>
      </w:pPr>
      <w:r>
        <w:rPr>
          <w:color w:val="6B7280"/>
          <w:sz w:val="18"/>
          <w:szCs w:val="18"/>
        </w:rPr>
        <w:t xml:space="preserve">Base de la proposition à l'institution de microfinance</w:t>
      </w:r>
    </w:p>
    <w:p>
      <w:pPr>
        <w:spacing w:after="60"/>
        <w:jc w:val="center"/>
      </w:pPr>
      <w:r>
        <w:rPr>
          <w:color w:val="6B7280"/>
          <w:sz w:val="18"/>
          <w:szCs w:val="18"/>
        </w:rPr>
        <w:t xml:space="preserve">Juillet 2026</w:t>
      </w:r>
    </w:p>
    <w:p>
      <w:pPr>
        <w:pBdr>
          <w:bottom w:val="single" w:color="B8862B" w:sz="10" w:space="6"/>
        </w:pBdr>
        <w:spacing w:after="160" w:before="320"/>
      </w:pPr>
      <w:r>
        <w:rPr>
          <w:b/>
          <w:bCs/>
          <w:color w:val="B8862B"/>
          <w:sz w:val="26"/>
          <w:szCs w:val="26"/>
        </w:rPr>
        <w:t xml:space="preserve">1.  </w:t>
      </w:r>
      <w:r>
        <w:rPr>
          <w:b/>
          <w:bCs/>
          <w:color w:val="1F3B57"/>
          <w:sz w:val="26"/>
          <w:szCs w:val="26"/>
        </w:rPr>
        <w:t xml:space="preserve">Matériel — coûts réels (devis fournisseurs), pour 1 agence</w:t>
      </w:r>
    </w:p>
    <w:p>
      <w:pPr>
        <w:spacing w:after="200" w:before="0"/>
      </w:pPr>
      <w:r>
        <w:rPr>
          <w:sz w:val="20"/>
          <w:szCs w:val="20"/>
        </w:rPr>
        <w:t xml:space="preserve">Grille fournie par le service achats. Un kit complet pour l'agence pilote.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900"/>
        <w:gridCol w:w="2000"/>
      </w:tblGrid>
      <w:tr>
        <w:trPr>
          <w:tblHeader/>
        </w:trP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Coût unitaire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Sous-total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Écran (32'')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65 000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65 000 FCFA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Serveur local (mini-PC)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250 000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250 000 FCFA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Imprimante (ticket QR)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50 000 FCFA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Switch réseau (16 ports)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35 000 FCFA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Câble RJ45 (rouleau)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45 000 FCFA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Câble HDMI (100 m)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100 000 FCFA</w:t>
            </w:r>
          </w:p>
        </w:tc>
      </w:tr>
      <w:tr>
        <w:tc>
          <w:tcPr>
            <w:tcW w:type="dxa" w:w="3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Haut-parleur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100 000 FCFA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100 000 FCFA</w:t>
            </w:r>
          </w:p>
        </w:tc>
      </w:tr>
      <w:tr>
        <w:tc>
          <w:tcPr>
            <w:tcW w:type="dxa" w:w="6700"/>
            <w:gridSpan w:val="3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SOUS-TOTAL AUTRES ÉQUIPEMENTS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645 000 FCFA</w:t>
            </w:r>
          </w:p>
        </w:tc>
      </w:tr>
    </w:tbl>
    <w:p>
      <w:pPr>
        <w:spacing w:after="100" w:before="220"/>
      </w:pPr>
      <w:r>
        <w:rPr>
          <w:b/>
          <w:bCs/>
          <w:color w:val="1F3B57"/>
          <w:sz w:val="21"/>
          <w:szCs w:val="21"/>
        </w:rPr>
        <w:t xml:space="preserve">Choix de la borne interactive — deux propositions</w:t>
      </w:r>
    </w:p>
    <w:p>
      <w:pPr>
        <w:spacing w:after="200" w:before="0"/>
      </w:pPr>
      <w:r>
        <w:rPr>
          <w:sz w:val="20"/>
          <w:szCs w:val="20"/>
        </w:rPr>
        <w:t xml:space="preserve">La borne interactive est proposée en deux tailles d'écran ; le choix impacte le total matériel par agence.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tcBorders>
              <w:top w:val="single" w:color="D9DEE4" w:sz="2"/>
              <w:left w:val="none"/>
              <w:bottom w:val="single" w:color="D9DEE4" w:sz="2"/>
              <w:right w:val="none"/>
            </w:tcBorders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3825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Proposition B - Borne 32 pouces (noire)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766 850 FCFA</w:t>
            </w:r>
          </w:p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Option la moins chere</w:t>
            </w:r>
          </w:p>
        </w:tc>
        <w:tc>
          <w:tcPr>
            <w:tcW w:type="dxa" w:w="4350"/>
            <w:tcBorders>
              <w:top w:val="single" w:color="D9DEE4" w:sz="2"/>
              <w:left w:val="none"/>
              <w:bottom w:val="single" w:color="D9DEE4" w:sz="2"/>
              <w:right w:val="none"/>
            </w:tcBorders>
            <w:tcMar>
              <w:top w:type="dxa" w:w="200"/>
              <w:left w:type="dxa" w:w="150"/>
              <w:bottom w:type="dxa" w:w="200"/>
              <w:right w:type="dxa" w:w="15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38250" cy="2066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Proposition A - Borne 55 pouces (blanche, logo)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1 386 000 FCFA</w:t>
            </w:r>
          </w:p>
        </w:tc>
      </w:tr>
    </w:tbl>
    <w:p>
      <w:pPr>
        <w:spacing w:after="100" w:before="0"/>
      </w:pPr>
      <w:r>
        <w:rPr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400"/>
        <w:gridCol w:w="2000"/>
      </w:tblGrid>
      <w:tr>
        <w:trPr>
          <w:tblHeader/>
        </w:trPr>
        <w:tc>
          <w:tcPr>
            <w:tcW w:type="dxa" w:w="53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Proposition - borne interactive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Qte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</w:tr>
      <w:tr>
        <w:tc>
          <w:tcPr>
            <w:tcW w:type="dxa" w:w="53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Proposition A - Borne 55 pouces (blanche)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1 386 000 FCFA</w:t>
            </w:r>
          </w:p>
        </w:tc>
      </w:tr>
      <w:tr>
        <w:tc>
          <w:tcPr>
            <w:tcW w:type="dxa" w:w="53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Proposition B - Borne 32 pouces (noire) - la moins chere</w:t>
            </w:r>
          </w:p>
        </w:tc>
        <w:tc>
          <w:tcPr>
            <w:tcW w:type="dxa" w:w="14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766 850 FCFA</w:t>
            </w:r>
          </w:p>
        </w:tc>
      </w:tr>
    </w:tbl>
    <w:p>
      <w:pPr>
        <w:spacing w:after="100" w:before="220"/>
      </w:pPr>
      <w:r>
        <w:rPr>
          <w:b/>
          <w:bCs/>
          <w:color w:val="1F3B57"/>
          <w:sz w:val="21"/>
          <w:szCs w:val="21"/>
        </w:rPr>
        <w:t xml:space="preserve">Total matériel par agence selon la proposition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000"/>
      </w:tblGrid>
      <w:tr>
        <w:trPr>
          <w:tblHeader/>
        </w:trP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matériel — 1 agence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Proposition A — avec borne 55 pouces (645 000 + 1 386 000)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2 031 000 FCFA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Proposition B — avec borne 32 pouces (645 000 + 766 850)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1 411 850 FCFA</w:t>
            </w:r>
          </w:p>
        </w:tc>
      </w:tr>
    </w:tbl>
    <w:p>
      <w:pPr>
        <w:pBdr>
          <w:bottom w:val="single" w:color="B8862B" w:sz="10" w:space="6"/>
        </w:pBdr>
        <w:spacing w:after="160" w:before="320"/>
      </w:pPr>
      <w:r>
        <w:rPr>
          <w:b/>
          <w:bCs/>
          <w:color w:val="B8862B"/>
          <w:sz w:val="26"/>
          <w:szCs w:val="26"/>
        </w:rPr>
        <w:t xml:space="preserve">2.  </w:t>
      </w:r>
      <w:r>
        <w:rPr>
          <w:b/>
          <w:bCs/>
          <w:color w:val="1F3B57"/>
          <w:sz w:val="26"/>
          <w:szCs w:val="26"/>
        </w:rPr>
        <w:t xml:space="preserve">Dépenses matériel — total pour 4 agences</w:t>
      </w:r>
    </w:p>
    <w:p>
      <w:pPr>
        <w:spacing w:after="200" w:before="0"/>
      </w:pPr>
      <w:r>
        <w:rPr>
          <w:sz w:val="20"/>
          <w:szCs w:val="20"/>
        </w:rPr>
        <w:t xml:space="preserve">Le kit matériel de la section 1 est répliqué à l'identique sur chacune des 4 agences : les dépenses matériel sont donc multipliées par 4, selon la proposition de borne retenue.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000"/>
      </w:tblGrid>
      <w:tr>
        <w:trPr>
          <w:tblHeader/>
        </w:trP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Dépenses matériel — 4 agences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Proposition A — borne 55 pouces (2 031 000 × 4)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8 124 000 FCFA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Proposition B — borne 32 pouces (1 411 850 × 4)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5 647 400 FCFA</w:t>
            </w:r>
          </w:p>
        </w:tc>
      </w:tr>
    </w:tbl>
    <w:p>
      <w:pPr>
        <w:pBdr>
          <w:bottom w:val="single" w:color="B8862B" w:sz="10" w:space="6"/>
        </w:pBdr>
        <w:spacing w:after="160" w:before="320"/>
      </w:pPr>
      <w:r>
        <w:rPr>
          <w:b/>
          <w:bCs/>
          <w:color w:val="B8862B"/>
          <w:sz w:val="26"/>
          <w:szCs w:val="26"/>
        </w:rPr>
        <w:t xml:space="preserve">3.  </w:t>
      </w:r>
      <w:r>
        <w:rPr>
          <w:b/>
          <w:bCs/>
          <w:color w:val="1F3B57"/>
          <w:sz w:val="26"/>
          <w:szCs w:val="26"/>
        </w:rPr>
        <w:t xml:space="preserve">Réalisation — V1 puis V2 (stratégie de continuité)</w:t>
      </w:r>
    </w:p>
    <w:p>
      <w:pPr>
        <w:spacing w:after="200" w:before="0"/>
      </w:pPr>
      <w:r>
        <w:rPr>
          <w:sz w:val="20"/>
          <w:szCs w:val="20"/>
        </w:rPr>
        <w:t xml:space="preserve">La V2 n'est pas un second projet indépendant : c'est la V1 qui évolue vers la V2. Ce prix couvre le développement, l'installation, le déploiement, l'assistance, le support et la formation.</w:t>
      </w:r>
    </w:p>
    <w:p>
      <w:pPr>
        <w:spacing w:after="200" w:before="0"/>
      </w:pPr>
      <w:r>
        <w:rPr>
          <w:sz w:val="20"/>
          <w:szCs w:val="20"/>
        </w:rPr>
        <w:t xml:space="preserve">En démarrant par la V1 (4 000 000 FCFA), la mise à jour vers la V2 ne coûte que 2 000 000 FCFA de plus — pas 6 000 000 FCFA à nouveau. Le coût total pour disposer de la V1 puis de la V2 est donc de 6 000 000 FCFA, qu'on démarre directement en V2 ou qu'on passe par la V1 d'abord.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000"/>
      </w:tblGrid>
      <w:tr>
        <w:trPr>
          <w:tblHeader/>
        </w:trP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 — développement, installation, déploiement, assistance, support et formation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4 000 000 FCFA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Mise à jour V1 → V2 — continuité (mêmes prestations, évolution du système)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+ 2 000 000 FCFA</w:t>
            </w:r>
          </w:p>
        </w:tc>
      </w:tr>
      <w:tr>
        <w:tc>
          <w:tcPr>
            <w:tcW w:type="dxa" w:w="6700"/>
            <w:gridSpan w:val="3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RÉALISATION — V1 puis V2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6 000 000 FCFA</w:t>
            </w:r>
          </w:p>
        </w:tc>
      </w:tr>
    </w:tbl>
    <w:p>
      <w:pPr>
        <w:pBdr>
          <w:bottom w:val="single" w:color="B8862B" w:sz="10" w:space="6"/>
        </w:pBdr>
        <w:spacing w:after="160" w:before="320"/>
      </w:pPr>
      <w:r>
        <w:rPr>
          <w:b/>
          <w:bCs/>
          <w:color w:val="B8862B"/>
          <w:sz w:val="26"/>
          <w:szCs w:val="26"/>
        </w:rPr>
        <w:t xml:space="preserve">4.  </w:t>
      </w:r>
      <w:r>
        <w:rPr>
          <w:b/>
          <w:bCs/>
          <w:color w:val="1F3B57"/>
          <w:sz w:val="26"/>
          <w:szCs w:val="26"/>
        </w:rPr>
        <w:t xml:space="preserve">Budget total global du projet</w:t>
      </w:r>
    </w:p>
    <w:p>
      <w:pPr>
        <w:spacing w:after="100" w:before="220"/>
      </w:pPr>
      <w:r>
        <w:rPr>
          <w:b/>
          <w:bCs/>
          <w:color w:val="1F3B57"/>
          <w:sz w:val="21"/>
          <w:szCs w:val="21"/>
        </w:rPr>
        <w:t xml:space="preserve">Proposition A — Borne interactive 55 pouces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000"/>
      </w:tblGrid>
      <w:tr>
        <w:trPr>
          <w:tblHeader/>
        </w:trP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Dépenses matériel — 4 agences (borne 55 pouces)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8 124 000 FCFA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Réalisation — V1 puis V2 (développement, installation, déploiement, assistance, support, formation)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6 000 000 FCFA</w:t>
            </w:r>
          </w:p>
        </w:tc>
      </w:tr>
      <w:tr>
        <w:tc>
          <w:tcPr>
            <w:tcW w:type="dxa" w:w="6700"/>
            <w:gridSpan w:val="3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 TOTAL GLOBAL DU PROJET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14 124 000 FCFA</w:t>
            </w:r>
          </w:p>
        </w:tc>
      </w:tr>
    </w:tbl>
    <w:p>
      <w:pPr>
        <w:spacing w:after="100" w:before="220"/>
      </w:pPr>
      <w:r>
        <w:rPr>
          <w:b/>
          <w:bCs/>
          <w:color w:val="1F3B57"/>
          <w:sz w:val="21"/>
          <w:szCs w:val="21"/>
        </w:rPr>
        <w:t xml:space="preserve">Proposition B — Borne interactive 32 pouces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000"/>
      </w:tblGrid>
      <w:tr>
        <w:trPr>
          <w:tblHeader/>
        </w:trP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Dépenses matériel — 4 agences (borne 32 pouces)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5 647 400 FCFA</w:t>
            </w:r>
          </w:p>
        </w:tc>
      </w:tr>
      <w:tr>
        <w:tc>
          <w:tcPr>
            <w:tcW w:type="dxa" w:w="67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Réalisation — V1 puis V2 (développement, installation, déploiement, assistance, support, formation)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6 000 000 FCFA</w:t>
            </w:r>
          </w:p>
        </w:tc>
      </w:tr>
      <w:tr>
        <w:tc>
          <w:tcPr>
            <w:tcW w:type="dxa" w:w="6700"/>
            <w:gridSpan w:val="3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 TOTAL GLOBAL DU PROJET</w:t>
            </w:r>
          </w:p>
        </w:tc>
        <w:tc>
          <w:tcPr>
            <w:tcW w:type="dxa" w:w="20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11 647 400 FCFA</w:t>
            </w:r>
          </w:p>
        </w:tc>
      </w:tr>
    </w:tbl>
    <w:p>
      <w:pPr>
        <w:spacing w:after="200" w:before="100"/>
      </w:pPr>
      <w:r>
        <w:rPr>
          <w:i/>
          <w:iCs/>
          <w:color w:val="6B7280"/>
          <w:sz w:val="19"/>
          <w:szCs w:val="19"/>
        </w:rPr>
        <w:t xml:space="preserve">Hors taxes. Hors coûts récurrents (électricité, connexion internet des agences).</w:t>
      </w:r>
    </w:p>
    <w:p>
      <w:pPr>
        <w:pBdr>
          <w:bottom w:val="single" w:color="B8862B" w:sz="10" w:space="6"/>
        </w:pBdr>
        <w:spacing w:after="160" w:before="320"/>
      </w:pPr>
      <w:r>
        <w:rPr>
          <w:b/>
          <w:bCs/>
          <w:color w:val="B8862B"/>
          <w:sz w:val="26"/>
          <w:szCs w:val="26"/>
        </w:rPr>
        <w:t xml:space="preserve">5.  </w:t>
      </w:r>
      <w:r>
        <w:rPr>
          <w:b/>
          <w:bCs/>
          <w:color w:val="1F3B57"/>
          <w:sz w:val="26"/>
          <w:szCs w:val="26"/>
        </w:rPr>
        <w:t xml:space="preserve">Échéance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65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1F3B5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</w:tr>
      <w:tr>
        <w:tc>
          <w:tcPr>
            <w:tcW w:type="dxa" w:w="22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 août 2026</w:t>
            </w:r>
          </w:p>
        </w:tc>
        <w:tc>
          <w:tcPr>
            <w:tcW w:type="dxa" w:w="6500"/>
            <w:tcBorders>
              <w:top w:val="single" w:color="D9DEE4" w:sz="2"/>
              <w:left w:val="none"/>
              <w:bottom w:val="single" w:color="D9DEE4" w:sz="2"/>
              <w:right w:val="none"/>
            </w:tcBorders>
            <w:shd w:fill="F2F5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Mise en service V1 — 1 agence</w:t>
            </w:r>
          </w:p>
        </w:tc>
      </w:tr>
    </w:tbl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0f8db59002993a52199a5ec8788c5def789381.png"/><Relationship Id="rId8" Type="http://schemas.openxmlformats.org/officeDocument/2006/relationships/image" Target="media/6514bd6a6b2f0466999b46985c1b415a790696d7.png"/><Relationship Id="rId9" Type="http://schemas.openxmlformats.org/officeDocument/2006/relationships/image" Target="media/37f2f47c29f533e628bff7d2b25ad63003a933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2026-07-30T23:49:11.631Z</dcterms:created>
  <dcterms:modified xsi:type="dcterms:W3CDTF">2026-07-30T23:49:11.641Z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