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MATRIX INDUSTRIE</w:t>
      </w:r>
    </w:p>
    <w:p>
      <w:pPr>
        <w:spacing w:after="500" w:before="10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Fabrication d'ordinateurs et de bornes interactives</w:t>
      </w:r>
    </w:p>
    <w:p>
      <w:pPr>
        <w:spacing w:after="200" w:before="7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Dossier technique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0F6E56"/>
          <w:sz w:val="24"/>
          <w:szCs w:val="24"/>
        </w:rPr>
        <w:t xml:space="preserve">Système de gestion de file d'attente — architecture, stack et déploiement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C2C2A"/>
          <w:sz w:val="20"/>
          <w:szCs w:val="20"/>
        </w:rPr>
        <w:t xml:space="preserve">Destinataire : Direction / Chef du département informatique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C2C2A"/>
          <w:sz w:val="20"/>
          <w:szCs w:val="20"/>
        </w:rPr>
        <w:t xml:space="preserve">Institution de microfinance — 4 agences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Juillet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1. Objet du document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2. Vue d'ensemble de l'architecture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3. Stack technique détaillée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4. Infrastructure par agence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5. Flux de données temps réel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6. Sécurité et gestion des données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7. Contraintes réseau et résilience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8. Prérequis techniques attendus côté client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9. Plan de déploiement technique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10. Contact technique Matrix Industrie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Objet du document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Ce document technique détaille l'architecture, la stack logicielle et les prérequis d'infrastructure du système de gestion de file d'attente à déployer sur les 4 agences du client. Il complète la proposition commerciale et s'adresse au responsable informatique en charge de la validation technique et de la coordination du déploiement côté client.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Vue d'ensemble de l'architecture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Le système repose sur une architecture web déployée localement dans chaque agence (edge), avec synchronisation différée vers un backend central pour les besoins de reporting multi-agences en V2.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Chaque agence héberge son propre serveur local (API + base de données) : les opérations essentielles (ticket, appel, affichage, audio) fonctionnent en réseau local, indépendamment de la qualité de la connexion internet.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La borne, l'écran d'accueil et le poste agent sont des clients web (navigateur en mode kiosque ou onglet standard) qui communiquent avec le serveur local via API REST et WebSocket.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En V2, chaque serveur local synchronise ses données vers un backend central hébergé dans le cloud, qui alimente le dashboard de reporting consultable en dehors des agences.</w:t>
      </w:r>
    </w:p>
    <w:p>
      <w:pPr>
        <w:pStyle w:val="Heading1"/>
        <w:pBdr>
          <w:bottom w:val="single" w:color="0F6E56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F6E56"/>
          <w:sz w:val="27"/>
          <w:szCs w:val="27"/>
        </w:rPr>
        <w:t xml:space="preserve">3. Stack technique détaillée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Borne interactive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React 18 + Vite, déployé en mode kiosque (Chromium plein écran, --kiosk)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Un seul code base pour tous les points de contact, mises à jour poussées à distance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Écran d'accueil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React 18, page d'affichage passive, reconnexion auto au WebSocket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Tourne sur mini-PC ou Raspberry Pi 4 relié à un téléviseur/moniteur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Poste agent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React 18, interface web standard (navigateur du poste existant)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Aucune installation cliente, accessible via URL locale (ex. http://192.168.1.10:3000/agent)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Serveur applicatif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Node.js 20 LTS + Express (API REST) + Socket.io (temps réel)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Léger, mature, excellent support WebSocket pour la diffusion instantanée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PostgreSQL 16, instance locale par agence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Fiable, transactionnelle, adaptée au suivi de statuts de tickets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Audio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Web Speech API (TTS navigateur) ou fichiers audio pré-enregistrés déclenchés côté serveur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Fonctionne sans connexion internet, pas de dépendance à un service cloud de synthèse vocale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Authentification agent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JWT (JSON Web Token), sessions par poste agent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Standard, simple à intégrer sans système d'identité lourd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Notifications V2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API SMS (passerelle locale), SMTP (e-mail), API WhatsApp Business (optionnel)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Ajoutées en surcouche du socle V1, découplées du cœur temps réel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Dashboard V2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React 18 + Recharts, API REST sur backend central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Web responsive, consultable sur desktop et mobile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Backend central V2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Node.js + Express, PostgreSQL (ou instance managée cloud)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Consolide les données des 4 agences pour le reporting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Synchronisation agence ↔ central</w:t>
            </w:r>
          </w:p>
        </w:tc>
        <w:tc>
          <w:tcPr>
            <w:tcW w:type="dxa" w:w="37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Job de synchronisation différée (file d'attente de messages ou export périodique)</w:t>
            </w:r>
          </w:p>
        </w:tc>
        <w:tc>
          <w:tcPr>
            <w:tcW w:type="dxa" w:w="38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DF0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Tolère les coupures internet, rattrape l'historique à la reconnexion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Infrastructure par agence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Configuration recommandée pour chacune des 4 agences. Le dimensionnement est calibré pour un volume courant d'agence de microfinance ; à ajuster si le trafic clients dépasse largement les hypothèses de cadrage.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Spécification recommandée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Serveur local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Mini-PC/NUC — CPU 4 cœurs, 8 Go RAM, SSD 256 Go, Ubuntu Server 24.04 LTS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Réseau local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Switch Ethernet dédié ou VLAN isolé, débit interne 100 Mbps minimum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Borne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Écran tactile 21-24 pouces, imprimante thermique (si ticket papier), mini-PC intégré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Écran d'accueil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Téléviseur/moniteur 42 pouces minimum + mini-PC ou Raspberry Pi 4 (4 Go RAM)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Poste agent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Poste existant de l'agence, navigateur récent (Chrome/Edge/Firefox à jour)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Audio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Haut-parleurs USB/Jack connectés à la borne, ou intégration à la sonorisation existante</w:t>
            </w:r>
          </w:p>
        </w:tc>
      </w:tr>
      <w:tr>
        <w:tc>
          <w:tcPr>
            <w:tcW w:type="dxa" w:w="3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6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Onduleur recommandé pour le serveur local (continuité en cas de coupure électrique)</w:t>
            </w:r>
          </w:p>
        </w:tc>
      </w:tr>
    </w:tbl>
    <w:p>
      <w:pPr>
        <w:pStyle w:val="Heading1"/>
        <w:pBdr>
          <w:bottom w:val="single" w:color="0F6E56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F6E56"/>
          <w:sz w:val="27"/>
          <w:szCs w:val="27"/>
        </w:rPr>
        <w:t xml:space="preserve">5. Flux de données temps réel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0F6E56"/>
          <w:sz w:val="23"/>
          <w:szCs w:val="23"/>
        </w:rPr>
        <w:t xml:space="preserve">Création d'un ticket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Borne  →  POST /api/tickets  →  Serveur local (Express)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Serveur local  →  INSERT ticket  →  PostgreSQL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Serveur local  →  emit('ticket:created')  →  Socket.io (broadcast agence)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Le serveur local répond immédiatement à la borne avec le numéro attribué, puis diffuse l'événement à tous les clients connectés (écran, postes agents).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0F6E56"/>
          <w:sz w:val="23"/>
          <w:szCs w:val="23"/>
        </w:rPr>
        <w:t xml:space="preserve">Appel du ticket suivant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Poste agent  →  POST /api/tickets/:id/call  →  Serveur local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Serveur local  →  UPDATE statut ticket  →  PostgreSQL</w:t>
      </w:r>
    </w:p>
    <w:p>
      <w:pPr>
        <w:shd w:fill="F1EFE8" w:val="clear"/>
        <w:spacing w:after="4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Serveur local  →  emit('ticket:called')  →  Écran d'accueil + Audio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L'écran affiche le numéro et le guichet, et le module audio déclenche l'annonce vocale, dans le même événement diffusé.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0F6E56"/>
          <w:sz w:val="23"/>
          <w:szCs w:val="23"/>
        </w:rPr>
        <w:t xml:space="preserve">Synchronisation V2 vers le backend central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Chaque serveur local pousse périodiquement (ou à la reconnexion) les tickets clôturés et les réponses de satisfaction vers le backend central, qui agrège les données des 4 agences pour le dashboard.</w:t>
      </w:r>
    </w:p>
    <w:p>
      <w:pPr>
        <w:pStyle w:val="Heading1"/>
        <w:pBdr>
          <w:bottom w:val="single" w:color="993C1D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993C1D"/>
          <w:sz w:val="27"/>
          <w:szCs w:val="27"/>
        </w:rPr>
        <w:t xml:space="preserve">6. Sécurité et gestion des données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Les échanges entre clients web (borne, écran, agent) et serveur local transitent en HTTPS/WSS, y compris sur le réseau interne.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Les postes agents s'authentifient via identifiant/mot de passe et token JWT ; les actions d'appel de ticket sont tracées (horodatage, agent, agence).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Les données personnelles collectées pour les notifications (numéro de téléphone, e-mail) sont stockées uniquement le temps nécessaire au traitement du ticket, sauf politique de conservation différente définie avec le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Accès à la base de données restreint au serveur applicatif local ; pas d'exposition directe de PostgreSQL sur le réseau.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Sauvegardes locales quotidiennes de la base de données de chaque agence, avec rétention à définir avec le service informatique du client.</w:t>
      </w:r>
    </w:p>
    <w:p>
      <w:pPr>
        <w:pStyle w:val="Heading1"/>
        <w:pBdr>
          <w:bottom w:val="single" w:color="993C1D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993C1D"/>
          <w:sz w:val="27"/>
          <w:szCs w:val="27"/>
        </w:rPr>
        <w:t xml:space="preserve">7. Contraintes réseau et résilience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Le cœur du système (création de ticket, affichage, appel, audio) doit rester pleinement fonctionnel sans connexion internet — seule la synchronisation V2 et les notifications SMS/e-mail/WhatsApp en dépendent.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En cas de coupure du serveur local, un mécanisme de redémarrage automatique (service systemd) est recommandé pour limiter les interruptions de 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La bande passante internet de chaque agence n'a pas besoin d'être dimensionnée pour le flux temps réel (100% local) ; un lien internet standard suffit pour la synchronisation et les notifications V2.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8. Prérequis techniques attendus côté client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Accès à une prise réseau/Ethernet et une prise électrique à l'accueil pour la borne et le serveur local, dans chacune des 4 agences.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Autorisation d'installer un mini-PC/NUC sur le réseau local de chaque agence, avec une adresse IP fixe ou réservée par DHCP.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Un contact technique côté client disponible pendant la phase d'installation pour l'accès aux locaux et au réseau.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Confirmation de l'existence ou non d'un système de sonorisation existant par agence, pour dimensionner le volet audio.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Validation des règles de priorité et des types de services à intégrer dans la borne et le poste agent (cadrage fonctionnel).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9. Plan de déploiement technique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Planning aligné sur les échéances du 5 août (V1) et du 30 août (V2) pour les 4 agences.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7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 technique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29-31 juillet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Cadrage technique express avec le service informatique client ; validation IP/réseau par agence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31 juil. - 3 août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Préparation et configuration des serveurs locaux, bornes et écrans (assemblage Matrix Industrie)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3-4 août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Installation sur site dans les 4 agences : câblage, mise en réseau, tests fonctionnels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5 août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Mise en service V1 sur les 4 agences, supervision technique à distance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6-20 août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Développement V2 : backend central, dashboard, intégrations SMS/e-mail/WhatsApp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21-28 août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Déploiement V2 sur les 4 serveurs locaux, tests de synchronisation, recette technique</w:t>
            </w:r>
          </w:p>
        </w:tc>
      </w:tr>
      <w:tr>
        <w:tc>
          <w:tcPr>
            <w:tcW w:type="dxa" w:w="22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A"/>
                <w:sz w:val="20"/>
                <w:szCs w:val="20"/>
              </w:rPr>
              <w:t xml:space="preserve">30 août</w:t>
            </w:r>
          </w:p>
        </w:tc>
        <w:tc>
          <w:tcPr>
            <w:tcW w:type="dxa" w:w="7100"/>
            <w:tcBorders>
              <w:top w:val="single" w:color="D9D7CE" w:sz="4"/>
              <w:left w:val="single" w:color="D9D7CE" w:sz="4"/>
              <w:bottom w:val="single" w:color="D9D7CE" w:sz="4"/>
              <w:right w:val="single" w:color="D9D7CE" w:sz="4"/>
            </w:tcBorders>
            <w:shd w:fill="DC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A"/>
                <w:sz w:val="20"/>
                <w:szCs w:val="20"/>
              </w:rPr>
              <w:t xml:space="preserve">Mise en service V2, formation technique du service informatique client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b/>
          <w:bCs/>
          <w:color w:val="993C1D"/>
          <w:sz w:val="21"/>
          <w:szCs w:val="21"/>
        </w:rPr>
        <w:t xml:space="preserve">Point de vigilance : </w:t>
      </w:r>
      <w:r>
        <w:rPr>
          <w:rFonts w:ascii="Calibri" w:cs="Calibri" w:eastAsia="Calibri" w:hAnsi="Calibri"/>
          <w:sz w:val="21"/>
          <w:szCs w:val="21"/>
        </w:rPr>
        <w:t xml:space="preserve">la fenêtre du 29 juillet au 5 août est très courte pour un déploiement matériel simultané sur 4 sites. Une coordination technique quotidienne entre Matrix Industrie et le service informatique du client est recommandée durant cette période.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10. Contact technique Matrix Industrie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Pour toute question technique, coordination réseau ou accès aux agences, le service informatique du client peut se rapprocher directement de l'équipe projet Matrix Industrie en charge du déploiement.</w:t>
      </w:r>
    </w:p>
    <w:p>
      <w:pPr>
        <w:spacing w:after="150" w:line="300"/>
      </w:pPr>
      <w:r>
        <w:rPr>
          <w:rFonts w:ascii="Calibri" w:cs="Calibri" w:eastAsia="Calibri" w:hAnsi="Calibri"/>
          <w:color w:val="2C2C2A"/>
          <w:sz w:val="21"/>
          <w:szCs w:val="21"/>
        </w:rPr>
        <w:t xml:space="preserve">Un accès de supervision à distance (SSH/VPN à convenir) pourra être mis en place pendant la phase de déploiement pour accélérer le diagnostic en cas d'incident.</w:t>
      </w:r>
    </w:p>
    <w:p>
      <w:r>
        <w:rPr>
          <w:b/>
          <w:sz w:val="28"/>
        </w:rPr>
        <w:t>11. Axes d'Amélioration et Architecture Cible (Roadmap DSI)</w:t>
      </w:r>
    </w:p>
    <w:p>
      <w:r>
        <w:t>Le système de gestion de file d'attente du Groupe Cofina intègre une feuille de route technique visant à faire évoluer l'architecture Edge-to-Cloud :</w:t>
      </w:r>
    </w:p>
    <w:p>
      <w:r>
        <w:rPr>
          <w:b/>
          <w:sz w:val="24"/>
        </w:rPr>
        <w:t>11.1 Évolution de l'Architecture Edge-to-Cloud (V2)</w:t>
      </w:r>
    </w:p>
    <w:p>
      <w:r>
        <w:t>• Worker de synchronisation local (Transactional Outbox Pattern avec re-tentatives exponentielles).</w:t>
        <w:br/>
        <w:t>• API Ingestion HTTPS sécurisée par clé d'agence (X-Agency-Key).</w:t>
        <w:br/>
        <w:t>• Agrégation analytique PostgreSQL Cloud pour reporting multi-sites.</w:t>
      </w:r>
    </w:p>
    <w:p>
      <w:r>
        <w:rPr>
          <w:b/>
          <w:sz w:val="24"/>
        </w:rPr>
        <w:t>11.2 Intégrations Digitales &amp; API Gateway (V3)</w:t>
      </w:r>
    </w:p>
    <w:p>
      <w:r>
        <w:t>• Connecteurs API REST / Webhooks pour la prise de RDV depuis l'application mobile Cofina.</w:t>
        <w:br/>
        <w:t>• Moteur d'analyse de performance agents et algorithme de dispatching intelligent.</w:t>
      </w:r>
    </w:p>
    <w:p>
      <w:r>
        <w:rPr>
          <w:b/>
          <w:sz w:val="24"/>
        </w:rPr>
        <w:t>11.3 Driver Hardware &amp; Supervision d'Infrastructure (V4)</w:t>
      </w:r>
    </w:p>
    <w:p>
      <w:r>
        <w:t>• Communication bas-niveau WebUSB / ESC/POS pour imprimantes thermiques de borne.</w:t>
        <w:br/>
        <w:t>• Agent de supervision léger (Uptime Kuma &amp; Loki Log Push) pré-installé sur chaque NUC agence.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5E5A"/>
        <w:sz w:val="16"/>
        <w:szCs w:val="16"/>
      </w:rPr>
      <w:t xml:space="preserve">Page </w:t>
    </w:r>
    <w:r>
      <w:rPr>
        <w:rFonts w:ascii="Calibri" w:cs="Calibri" w:eastAsia="Calibri" w:hAnsi="Calibri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5E5A"/>
        <w:sz w:val="16"/>
        <w:szCs w:val="16"/>
      </w:rPr>
      <w:t xml:space="preserve"> / </w:t>
    </w:r>
    <w:r>
      <w:rPr>
        <w:rFonts w:ascii="Calibri" w:cs="Calibri" w:eastAsia="Calibri" w:hAnsi="Calibri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Matrix Industrie — Dossier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2026-07-28T00:39:27.214Z</dcterms:created>
  <dcterms:modified xsi:type="dcterms:W3CDTF">2026-07-28T00:39:27.230Z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