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C42" w:rsidRPr="005352AB" w:rsidRDefault="00193C42" w:rsidP="00193C42">
      <w:pPr>
        <w:autoSpaceDE w:val="0"/>
        <w:autoSpaceDN w:val="0"/>
        <w:adjustRightInd w:val="0"/>
        <w:spacing w:after="0" w:line="240" w:lineRule="auto"/>
        <w:rPr>
          <w:rFonts w:cstheme="minorHAnsi"/>
          <w:color w:val="000000" w:themeColor="text1"/>
        </w:rPr>
      </w:pPr>
      <w:r w:rsidRPr="005352AB">
        <w:rPr>
          <w:rFonts w:cstheme="minorHAnsi"/>
          <w:color w:val="000000" w:themeColor="text1"/>
        </w:rPr>
        <w:t>EECS 4980:805 Inside Cryptography</w:t>
      </w:r>
    </w:p>
    <w:p w:rsidR="00193C42" w:rsidRPr="005352AB" w:rsidRDefault="00193C42" w:rsidP="00193C42">
      <w:pPr>
        <w:autoSpaceDE w:val="0"/>
        <w:autoSpaceDN w:val="0"/>
        <w:adjustRightInd w:val="0"/>
        <w:spacing w:after="0" w:line="240" w:lineRule="auto"/>
        <w:rPr>
          <w:rFonts w:cstheme="minorHAnsi"/>
          <w:color w:val="000000" w:themeColor="text1"/>
        </w:rPr>
      </w:pPr>
      <w:r w:rsidRPr="005352AB">
        <w:rPr>
          <w:rFonts w:cstheme="minorHAnsi"/>
          <w:color w:val="000000" w:themeColor="text1"/>
        </w:rPr>
        <w:t>DES Analysis Project</w:t>
      </w:r>
    </w:p>
    <w:p w:rsidR="00193C42" w:rsidRDefault="00193C42" w:rsidP="00193C42">
      <w:pPr>
        <w:rPr>
          <w:rFonts w:cstheme="minorHAnsi"/>
          <w:color w:val="000000" w:themeColor="text1"/>
        </w:rPr>
      </w:pPr>
      <w:r w:rsidRPr="005352AB">
        <w:rPr>
          <w:rFonts w:cstheme="minorHAnsi"/>
          <w:color w:val="000000" w:themeColor="text1"/>
        </w:rPr>
        <w:t>David Carek</w:t>
      </w:r>
    </w:p>
    <w:p w:rsidR="00193C42" w:rsidRDefault="00193C42" w:rsidP="00193C42">
      <w:pPr>
        <w:rPr>
          <w:rFonts w:cstheme="minorHAnsi"/>
          <w:color w:val="000000" w:themeColor="text1"/>
        </w:rPr>
      </w:pPr>
    </w:p>
    <w:p w:rsidR="00193C42" w:rsidRDefault="00193C42" w:rsidP="00193C42">
      <w:pPr>
        <w:rPr>
          <w:rFonts w:cstheme="minorHAnsi"/>
          <w:color w:val="000000" w:themeColor="text1"/>
        </w:rPr>
      </w:pPr>
      <w:r>
        <w:rPr>
          <w:rFonts w:cstheme="minorHAnsi"/>
          <w:color w:val="000000" w:themeColor="text1"/>
        </w:rPr>
        <w:tab/>
        <w:t>The purpose of this analysis is to understand the result of applying the Data Encryption Standard (DES) algorithm. The data collected will help to paint a picture of what the algorithm does as a whole which is difficult to observe by just looking at an encrypted file.</w:t>
      </w:r>
    </w:p>
    <w:p w:rsidR="00193C42" w:rsidRDefault="00193C42" w:rsidP="00193C42">
      <w:pPr>
        <w:rPr>
          <w:rFonts w:cstheme="minorHAnsi"/>
          <w:color w:val="000000" w:themeColor="text1"/>
        </w:rPr>
      </w:pPr>
      <w:r>
        <w:rPr>
          <w:rFonts w:cstheme="minorHAnsi"/>
          <w:color w:val="000000" w:themeColor="text1"/>
        </w:rPr>
        <w:tab/>
        <w:t>The first data collected is on byte frequencies. The graphs below illustrate the byte frequencies before and after encryption</w:t>
      </w:r>
      <w:r w:rsidR="0063644E">
        <w:rPr>
          <w:rFonts w:cstheme="minorHAnsi"/>
          <w:color w:val="000000" w:themeColor="text1"/>
        </w:rPr>
        <w:t xml:space="preserve">. Prior to encryption the byte frequencies </w:t>
      </w:r>
      <w:r w:rsidR="000F3EF9">
        <w:rPr>
          <w:rFonts w:cstheme="minorHAnsi"/>
          <w:color w:val="000000" w:themeColor="text1"/>
        </w:rPr>
        <w:t xml:space="preserve">have widely varying values. </w:t>
      </w:r>
      <w:r w:rsidR="00F6488B">
        <w:rPr>
          <w:rFonts w:cstheme="minorHAnsi"/>
          <w:color w:val="000000" w:themeColor="text1"/>
        </w:rPr>
        <w:t>The most important take away from these graphs is the variation in the range. In the plaintext the space character occurs 767104 times</w:t>
      </w:r>
      <w:r w:rsidR="00DF7B1F">
        <w:rPr>
          <w:rFonts w:cstheme="minorHAnsi"/>
          <w:color w:val="000000" w:themeColor="text1"/>
        </w:rPr>
        <w:t xml:space="preserve">. No character in the encrypted file comes anywhere near to having this many occurrences. The most frequent character </w:t>
      </w:r>
      <w:r w:rsidR="00963A16">
        <w:rPr>
          <w:rFonts w:cstheme="minorHAnsi"/>
          <w:color w:val="000000" w:themeColor="text1"/>
        </w:rPr>
        <w:t>that occurs in the encrypted file occurs 20724 times and is not even an ASCII character. At a glance it is fairly easy to tell that the points are much more evenly distributed.</w:t>
      </w:r>
      <w:r w:rsidR="0005163B">
        <w:rPr>
          <w:rFonts w:cstheme="minorHAnsi"/>
          <w:color w:val="000000" w:themeColor="text1"/>
        </w:rPr>
        <w:t xml:space="preserve"> This validates the requirements for confusion</w:t>
      </w:r>
      <w:r w:rsidR="00963A16">
        <w:rPr>
          <w:rFonts w:cstheme="minorHAnsi"/>
          <w:color w:val="000000" w:themeColor="text1"/>
        </w:rPr>
        <w:t xml:space="preserve"> </w:t>
      </w:r>
      <w:r w:rsidR="0005163B">
        <w:rPr>
          <w:rFonts w:cstheme="minorHAnsi"/>
          <w:color w:val="000000" w:themeColor="text1"/>
        </w:rPr>
        <w:t>that DES is supposed to produce.</w:t>
      </w:r>
    </w:p>
    <w:p w:rsidR="00316618" w:rsidRDefault="00D35509">
      <w:pPr>
        <w:rPr>
          <w:rFonts w:cstheme="minorHAnsi"/>
          <w:color w:val="000000" w:themeColor="text1"/>
        </w:rPr>
      </w:pPr>
      <w:r>
        <w:rPr>
          <w:rFonts w:cstheme="minorHAnsi"/>
          <w:color w:val="000000" w:themeColor="text1"/>
        </w:rPr>
        <w:t xml:space="preserve">Unsorted </w:t>
      </w:r>
      <w:r w:rsidR="00193C42">
        <w:rPr>
          <w:rFonts w:cstheme="minorHAnsi"/>
          <w:color w:val="000000" w:themeColor="text1"/>
        </w:rPr>
        <w:t>Byte Frequencies:</w:t>
      </w:r>
    </w:p>
    <w:p w:rsidR="0063644E" w:rsidRDefault="0063644E">
      <w:pPr>
        <w:rPr>
          <w:rFonts w:cstheme="minorHAnsi"/>
          <w:color w:val="000000" w:themeColor="text1"/>
        </w:rPr>
      </w:pPr>
      <w:r>
        <w:rPr>
          <w:noProof/>
        </w:rPr>
        <w:drawing>
          <wp:inline distT="0" distB="0" distL="0" distR="0" wp14:anchorId="104152D0" wp14:editId="2995232B">
            <wp:extent cx="2952750" cy="24669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7AB219EB" wp14:editId="1AE24EC2">
            <wp:extent cx="2971800" cy="24765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5163B" w:rsidRDefault="0005163B">
      <w:pPr>
        <w:rPr>
          <w:rFonts w:cstheme="minorHAnsi"/>
          <w:color w:val="000000" w:themeColor="text1"/>
        </w:rPr>
      </w:pPr>
      <w:r>
        <w:rPr>
          <w:rFonts w:cstheme="minorHAnsi"/>
          <w:color w:val="000000" w:themeColor="text1"/>
        </w:rPr>
        <w:tab/>
        <w:t xml:space="preserve">The data in the charts above is a helpful tool to understand </w:t>
      </w:r>
      <w:bookmarkStart w:id="0" w:name="_GoBack"/>
      <w:bookmarkEnd w:id="0"/>
      <w:r>
        <w:rPr>
          <w:rFonts w:cstheme="minorHAnsi"/>
          <w:color w:val="000000" w:themeColor="text1"/>
        </w:rPr>
        <w:t xml:space="preserve"> </w:t>
      </w:r>
    </w:p>
    <w:tbl>
      <w:tblPr>
        <w:tblStyle w:val="TableGrid"/>
        <w:tblW w:w="0" w:type="auto"/>
        <w:tblLook w:val="04A0" w:firstRow="1" w:lastRow="0" w:firstColumn="1" w:lastColumn="0" w:noHBand="0" w:noVBand="1"/>
      </w:tblPr>
      <w:tblGrid>
        <w:gridCol w:w="3116"/>
        <w:gridCol w:w="3117"/>
        <w:gridCol w:w="3117"/>
      </w:tblGrid>
      <w:tr w:rsidR="00D35509" w:rsidTr="00D35509">
        <w:tc>
          <w:tcPr>
            <w:tcW w:w="3116" w:type="dxa"/>
          </w:tcPr>
          <w:p w:rsidR="00D35509" w:rsidRDefault="00D35509">
            <w:pPr>
              <w:rPr>
                <w:rFonts w:cstheme="minorHAnsi"/>
                <w:color w:val="000000" w:themeColor="text1"/>
              </w:rPr>
            </w:pPr>
            <w:r>
              <w:rPr>
                <w:rFonts w:cstheme="minorHAnsi"/>
                <w:color w:val="000000" w:themeColor="text1"/>
              </w:rPr>
              <w:t>Statistics of sorted frequencies</w:t>
            </w:r>
          </w:p>
        </w:tc>
        <w:tc>
          <w:tcPr>
            <w:tcW w:w="3117" w:type="dxa"/>
          </w:tcPr>
          <w:p w:rsidR="00D35509" w:rsidRDefault="00D35509">
            <w:pPr>
              <w:rPr>
                <w:rFonts w:cstheme="minorHAnsi"/>
                <w:color w:val="000000" w:themeColor="text1"/>
              </w:rPr>
            </w:pPr>
            <w:r>
              <w:rPr>
                <w:rFonts w:cstheme="minorHAnsi"/>
                <w:color w:val="000000" w:themeColor="text1"/>
              </w:rPr>
              <w:t>Unencrypted</w:t>
            </w:r>
          </w:p>
        </w:tc>
        <w:tc>
          <w:tcPr>
            <w:tcW w:w="3117" w:type="dxa"/>
          </w:tcPr>
          <w:p w:rsidR="00D35509" w:rsidRDefault="00D35509">
            <w:pPr>
              <w:rPr>
                <w:rFonts w:cstheme="minorHAnsi"/>
                <w:color w:val="000000" w:themeColor="text1"/>
              </w:rPr>
            </w:pPr>
            <w:r>
              <w:rPr>
                <w:rFonts w:cstheme="minorHAnsi"/>
                <w:color w:val="000000" w:themeColor="text1"/>
              </w:rPr>
              <w:t>Encrypted</w:t>
            </w:r>
          </w:p>
        </w:tc>
      </w:tr>
      <w:tr w:rsidR="00D35509" w:rsidTr="00D35509">
        <w:tc>
          <w:tcPr>
            <w:tcW w:w="3116" w:type="dxa"/>
          </w:tcPr>
          <w:p w:rsidR="00D35509" w:rsidRDefault="00D35509">
            <w:pPr>
              <w:rPr>
                <w:rFonts w:cstheme="minorHAnsi"/>
                <w:color w:val="000000" w:themeColor="text1"/>
              </w:rPr>
            </w:pPr>
            <w:r>
              <w:rPr>
                <w:rFonts w:cstheme="minorHAnsi"/>
                <w:color w:val="000000" w:themeColor="text1"/>
              </w:rPr>
              <w:t>Min</w:t>
            </w:r>
          </w:p>
        </w:tc>
        <w:tc>
          <w:tcPr>
            <w:tcW w:w="3117" w:type="dxa"/>
          </w:tcPr>
          <w:p w:rsidR="00D35509" w:rsidRDefault="001E11FD" w:rsidP="001E11FD">
            <w:pPr>
              <w:jc w:val="right"/>
              <w:rPr>
                <w:rFonts w:cstheme="minorHAnsi"/>
                <w:color w:val="000000" w:themeColor="text1"/>
              </w:rPr>
            </w:pPr>
            <w:r>
              <w:rPr>
                <w:rFonts w:cstheme="minorHAnsi"/>
                <w:color w:val="000000" w:themeColor="text1"/>
              </w:rPr>
              <w:t>0.00</w:t>
            </w:r>
          </w:p>
        </w:tc>
        <w:tc>
          <w:tcPr>
            <w:tcW w:w="3117" w:type="dxa"/>
          </w:tcPr>
          <w:p w:rsidR="00D35509" w:rsidRDefault="001E11FD" w:rsidP="001E11FD">
            <w:pPr>
              <w:jc w:val="right"/>
              <w:rPr>
                <w:rFonts w:cstheme="minorHAnsi"/>
                <w:color w:val="000000" w:themeColor="text1"/>
              </w:rPr>
            </w:pPr>
            <w:r>
              <w:rPr>
                <w:rFonts w:cstheme="minorHAnsi"/>
                <w:color w:val="000000" w:themeColor="text1"/>
              </w:rPr>
              <w:t>18924.00</w:t>
            </w:r>
          </w:p>
        </w:tc>
      </w:tr>
      <w:tr w:rsidR="00D35509" w:rsidTr="00D35509">
        <w:tc>
          <w:tcPr>
            <w:tcW w:w="3116" w:type="dxa"/>
          </w:tcPr>
          <w:p w:rsidR="00D35509" w:rsidRDefault="00D35509">
            <w:pPr>
              <w:rPr>
                <w:rFonts w:cstheme="minorHAnsi"/>
                <w:color w:val="000000" w:themeColor="text1"/>
              </w:rPr>
            </w:pPr>
            <w:r>
              <w:rPr>
                <w:rFonts w:cstheme="minorHAnsi"/>
                <w:color w:val="000000" w:themeColor="text1"/>
              </w:rPr>
              <w:t>Max</w:t>
            </w:r>
          </w:p>
        </w:tc>
        <w:tc>
          <w:tcPr>
            <w:tcW w:w="3117" w:type="dxa"/>
          </w:tcPr>
          <w:p w:rsidR="00D35509" w:rsidRDefault="001E11FD" w:rsidP="001E11FD">
            <w:pPr>
              <w:jc w:val="right"/>
              <w:rPr>
                <w:rFonts w:cstheme="minorHAnsi"/>
                <w:color w:val="000000" w:themeColor="text1"/>
              </w:rPr>
            </w:pPr>
            <w:r>
              <w:rPr>
                <w:rFonts w:cstheme="minorHAnsi"/>
                <w:color w:val="000000" w:themeColor="text1"/>
              </w:rPr>
              <w:t>767104.00</w:t>
            </w:r>
          </w:p>
        </w:tc>
        <w:tc>
          <w:tcPr>
            <w:tcW w:w="3117" w:type="dxa"/>
          </w:tcPr>
          <w:p w:rsidR="00D35509" w:rsidRDefault="001E11FD" w:rsidP="001E11FD">
            <w:pPr>
              <w:jc w:val="right"/>
              <w:rPr>
                <w:rFonts w:cstheme="minorHAnsi"/>
                <w:color w:val="000000" w:themeColor="text1"/>
              </w:rPr>
            </w:pPr>
            <w:r>
              <w:rPr>
                <w:rFonts w:cstheme="minorHAnsi"/>
                <w:color w:val="000000" w:themeColor="text1"/>
              </w:rPr>
              <w:t>20724.00</w:t>
            </w:r>
          </w:p>
        </w:tc>
      </w:tr>
      <w:tr w:rsidR="00D35509" w:rsidTr="00D35509">
        <w:tc>
          <w:tcPr>
            <w:tcW w:w="3116" w:type="dxa"/>
          </w:tcPr>
          <w:p w:rsidR="00D35509" w:rsidRDefault="00D35509">
            <w:pPr>
              <w:rPr>
                <w:rFonts w:cstheme="minorHAnsi"/>
                <w:color w:val="000000" w:themeColor="text1"/>
              </w:rPr>
            </w:pPr>
            <w:r>
              <w:rPr>
                <w:rFonts w:cstheme="minorHAnsi"/>
                <w:color w:val="000000" w:themeColor="text1"/>
              </w:rPr>
              <w:t>Range</w:t>
            </w:r>
          </w:p>
        </w:tc>
        <w:tc>
          <w:tcPr>
            <w:tcW w:w="3117" w:type="dxa"/>
          </w:tcPr>
          <w:p w:rsidR="00D35509" w:rsidRDefault="001E11FD" w:rsidP="001E11FD">
            <w:pPr>
              <w:jc w:val="right"/>
              <w:rPr>
                <w:rFonts w:cstheme="minorHAnsi"/>
                <w:color w:val="000000" w:themeColor="text1"/>
              </w:rPr>
            </w:pPr>
            <w:r>
              <w:rPr>
                <w:rFonts w:cstheme="minorHAnsi"/>
                <w:color w:val="000000" w:themeColor="text1"/>
              </w:rPr>
              <w:t>767104.00</w:t>
            </w:r>
          </w:p>
        </w:tc>
        <w:tc>
          <w:tcPr>
            <w:tcW w:w="3117" w:type="dxa"/>
          </w:tcPr>
          <w:p w:rsidR="00D35509" w:rsidRDefault="001E11FD" w:rsidP="001E11FD">
            <w:pPr>
              <w:jc w:val="right"/>
              <w:rPr>
                <w:rFonts w:cstheme="minorHAnsi"/>
                <w:color w:val="000000" w:themeColor="text1"/>
              </w:rPr>
            </w:pPr>
            <w:r>
              <w:rPr>
                <w:rFonts w:cstheme="minorHAnsi"/>
                <w:color w:val="000000" w:themeColor="text1"/>
              </w:rPr>
              <w:t>1800.00</w:t>
            </w:r>
          </w:p>
        </w:tc>
      </w:tr>
      <w:tr w:rsidR="00D35509" w:rsidTr="00D35509">
        <w:tc>
          <w:tcPr>
            <w:tcW w:w="3116" w:type="dxa"/>
          </w:tcPr>
          <w:p w:rsidR="00D35509" w:rsidRDefault="00D35509">
            <w:pPr>
              <w:rPr>
                <w:rFonts w:cstheme="minorHAnsi"/>
                <w:color w:val="000000" w:themeColor="text1"/>
              </w:rPr>
            </w:pPr>
            <w:r>
              <w:rPr>
                <w:rFonts w:cstheme="minorHAnsi"/>
                <w:color w:val="000000" w:themeColor="text1"/>
              </w:rPr>
              <w:t>Mean</w:t>
            </w:r>
          </w:p>
        </w:tc>
        <w:tc>
          <w:tcPr>
            <w:tcW w:w="3117" w:type="dxa"/>
          </w:tcPr>
          <w:p w:rsidR="00D35509" w:rsidRDefault="001E11FD" w:rsidP="001E11FD">
            <w:pPr>
              <w:jc w:val="right"/>
              <w:rPr>
                <w:rFonts w:cstheme="minorHAnsi"/>
                <w:color w:val="000000" w:themeColor="text1"/>
              </w:rPr>
            </w:pPr>
            <w:r>
              <w:rPr>
                <w:rFonts w:cstheme="minorHAnsi"/>
                <w:color w:val="000000" w:themeColor="text1"/>
              </w:rPr>
              <w:t>19740.14</w:t>
            </w:r>
          </w:p>
        </w:tc>
        <w:tc>
          <w:tcPr>
            <w:tcW w:w="3117" w:type="dxa"/>
          </w:tcPr>
          <w:p w:rsidR="00D35509" w:rsidRDefault="001E11FD" w:rsidP="001E11FD">
            <w:pPr>
              <w:jc w:val="right"/>
              <w:rPr>
                <w:rFonts w:cstheme="minorHAnsi"/>
                <w:color w:val="000000" w:themeColor="text1"/>
              </w:rPr>
            </w:pPr>
            <w:r>
              <w:rPr>
                <w:rFonts w:cstheme="minorHAnsi"/>
                <w:color w:val="000000" w:themeColor="text1"/>
              </w:rPr>
              <w:t>19740.19</w:t>
            </w:r>
          </w:p>
        </w:tc>
      </w:tr>
      <w:tr w:rsidR="00D35509" w:rsidTr="00D35509">
        <w:tc>
          <w:tcPr>
            <w:tcW w:w="3116" w:type="dxa"/>
          </w:tcPr>
          <w:p w:rsidR="00D35509" w:rsidRDefault="00D35509">
            <w:pPr>
              <w:rPr>
                <w:rFonts w:cstheme="minorHAnsi"/>
                <w:color w:val="000000" w:themeColor="text1"/>
              </w:rPr>
            </w:pPr>
            <w:r>
              <w:rPr>
                <w:rFonts w:cstheme="minorHAnsi"/>
                <w:color w:val="000000" w:themeColor="text1"/>
              </w:rPr>
              <w:t>Median</w:t>
            </w:r>
          </w:p>
        </w:tc>
        <w:tc>
          <w:tcPr>
            <w:tcW w:w="3117" w:type="dxa"/>
          </w:tcPr>
          <w:p w:rsidR="00D35509" w:rsidRDefault="001E11FD" w:rsidP="001E11FD">
            <w:pPr>
              <w:jc w:val="right"/>
              <w:rPr>
                <w:rFonts w:cstheme="minorHAnsi"/>
                <w:color w:val="000000" w:themeColor="text1"/>
              </w:rPr>
            </w:pPr>
            <w:r>
              <w:rPr>
                <w:rFonts w:cstheme="minorHAnsi"/>
                <w:color w:val="000000" w:themeColor="text1"/>
              </w:rPr>
              <w:t>0.00</w:t>
            </w:r>
          </w:p>
        </w:tc>
        <w:tc>
          <w:tcPr>
            <w:tcW w:w="3117" w:type="dxa"/>
          </w:tcPr>
          <w:p w:rsidR="00D35509" w:rsidRDefault="001E11FD" w:rsidP="001E11FD">
            <w:pPr>
              <w:jc w:val="right"/>
              <w:rPr>
                <w:rFonts w:cstheme="minorHAnsi"/>
                <w:color w:val="000000" w:themeColor="text1"/>
              </w:rPr>
            </w:pPr>
            <w:r>
              <w:rPr>
                <w:rFonts w:cstheme="minorHAnsi"/>
                <w:color w:val="000000" w:themeColor="text1"/>
              </w:rPr>
              <w:t>19692.00</w:t>
            </w:r>
          </w:p>
        </w:tc>
      </w:tr>
      <w:tr w:rsidR="001404CA" w:rsidTr="00D35509">
        <w:tc>
          <w:tcPr>
            <w:tcW w:w="3116" w:type="dxa"/>
          </w:tcPr>
          <w:p w:rsidR="001404CA" w:rsidRDefault="001404CA">
            <w:pPr>
              <w:rPr>
                <w:rFonts w:cstheme="minorHAnsi"/>
                <w:color w:val="000000" w:themeColor="text1"/>
              </w:rPr>
            </w:pPr>
            <w:r>
              <w:rPr>
                <w:rFonts w:cstheme="minorHAnsi"/>
                <w:color w:val="000000" w:themeColor="text1"/>
              </w:rPr>
              <w:t>Standard Deviation</w:t>
            </w:r>
          </w:p>
        </w:tc>
        <w:tc>
          <w:tcPr>
            <w:tcW w:w="3117" w:type="dxa"/>
          </w:tcPr>
          <w:p w:rsidR="001404CA" w:rsidRDefault="001E11FD" w:rsidP="001E11FD">
            <w:pPr>
              <w:jc w:val="right"/>
              <w:rPr>
                <w:rFonts w:cstheme="minorHAnsi"/>
                <w:color w:val="000000" w:themeColor="text1"/>
              </w:rPr>
            </w:pPr>
            <w:r>
              <w:rPr>
                <w:rFonts w:cstheme="minorHAnsi"/>
                <w:color w:val="000000" w:themeColor="text1"/>
              </w:rPr>
              <w:t>70869.18</w:t>
            </w:r>
          </w:p>
        </w:tc>
        <w:tc>
          <w:tcPr>
            <w:tcW w:w="3117" w:type="dxa"/>
          </w:tcPr>
          <w:p w:rsidR="001404CA" w:rsidRDefault="001E11FD" w:rsidP="001E11FD">
            <w:pPr>
              <w:jc w:val="right"/>
              <w:rPr>
                <w:rFonts w:cstheme="minorHAnsi"/>
                <w:color w:val="000000" w:themeColor="text1"/>
              </w:rPr>
            </w:pPr>
            <w:r>
              <w:rPr>
                <w:rFonts w:cstheme="minorHAnsi"/>
                <w:color w:val="000000" w:themeColor="text1"/>
              </w:rPr>
              <w:t>372.69</w:t>
            </w:r>
          </w:p>
        </w:tc>
      </w:tr>
    </w:tbl>
    <w:p w:rsidR="00015AEB" w:rsidRDefault="00015AEB">
      <w:pPr>
        <w:rPr>
          <w:rFonts w:cstheme="minorHAnsi"/>
          <w:color w:val="000000" w:themeColor="text1"/>
        </w:rPr>
      </w:pPr>
    </w:p>
    <w:p w:rsidR="00015AEB" w:rsidRDefault="00015AEB">
      <w:pPr>
        <w:rPr>
          <w:rFonts w:cstheme="minorHAnsi"/>
          <w:color w:val="000000" w:themeColor="text1"/>
        </w:rPr>
      </w:pPr>
    </w:p>
    <w:p w:rsidR="00E33ACD" w:rsidRDefault="00E33ACD">
      <w:pPr>
        <w:rPr>
          <w:rFonts w:cstheme="minorHAnsi"/>
          <w:color w:val="000000" w:themeColor="text1"/>
        </w:rPr>
      </w:pPr>
    </w:p>
    <w:p w:rsidR="00E33ACD" w:rsidRDefault="00E33ACD">
      <w:pPr>
        <w:rPr>
          <w:rFonts w:cstheme="minorHAnsi"/>
          <w:color w:val="000000" w:themeColor="text1"/>
        </w:rPr>
      </w:pPr>
    </w:p>
    <w:p w:rsidR="00E33ACD" w:rsidRDefault="00E33ACD">
      <w:pPr>
        <w:rPr>
          <w:rFonts w:cstheme="minorHAnsi"/>
          <w:color w:val="000000" w:themeColor="text1"/>
        </w:rPr>
      </w:pPr>
    </w:p>
    <w:p w:rsidR="00E33ACD" w:rsidRDefault="00E33ACD">
      <w:pPr>
        <w:rPr>
          <w:rFonts w:cstheme="minorHAnsi"/>
          <w:color w:val="000000" w:themeColor="text1"/>
        </w:rPr>
      </w:pPr>
      <w:r>
        <w:rPr>
          <w:rFonts w:cstheme="minorHAnsi"/>
          <w:color w:val="000000" w:themeColor="text1"/>
        </w:rPr>
        <w:tab/>
        <w:t xml:space="preserve">One of the more interesting parts of this project was comparing </w:t>
      </w:r>
      <w:r w:rsidR="00E33694">
        <w:rPr>
          <w:rFonts w:cstheme="minorHAnsi"/>
          <w:color w:val="000000" w:themeColor="text1"/>
        </w:rPr>
        <w:t xml:space="preserve">a bitmap image with its encrypted pair. One of the problems with the DES in ECB mode is that any given block always encrypts to the same encrypted block. If there is a reoccurring pattern of 8 bytes in the plaintext, then the </w:t>
      </w:r>
      <w:proofErr w:type="spellStart"/>
      <w:r w:rsidR="00E33694">
        <w:rPr>
          <w:rFonts w:cstheme="minorHAnsi"/>
          <w:color w:val="000000" w:themeColor="text1"/>
        </w:rPr>
        <w:t>ciphertext</w:t>
      </w:r>
      <w:proofErr w:type="spellEnd"/>
      <w:r w:rsidR="00E33694">
        <w:rPr>
          <w:rFonts w:cstheme="minorHAnsi"/>
          <w:color w:val="000000" w:themeColor="text1"/>
        </w:rPr>
        <w:t xml:space="preserve"> </w:t>
      </w:r>
      <w:r w:rsidR="001F14AA">
        <w:rPr>
          <w:rFonts w:cstheme="minorHAnsi"/>
          <w:color w:val="000000" w:themeColor="text1"/>
        </w:rPr>
        <w:t>will similar</w:t>
      </w:r>
      <w:r w:rsidR="00E33694">
        <w:rPr>
          <w:rFonts w:cstheme="minorHAnsi"/>
          <w:color w:val="000000" w:themeColor="text1"/>
        </w:rPr>
        <w:t xml:space="preserve"> patterns. This is most eas</w:t>
      </w:r>
      <w:r w:rsidR="001F14AA">
        <w:rPr>
          <w:rFonts w:cstheme="minorHAnsi"/>
          <w:color w:val="000000" w:themeColor="text1"/>
        </w:rPr>
        <w:t>ily seen by looking at the images below</w:t>
      </w:r>
      <w:r w:rsidR="00E33694">
        <w:rPr>
          <w:rFonts w:cstheme="minorHAnsi"/>
          <w:color w:val="000000" w:themeColor="text1"/>
        </w:rPr>
        <w:t>. The white background</w:t>
      </w:r>
      <w:r w:rsidR="001F14AA">
        <w:rPr>
          <w:rFonts w:cstheme="minorHAnsi"/>
          <w:color w:val="000000" w:themeColor="text1"/>
        </w:rPr>
        <w:t xml:space="preserve"> and the yellow text</w:t>
      </w:r>
      <w:r w:rsidR="00E33694">
        <w:rPr>
          <w:rFonts w:cstheme="minorHAnsi"/>
          <w:color w:val="000000" w:themeColor="text1"/>
        </w:rPr>
        <w:t xml:space="preserve"> of the Toledo Rocket image always encrypts to the same pattern. This makes the original image </w:t>
      </w:r>
      <w:r w:rsidR="001F14AA">
        <w:rPr>
          <w:rFonts w:cstheme="minorHAnsi"/>
          <w:color w:val="000000" w:themeColor="text1"/>
        </w:rPr>
        <w:t xml:space="preserve">more </w:t>
      </w:r>
      <w:r w:rsidR="00E33694">
        <w:rPr>
          <w:rFonts w:cstheme="minorHAnsi"/>
          <w:color w:val="000000" w:themeColor="text1"/>
        </w:rPr>
        <w:t xml:space="preserve">visible in the </w:t>
      </w:r>
      <w:proofErr w:type="spellStart"/>
      <w:r w:rsidR="00B80161">
        <w:rPr>
          <w:rFonts w:cstheme="minorHAnsi"/>
          <w:color w:val="000000" w:themeColor="text1"/>
        </w:rPr>
        <w:t>ciphertext</w:t>
      </w:r>
      <w:proofErr w:type="spellEnd"/>
      <w:r w:rsidR="00B80161">
        <w:rPr>
          <w:rFonts w:cstheme="minorHAnsi"/>
          <w:color w:val="000000" w:themeColor="text1"/>
        </w:rPr>
        <w:t xml:space="preserve"> even though it has been encrypted. When patterns are present </w:t>
      </w:r>
      <w:r w:rsidR="001F14AA">
        <w:rPr>
          <w:rFonts w:cstheme="minorHAnsi"/>
          <w:color w:val="000000" w:themeColor="text1"/>
        </w:rPr>
        <w:t xml:space="preserve">in the plaintext, we start to lose some of the confusion. If we made an analysis of frequent octets in the English language and had a large enough </w:t>
      </w:r>
      <w:proofErr w:type="spellStart"/>
      <w:r w:rsidR="001F14AA">
        <w:rPr>
          <w:rFonts w:cstheme="minorHAnsi"/>
          <w:color w:val="000000" w:themeColor="text1"/>
        </w:rPr>
        <w:t>ciphertext</w:t>
      </w:r>
      <w:proofErr w:type="spellEnd"/>
      <w:r w:rsidR="001F14AA">
        <w:rPr>
          <w:rFonts w:cstheme="minorHAnsi"/>
          <w:color w:val="000000" w:themeColor="text1"/>
        </w:rPr>
        <w:t xml:space="preserve">, then we might be able to back into the plaintext more easily. </w:t>
      </w:r>
    </w:p>
    <w:p w:rsidR="00E33ACD" w:rsidRDefault="00E33ACD">
      <w:pPr>
        <w:rPr>
          <w:rFonts w:cstheme="minorHAnsi"/>
          <w:color w:val="000000" w:themeColor="text1"/>
        </w:rPr>
      </w:pPr>
      <w:r>
        <w:rPr>
          <w:rFonts w:cstheme="minorHAnsi"/>
          <w:color w:val="000000" w:themeColor="text1"/>
        </w:rPr>
        <w:t>Unencrypted and Encrypted Bitmap File:</w:t>
      </w:r>
    </w:p>
    <w:p w:rsidR="00015AEB" w:rsidRDefault="00015AEB">
      <w:pPr>
        <w:rPr>
          <w:rFonts w:cstheme="minorHAnsi"/>
          <w:color w:val="000000" w:themeColor="text1"/>
        </w:rPr>
      </w:pPr>
      <w:r w:rsidRPr="00015AEB">
        <w:rPr>
          <w:rFonts w:cstheme="minorHAnsi"/>
          <w:noProof/>
          <w:color w:val="000000" w:themeColor="text1"/>
        </w:rPr>
        <w:drawing>
          <wp:inline distT="0" distB="0" distL="0" distR="0">
            <wp:extent cx="2886075" cy="1734743"/>
            <wp:effectExtent l="0" t="0" r="0" b="0"/>
            <wp:docPr id="3" name="Picture 3" descr="C:\GitSandbox\DES\toledo-rocke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Sandbox\DES\toledo-rockets.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2682" cy="1768768"/>
                    </a:xfrm>
                    <a:prstGeom prst="rect">
                      <a:avLst/>
                    </a:prstGeom>
                    <a:noFill/>
                    <a:ln>
                      <a:noFill/>
                    </a:ln>
                  </pic:spPr>
                </pic:pic>
              </a:graphicData>
            </a:graphic>
          </wp:inline>
        </w:drawing>
      </w:r>
      <w:r w:rsidRPr="00015AEB">
        <w:rPr>
          <w:rFonts w:cstheme="minorHAnsi"/>
          <w:noProof/>
          <w:color w:val="000000" w:themeColor="text1"/>
        </w:rPr>
        <w:drawing>
          <wp:inline distT="0" distB="0" distL="0" distR="0">
            <wp:extent cx="2905125" cy="1746193"/>
            <wp:effectExtent l="0" t="0" r="0" b="6985"/>
            <wp:docPr id="4" name="Picture 4" descr="C:\GitSandbox\DES\toledo-rockets-en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Sandbox\DES\toledo-rockets-enc.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0203" cy="1761267"/>
                    </a:xfrm>
                    <a:prstGeom prst="rect">
                      <a:avLst/>
                    </a:prstGeom>
                    <a:noFill/>
                    <a:ln>
                      <a:noFill/>
                    </a:ln>
                  </pic:spPr>
                </pic:pic>
              </a:graphicData>
            </a:graphic>
          </wp:inline>
        </w:drawing>
      </w:r>
    </w:p>
    <w:p w:rsidR="00F6488B" w:rsidRDefault="001F14AA">
      <w:pPr>
        <w:rPr>
          <w:rFonts w:cstheme="minorHAnsi"/>
          <w:color w:val="000000" w:themeColor="text1"/>
        </w:rPr>
      </w:pPr>
      <w:r>
        <w:rPr>
          <w:rFonts w:cstheme="minorHAnsi"/>
          <w:color w:val="000000" w:themeColor="text1"/>
        </w:rPr>
        <w:t>This problem of reoccurring octets is also visible in the octet analysis of the Shakespeare text.</w:t>
      </w:r>
    </w:p>
    <w:p w:rsidR="00F6488B" w:rsidRPr="0063644E" w:rsidRDefault="00F6488B">
      <w:pPr>
        <w:rPr>
          <w:rFonts w:cstheme="minorHAnsi"/>
          <w:color w:val="000000" w:themeColor="text1"/>
        </w:rPr>
      </w:pPr>
    </w:p>
    <w:sectPr w:rsidR="00F6488B" w:rsidRPr="00636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C42"/>
    <w:rsid w:val="00015AEB"/>
    <w:rsid w:val="0005163B"/>
    <w:rsid w:val="000F3EF9"/>
    <w:rsid w:val="001404CA"/>
    <w:rsid w:val="00193C42"/>
    <w:rsid w:val="001E11FD"/>
    <w:rsid w:val="001F14AA"/>
    <w:rsid w:val="00316618"/>
    <w:rsid w:val="004A41CC"/>
    <w:rsid w:val="0063644E"/>
    <w:rsid w:val="00963A16"/>
    <w:rsid w:val="009E3390"/>
    <w:rsid w:val="009F70F9"/>
    <w:rsid w:val="00B80161"/>
    <w:rsid w:val="00CB2224"/>
    <w:rsid w:val="00D35509"/>
    <w:rsid w:val="00DF7B1F"/>
    <w:rsid w:val="00E33694"/>
    <w:rsid w:val="00E33ACD"/>
    <w:rsid w:val="00F6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3205"/>
  <w15:chartTrackingRefBased/>
  <w15:docId w15:val="{D7AB9347-FC9A-423E-8188-592D9673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9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GitSandbox\DES\DES_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GitSandbox\DES\DES_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Unencrypted Byte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Unencrypted</c:v>
                </c:pt>
              </c:strCache>
            </c:strRef>
          </c:tx>
          <c:spPr>
            <a:ln w="19050" cap="rnd">
              <a:noFill/>
              <a:round/>
            </a:ln>
            <a:effectLst/>
          </c:spPr>
          <c:marker>
            <c:symbol val="circle"/>
            <c:size val="5"/>
            <c:spPr>
              <a:solidFill>
                <a:schemeClr val="accent1"/>
              </a:solidFill>
              <a:ln w="9525">
                <a:solidFill>
                  <a:schemeClr val="accent1"/>
                </a:solidFill>
              </a:ln>
              <a:effectLst/>
            </c:spPr>
          </c:marker>
          <c:yVal>
            <c:numRef>
              <c:f>Sheet1!$E$2:$E$257</c:f>
              <c:numCache>
                <c:formatCode>General</c:formatCode>
                <c:ptCount val="256"/>
                <c:pt idx="0">
                  <c:v>0</c:v>
                </c:pt>
                <c:pt idx="1">
                  <c:v>0</c:v>
                </c:pt>
                <c:pt idx="2">
                  <c:v>0</c:v>
                </c:pt>
                <c:pt idx="3">
                  <c:v>0</c:v>
                </c:pt>
                <c:pt idx="4">
                  <c:v>0</c:v>
                </c:pt>
                <c:pt idx="5">
                  <c:v>0</c:v>
                </c:pt>
                <c:pt idx="6">
                  <c:v>0</c:v>
                </c:pt>
                <c:pt idx="7">
                  <c:v>0</c:v>
                </c:pt>
                <c:pt idx="8">
                  <c:v>0</c:v>
                </c:pt>
                <c:pt idx="9">
                  <c:v>0</c:v>
                </c:pt>
                <c:pt idx="10">
                  <c:v>183791</c:v>
                </c:pt>
                <c:pt idx="11">
                  <c:v>0</c:v>
                </c:pt>
                <c:pt idx="12">
                  <c:v>0</c:v>
                </c:pt>
                <c:pt idx="13">
                  <c:v>183791</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767104</c:v>
                </c:pt>
                <c:pt idx="33">
                  <c:v>9135</c:v>
                </c:pt>
                <c:pt idx="34">
                  <c:v>0</c:v>
                </c:pt>
                <c:pt idx="35">
                  <c:v>0</c:v>
                </c:pt>
                <c:pt idx="36">
                  <c:v>1</c:v>
                </c:pt>
                <c:pt idx="37">
                  <c:v>0</c:v>
                </c:pt>
                <c:pt idx="38">
                  <c:v>60</c:v>
                </c:pt>
                <c:pt idx="39">
                  <c:v>25083</c:v>
                </c:pt>
                <c:pt idx="40">
                  <c:v>1</c:v>
                </c:pt>
                <c:pt idx="41">
                  <c:v>1</c:v>
                </c:pt>
                <c:pt idx="42">
                  <c:v>0</c:v>
                </c:pt>
                <c:pt idx="43">
                  <c:v>0</c:v>
                </c:pt>
                <c:pt idx="44">
                  <c:v>85065</c:v>
                </c:pt>
                <c:pt idx="45">
                  <c:v>9131</c:v>
                </c:pt>
                <c:pt idx="46">
                  <c:v>36963</c:v>
                </c:pt>
                <c:pt idx="47">
                  <c:v>0</c:v>
                </c:pt>
                <c:pt idx="48">
                  <c:v>1</c:v>
                </c:pt>
                <c:pt idx="49">
                  <c:v>2</c:v>
                </c:pt>
                <c:pt idx="50">
                  <c:v>4</c:v>
                </c:pt>
                <c:pt idx="51">
                  <c:v>1</c:v>
                </c:pt>
                <c:pt idx="52">
                  <c:v>2</c:v>
                </c:pt>
                <c:pt idx="53">
                  <c:v>2</c:v>
                </c:pt>
                <c:pt idx="54">
                  <c:v>2</c:v>
                </c:pt>
                <c:pt idx="55">
                  <c:v>1</c:v>
                </c:pt>
                <c:pt idx="56">
                  <c:v>2</c:v>
                </c:pt>
                <c:pt idx="57">
                  <c:v>1</c:v>
                </c:pt>
                <c:pt idx="58">
                  <c:v>13972</c:v>
                </c:pt>
                <c:pt idx="59">
                  <c:v>15973</c:v>
                </c:pt>
                <c:pt idx="60">
                  <c:v>0</c:v>
                </c:pt>
                <c:pt idx="61">
                  <c:v>0</c:v>
                </c:pt>
                <c:pt idx="62">
                  <c:v>0</c:v>
                </c:pt>
                <c:pt idx="63">
                  <c:v>10365</c:v>
                </c:pt>
                <c:pt idx="64">
                  <c:v>0</c:v>
                </c:pt>
                <c:pt idx="65">
                  <c:v>42243</c:v>
                </c:pt>
                <c:pt idx="66">
                  <c:v>12223</c:v>
                </c:pt>
                <c:pt idx="67">
                  <c:v>17540</c:v>
                </c:pt>
                <c:pt idx="68">
                  <c:v>12292</c:v>
                </c:pt>
                <c:pt idx="69">
                  <c:v>33062</c:v>
                </c:pt>
                <c:pt idx="70">
                  <c:v>10234</c:v>
                </c:pt>
                <c:pt idx="71">
                  <c:v>9658</c:v>
                </c:pt>
                <c:pt idx="72">
                  <c:v>15009</c:v>
                </c:pt>
                <c:pt idx="73">
                  <c:v>50880</c:v>
                </c:pt>
                <c:pt idx="74">
                  <c:v>1810</c:v>
                </c:pt>
                <c:pt idx="75">
                  <c:v>5297</c:v>
                </c:pt>
                <c:pt idx="76">
                  <c:v>20891</c:v>
                </c:pt>
                <c:pt idx="77">
                  <c:v>13384</c:v>
                </c:pt>
                <c:pt idx="78">
                  <c:v>24097</c:v>
                </c:pt>
                <c:pt idx="79">
                  <c:v>26735</c:v>
                </c:pt>
                <c:pt idx="80">
                  <c:v>9051</c:v>
                </c:pt>
                <c:pt idx="81">
                  <c:v>1000</c:v>
                </c:pt>
                <c:pt idx="82">
                  <c:v>22784</c:v>
                </c:pt>
                <c:pt idx="83">
                  <c:v>28246</c:v>
                </c:pt>
                <c:pt idx="84">
                  <c:v>33270</c:v>
                </c:pt>
                <c:pt idx="85">
                  <c:v>13906</c:v>
                </c:pt>
                <c:pt idx="86">
                  <c:v>3507</c:v>
                </c:pt>
                <c:pt idx="87">
                  <c:v>13891</c:v>
                </c:pt>
                <c:pt idx="88">
                  <c:v>378</c:v>
                </c:pt>
                <c:pt idx="89">
                  <c:v>7345</c:v>
                </c:pt>
                <c:pt idx="90">
                  <c:v>412</c:v>
                </c:pt>
                <c:pt idx="91">
                  <c:v>617</c:v>
                </c:pt>
                <c:pt idx="92">
                  <c:v>0</c:v>
                </c:pt>
                <c:pt idx="93">
                  <c:v>616</c:v>
                </c:pt>
                <c:pt idx="94">
                  <c:v>0</c:v>
                </c:pt>
                <c:pt idx="95">
                  <c:v>0</c:v>
                </c:pt>
                <c:pt idx="96">
                  <c:v>0</c:v>
                </c:pt>
                <c:pt idx="97">
                  <c:v>242770</c:v>
                </c:pt>
                <c:pt idx="98">
                  <c:v>46377</c:v>
                </c:pt>
                <c:pt idx="99">
                  <c:v>66773</c:v>
                </c:pt>
                <c:pt idx="100">
                  <c:v>134055</c:v>
                </c:pt>
                <c:pt idx="101">
                  <c:v>408244</c:v>
                </c:pt>
                <c:pt idx="102">
                  <c:v>68275</c:v>
                </c:pt>
                <c:pt idx="103">
                  <c:v>56860</c:v>
                </c:pt>
                <c:pt idx="104">
                  <c:v>217743</c:v>
                </c:pt>
                <c:pt idx="105">
                  <c:v>197914</c:v>
                </c:pt>
                <c:pt idx="106">
                  <c:v>2722</c:v>
                </c:pt>
                <c:pt idx="107">
                  <c:v>29891</c:v>
                </c:pt>
                <c:pt idx="108">
                  <c:v>145439</c:v>
                </c:pt>
                <c:pt idx="109">
                  <c:v>95270</c:v>
                </c:pt>
                <c:pt idx="110">
                  <c:v>215074</c:v>
                </c:pt>
                <c:pt idx="111">
                  <c:v>280115</c:v>
                </c:pt>
                <c:pt idx="112">
                  <c:v>46582</c:v>
                </c:pt>
                <c:pt idx="113">
                  <c:v>2679</c:v>
                </c:pt>
                <c:pt idx="114">
                  <c:v>209117</c:v>
                </c:pt>
                <c:pt idx="115">
                  <c:v>214888</c:v>
                </c:pt>
                <c:pt idx="116">
                  <c:v>289311</c:v>
                </c:pt>
                <c:pt idx="117">
                  <c:v>114029</c:v>
                </c:pt>
                <c:pt idx="118">
                  <c:v>34045</c:v>
                </c:pt>
                <c:pt idx="119">
                  <c:v>73630</c:v>
                </c:pt>
                <c:pt idx="120">
                  <c:v>4609</c:v>
                </c:pt>
                <c:pt idx="121">
                  <c:v>84950</c:v>
                </c:pt>
                <c:pt idx="122">
                  <c:v>1281</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numCache>
            </c:numRef>
          </c:yVal>
          <c:smooth val="0"/>
          <c:extLst>
            <c:ext xmlns:c16="http://schemas.microsoft.com/office/drawing/2014/chart" uri="{C3380CC4-5D6E-409C-BE32-E72D297353CC}">
              <c16:uniqueId val="{00000000-EFCA-4CA8-AD60-53E87B02F1CE}"/>
            </c:ext>
          </c:extLst>
        </c:ser>
        <c:dLbls>
          <c:showLegendKey val="0"/>
          <c:showVal val="0"/>
          <c:showCatName val="0"/>
          <c:showSerName val="0"/>
          <c:showPercent val="0"/>
          <c:showBubbleSize val="0"/>
        </c:dLbls>
        <c:axId val="437877520"/>
        <c:axId val="437880144"/>
      </c:scatterChart>
      <c:valAx>
        <c:axId val="43787752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880144"/>
        <c:crosses val="autoZero"/>
        <c:crossBetween val="midCat"/>
      </c:valAx>
      <c:valAx>
        <c:axId val="43788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877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Encrypted Byte Frequencies</a:t>
            </a:r>
          </a:p>
        </c:rich>
      </c:tx>
      <c:layout>
        <c:manualLayout>
          <c:xMode val="edge"/>
          <c:yMode val="edge"/>
          <c:x val="0.19314624133521771"/>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Encrypted</c:v>
                </c:pt>
              </c:strCache>
            </c:strRef>
          </c:tx>
          <c:spPr>
            <a:ln w="19050" cap="rnd">
              <a:noFill/>
              <a:round/>
            </a:ln>
            <a:effectLst/>
          </c:spPr>
          <c:marker>
            <c:symbol val="circle"/>
            <c:size val="5"/>
            <c:spPr>
              <a:solidFill>
                <a:schemeClr val="accent1"/>
              </a:solidFill>
              <a:ln w="9525">
                <a:solidFill>
                  <a:schemeClr val="accent1"/>
                </a:solidFill>
              </a:ln>
              <a:effectLst/>
            </c:spPr>
          </c:marker>
          <c:yVal>
            <c:numRef>
              <c:f>Sheet1!$F$2:$F$257</c:f>
              <c:numCache>
                <c:formatCode>General</c:formatCode>
                <c:ptCount val="256"/>
                <c:pt idx="0">
                  <c:v>19737</c:v>
                </c:pt>
                <c:pt idx="1">
                  <c:v>19994</c:v>
                </c:pt>
                <c:pt idx="2">
                  <c:v>19311</c:v>
                </c:pt>
                <c:pt idx="3">
                  <c:v>19850</c:v>
                </c:pt>
                <c:pt idx="4">
                  <c:v>20386</c:v>
                </c:pt>
                <c:pt idx="5">
                  <c:v>19583</c:v>
                </c:pt>
                <c:pt idx="6">
                  <c:v>20050</c:v>
                </c:pt>
                <c:pt idx="7">
                  <c:v>19858</c:v>
                </c:pt>
                <c:pt idx="8">
                  <c:v>19628</c:v>
                </c:pt>
                <c:pt idx="9">
                  <c:v>19952</c:v>
                </c:pt>
                <c:pt idx="10">
                  <c:v>19279</c:v>
                </c:pt>
                <c:pt idx="11">
                  <c:v>19657</c:v>
                </c:pt>
                <c:pt idx="12">
                  <c:v>19478</c:v>
                </c:pt>
                <c:pt idx="13">
                  <c:v>19520</c:v>
                </c:pt>
                <c:pt idx="14">
                  <c:v>20079</c:v>
                </c:pt>
                <c:pt idx="15">
                  <c:v>19881</c:v>
                </c:pt>
                <c:pt idx="16">
                  <c:v>19415</c:v>
                </c:pt>
                <c:pt idx="17">
                  <c:v>19437</c:v>
                </c:pt>
                <c:pt idx="18">
                  <c:v>19479</c:v>
                </c:pt>
                <c:pt idx="19">
                  <c:v>19415</c:v>
                </c:pt>
                <c:pt idx="20">
                  <c:v>19959</c:v>
                </c:pt>
                <c:pt idx="21">
                  <c:v>19558</c:v>
                </c:pt>
                <c:pt idx="22">
                  <c:v>20498</c:v>
                </c:pt>
                <c:pt idx="23">
                  <c:v>19788</c:v>
                </c:pt>
                <c:pt idx="24">
                  <c:v>19422</c:v>
                </c:pt>
                <c:pt idx="25">
                  <c:v>19709</c:v>
                </c:pt>
                <c:pt idx="26">
                  <c:v>19846</c:v>
                </c:pt>
                <c:pt idx="27">
                  <c:v>19878</c:v>
                </c:pt>
                <c:pt idx="28">
                  <c:v>19555</c:v>
                </c:pt>
                <c:pt idx="29">
                  <c:v>20195</c:v>
                </c:pt>
                <c:pt idx="30">
                  <c:v>19918</c:v>
                </c:pt>
                <c:pt idx="31">
                  <c:v>19828</c:v>
                </c:pt>
                <c:pt idx="32">
                  <c:v>20094</c:v>
                </c:pt>
                <c:pt idx="33">
                  <c:v>18956</c:v>
                </c:pt>
                <c:pt idx="34">
                  <c:v>19947</c:v>
                </c:pt>
                <c:pt idx="35">
                  <c:v>19687</c:v>
                </c:pt>
                <c:pt idx="36">
                  <c:v>19524</c:v>
                </c:pt>
                <c:pt idx="37">
                  <c:v>20083</c:v>
                </c:pt>
                <c:pt idx="38">
                  <c:v>20165</c:v>
                </c:pt>
                <c:pt idx="39">
                  <c:v>19036</c:v>
                </c:pt>
                <c:pt idx="40">
                  <c:v>19506</c:v>
                </c:pt>
                <c:pt idx="41">
                  <c:v>19270</c:v>
                </c:pt>
                <c:pt idx="42">
                  <c:v>19507</c:v>
                </c:pt>
                <c:pt idx="43">
                  <c:v>20422</c:v>
                </c:pt>
                <c:pt idx="44">
                  <c:v>19780</c:v>
                </c:pt>
                <c:pt idx="45">
                  <c:v>19340</c:v>
                </c:pt>
                <c:pt idx="46">
                  <c:v>20187</c:v>
                </c:pt>
                <c:pt idx="47">
                  <c:v>19449</c:v>
                </c:pt>
                <c:pt idx="48">
                  <c:v>19846</c:v>
                </c:pt>
                <c:pt idx="49">
                  <c:v>19629</c:v>
                </c:pt>
                <c:pt idx="50">
                  <c:v>20221</c:v>
                </c:pt>
                <c:pt idx="51">
                  <c:v>19097</c:v>
                </c:pt>
                <c:pt idx="52">
                  <c:v>19309</c:v>
                </c:pt>
                <c:pt idx="53">
                  <c:v>20266</c:v>
                </c:pt>
                <c:pt idx="54">
                  <c:v>19470</c:v>
                </c:pt>
                <c:pt idx="55">
                  <c:v>19961</c:v>
                </c:pt>
                <c:pt idx="56">
                  <c:v>19758</c:v>
                </c:pt>
                <c:pt idx="57">
                  <c:v>19622</c:v>
                </c:pt>
                <c:pt idx="58">
                  <c:v>19627</c:v>
                </c:pt>
                <c:pt idx="59">
                  <c:v>19194</c:v>
                </c:pt>
                <c:pt idx="60">
                  <c:v>19463</c:v>
                </c:pt>
                <c:pt idx="61">
                  <c:v>20047</c:v>
                </c:pt>
                <c:pt idx="62">
                  <c:v>19234</c:v>
                </c:pt>
                <c:pt idx="63">
                  <c:v>20001</c:v>
                </c:pt>
                <c:pt idx="64">
                  <c:v>19497</c:v>
                </c:pt>
                <c:pt idx="65">
                  <c:v>19612</c:v>
                </c:pt>
                <c:pt idx="66">
                  <c:v>19596</c:v>
                </c:pt>
                <c:pt idx="67">
                  <c:v>19262</c:v>
                </c:pt>
                <c:pt idx="68">
                  <c:v>19672</c:v>
                </c:pt>
                <c:pt idx="69">
                  <c:v>19544</c:v>
                </c:pt>
                <c:pt idx="70">
                  <c:v>19777</c:v>
                </c:pt>
                <c:pt idx="71">
                  <c:v>19194</c:v>
                </c:pt>
                <c:pt idx="72">
                  <c:v>19942</c:v>
                </c:pt>
                <c:pt idx="73">
                  <c:v>19460</c:v>
                </c:pt>
                <c:pt idx="74">
                  <c:v>19510</c:v>
                </c:pt>
                <c:pt idx="75">
                  <c:v>19702</c:v>
                </c:pt>
                <c:pt idx="76">
                  <c:v>20036</c:v>
                </c:pt>
                <c:pt idx="77">
                  <c:v>19538</c:v>
                </c:pt>
                <c:pt idx="78">
                  <c:v>19788</c:v>
                </c:pt>
                <c:pt idx="79">
                  <c:v>19798</c:v>
                </c:pt>
                <c:pt idx="80">
                  <c:v>19453</c:v>
                </c:pt>
                <c:pt idx="81">
                  <c:v>19990</c:v>
                </c:pt>
                <c:pt idx="82">
                  <c:v>19899</c:v>
                </c:pt>
                <c:pt idx="83">
                  <c:v>19615</c:v>
                </c:pt>
                <c:pt idx="84">
                  <c:v>18995</c:v>
                </c:pt>
                <c:pt idx="85">
                  <c:v>19832</c:v>
                </c:pt>
                <c:pt idx="86">
                  <c:v>19724</c:v>
                </c:pt>
                <c:pt idx="87">
                  <c:v>19985</c:v>
                </c:pt>
                <c:pt idx="88">
                  <c:v>19453</c:v>
                </c:pt>
                <c:pt idx="89">
                  <c:v>19063</c:v>
                </c:pt>
                <c:pt idx="90">
                  <c:v>19079</c:v>
                </c:pt>
                <c:pt idx="91">
                  <c:v>19984</c:v>
                </c:pt>
                <c:pt idx="92">
                  <c:v>19979</c:v>
                </c:pt>
                <c:pt idx="93">
                  <c:v>19604</c:v>
                </c:pt>
                <c:pt idx="94">
                  <c:v>20323</c:v>
                </c:pt>
                <c:pt idx="95">
                  <c:v>20549</c:v>
                </c:pt>
                <c:pt idx="96">
                  <c:v>19689</c:v>
                </c:pt>
                <c:pt idx="97">
                  <c:v>19851</c:v>
                </c:pt>
                <c:pt idx="98">
                  <c:v>19539</c:v>
                </c:pt>
                <c:pt idx="99">
                  <c:v>19559</c:v>
                </c:pt>
                <c:pt idx="100">
                  <c:v>19831</c:v>
                </c:pt>
                <c:pt idx="101">
                  <c:v>19926</c:v>
                </c:pt>
                <c:pt idx="102">
                  <c:v>19963</c:v>
                </c:pt>
                <c:pt idx="103">
                  <c:v>19662</c:v>
                </c:pt>
                <c:pt idx="104">
                  <c:v>19441</c:v>
                </c:pt>
                <c:pt idx="105">
                  <c:v>20498</c:v>
                </c:pt>
                <c:pt idx="106">
                  <c:v>19627</c:v>
                </c:pt>
                <c:pt idx="107">
                  <c:v>20139</c:v>
                </c:pt>
                <c:pt idx="108">
                  <c:v>19829</c:v>
                </c:pt>
                <c:pt idx="109">
                  <c:v>19711</c:v>
                </c:pt>
                <c:pt idx="110">
                  <c:v>19689</c:v>
                </c:pt>
                <c:pt idx="111">
                  <c:v>20046</c:v>
                </c:pt>
                <c:pt idx="112">
                  <c:v>19780</c:v>
                </c:pt>
                <c:pt idx="113">
                  <c:v>19323</c:v>
                </c:pt>
                <c:pt idx="114">
                  <c:v>19548</c:v>
                </c:pt>
                <c:pt idx="115">
                  <c:v>19412</c:v>
                </c:pt>
                <c:pt idx="116">
                  <c:v>20101</c:v>
                </c:pt>
                <c:pt idx="117">
                  <c:v>19637</c:v>
                </c:pt>
                <c:pt idx="118">
                  <c:v>20501</c:v>
                </c:pt>
                <c:pt idx="119">
                  <c:v>19876</c:v>
                </c:pt>
                <c:pt idx="120">
                  <c:v>18924</c:v>
                </c:pt>
                <c:pt idx="121">
                  <c:v>18954</c:v>
                </c:pt>
                <c:pt idx="122">
                  <c:v>19874</c:v>
                </c:pt>
                <c:pt idx="123">
                  <c:v>19567</c:v>
                </c:pt>
                <c:pt idx="124">
                  <c:v>19425</c:v>
                </c:pt>
                <c:pt idx="125">
                  <c:v>19477</c:v>
                </c:pt>
                <c:pt idx="126">
                  <c:v>19625</c:v>
                </c:pt>
                <c:pt idx="127">
                  <c:v>20557</c:v>
                </c:pt>
                <c:pt idx="128">
                  <c:v>19196</c:v>
                </c:pt>
                <c:pt idx="129">
                  <c:v>20308</c:v>
                </c:pt>
                <c:pt idx="130">
                  <c:v>20090</c:v>
                </c:pt>
                <c:pt idx="131">
                  <c:v>19280</c:v>
                </c:pt>
                <c:pt idx="132">
                  <c:v>19062</c:v>
                </c:pt>
                <c:pt idx="133">
                  <c:v>19593</c:v>
                </c:pt>
                <c:pt idx="134">
                  <c:v>20238</c:v>
                </c:pt>
                <c:pt idx="135">
                  <c:v>20724</c:v>
                </c:pt>
                <c:pt idx="136">
                  <c:v>19657</c:v>
                </c:pt>
                <c:pt idx="137">
                  <c:v>19279</c:v>
                </c:pt>
                <c:pt idx="138">
                  <c:v>19584</c:v>
                </c:pt>
                <c:pt idx="139">
                  <c:v>19930</c:v>
                </c:pt>
                <c:pt idx="140">
                  <c:v>19500</c:v>
                </c:pt>
                <c:pt idx="141">
                  <c:v>19429</c:v>
                </c:pt>
                <c:pt idx="142">
                  <c:v>19682</c:v>
                </c:pt>
                <c:pt idx="143">
                  <c:v>19583</c:v>
                </c:pt>
                <c:pt idx="144">
                  <c:v>19777</c:v>
                </c:pt>
                <c:pt idx="145">
                  <c:v>19394</c:v>
                </c:pt>
                <c:pt idx="146">
                  <c:v>19911</c:v>
                </c:pt>
                <c:pt idx="147">
                  <c:v>19646</c:v>
                </c:pt>
                <c:pt idx="148">
                  <c:v>19897</c:v>
                </c:pt>
                <c:pt idx="149">
                  <c:v>19341</c:v>
                </c:pt>
                <c:pt idx="150">
                  <c:v>19929</c:v>
                </c:pt>
                <c:pt idx="151">
                  <c:v>20000</c:v>
                </c:pt>
                <c:pt idx="152">
                  <c:v>19633</c:v>
                </c:pt>
                <c:pt idx="153">
                  <c:v>19681</c:v>
                </c:pt>
                <c:pt idx="154">
                  <c:v>19762</c:v>
                </c:pt>
                <c:pt idx="155">
                  <c:v>19524</c:v>
                </c:pt>
                <c:pt idx="156">
                  <c:v>19900</c:v>
                </c:pt>
                <c:pt idx="157">
                  <c:v>20297</c:v>
                </c:pt>
                <c:pt idx="158">
                  <c:v>19662</c:v>
                </c:pt>
                <c:pt idx="159">
                  <c:v>19998</c:v>
                </c:pt>
                <c:pt idx="160">
                  <c:v>20489</c:v>
                </c:pt>
                <c:pt idx="161">
                  <c:v>19523</c:v>
                </c:pt>
                <c:pt idx="162">
                  <c:v>20055</c:v>
                </c:pt>
                <c:pt idx="163">
                  <c:v>19814</c:v>
                </c:pt>
                <c:pt idx="164">
                  <c:v>20318</c:v>
                </c:pt>
                <c:pt idx="165">
                  <c:v>20173</c:v>
                </c:pt>
                <c:pt idx="166">
                  <c:v>20074</c:v>
                </c:pt>
                <c:pt idx="167">
                  <c:v>20194</c:v>
                </c:pt>
                <c:pt idx="168">
                  <c:v>19437</c:v>
                </c:pt>
                <c:pt idx="169">
                  <c:v>19198</c:v>
                </c:pt>
                <c:pt idx="170">
                  <c:v>19694</c:v>
                </c:pt>
                <c:pt idx="171">
                  <c:v>20054</c:v>
                </c:pt>
                <c:pt idx="172">
                  <c:v>20097</c:v>
                </c:pt>
                <c:pt idx="173">
                  <c:v>19584</c:v>
                </c:pt>
                <c:pt idx="174">
                  <c:v>19505</c:v>
                </c:pt>
                <c:pt idx="175">
                  <c:v>19097</c:v>
                </c:pt>
                <c:pt idx="176">
                  <c:v>19798</c:v>
                </c:pt>
                <c:pt idx="177">
                  <c:v>19424</c:v>
                </c:pt>
                <c:pt idx="178">
                  <c:v>20270</c:v>
                </c:pt>
                <c:pt idx="179">
                  <c:v>19461</c:v>
                </c:pt>
                <c:pt idx="180">
                  <c:v>19701</c:v>
                </c:pt>
                <c:pt idx="181">
                  <c:v>19232</c:v>
                </c:pt>
                <c:pt idx="182">
                  <c:v>19393</c:v>
                </c:pt>
                <c:pt idx="183">
                  <c:v>19621</c:v>
                </c:pt>
                <c:pt idx="184">
                  <c:v>20035</c:v>
                </c:pt>
                <c:pt idx="185">
                  <c:v>19756</c:v>
                </c:pt>
                <c:pt idx="186">
                  <c:v>20390</c:v>
                </c:pt>
                <c:pt idx="187">
                  <c:v>20307</c:v>
                </c:pt>
                <c:pt idx="188">
                  <c:v>20299</c:v>
                </c:pt>
                <c:pt idx="189">
                  <c:v>19600</c:v>
                </c:pt>
                <c:pt idx="190">
                  <c:v>19277</c:v>
                </c:pt>
                <c:pt idx="191">
                  <c:v>19605</c:v>
                </c:pt>
                <c:pt idx="192">
                  <c:v>19965</c:v>
                </c:pt>
                <c:pt idx="193">
                  <c:v>19225</c:v>
                </c:pt>
                <c:pt idx="194">
                  <c:v>20251</c:v>
                </c:pt>
                <c:pt idx="195">
                  <c:v>19301</c:v>
                </c:pt>
                <c:pt idx="196">
                  <c:v>19547</c:v>
                </c:pt>
                <c:pt idx="197">
                  <c:v>19601</c:v>
                </c:pt>
                <c:pt idx="198">
                  <c:v>19065</c:v>
                </c:pt>
                <c:pt idx="199">
                  <c:v>20171</c:v>
                </c:pt>
                <c:pt idx="200">
                  <c:v>20552</c:v>
                </c:pt>
                <c:pt idx="201">
                  <c:v>19743</c:v>
                </c:pt>
                <c:pt idx="202">
                  <c:v>20053</c:v>
                </c:pt>
                <c:pt idx="203">
                  <c:v>20683</c:v>
                </c:pt>
                <c:pt idx="204">
                  <c:v>20213</c:v>
                </c:pt>
                <c:pt idx="205">
                  <c:v>20236</c:v>
                </c:pt>
                <c:pt idx="206">
                  <c:v>20411</c:v>
                </c:pt>
                <c:pt idx="207">
                  <c:v>20180</c:v>
                </c:pt>
                <c:pt idx="208">
                  <c:v>19695</c:v>
                </c:pt>
                <c:pt idx="209">
                  <c:v>19848</c:v>
                </c:pt>
                <c:pt idx="210">
                  <c:v>18980</c:v>
                </c:pt>
                <c:pt idx="211">
                  <c:v>19526</c:v>
                </c:pt>
                <c:pt idx="212">
                  <c:v>19351</c:v>
                </c:pt>
                <c:pt idx="213">
                  <c:v>19685</c:v>
                </c:pt>
                <c:pt idx="214">
                  <c:v>19377</c:v>
                </c:pt>
                <c:pt idx="215">
                  <c:v>19914</c:v>
                </c:pt>
                <c:pt idx="216">
                  <c:v>19796</c:v>
                </c:pt>
                <c:pt idx="217">
                  <c:v>19690</c:v>
                </c:pt>
                <c:pt idx="218">
                  <c:v>19621</c:v>
                </c:pt>
                <c:pt idx="219">
                  <c:v>19628</c:v>
                </c:pt>
                <c:pt idx="220">
                  <c:v>19509</c:v>
                </c:pt>
                <c:pt idx="221">
                  <c:v>20208</c:v>
                </c:pt>
                <c:pt idx="222">
                  <c:v>19800</c:v>
                </c:pt>
                <c:pt idx="223">
                  <c:v>19899</c:v>
                </c:pt>
                <c:pt idx="224">
                  <c:v>19806</c:v>
                </c:pt>
                <c:pt idx="225">
                  <c:v>19509</c:v>
                </c:pt>
                <c:pt idx="226">
                  <c:v>20124</c:v>
                </c:pt>
                <c:pt idx="227">
                  <c:v>19660</c:v>
                </c:pt>
                <c:pt idx="228">
                  <c:v>20283</c:v>
                </c:pt>
                <c:pt idx="229">
                  <c:v>19801</c:v>
                </c:pt>
                <c:pt idx="230">
                  <c:v>19275</c:v>
                </c:pt>
                <c:pt idx="231">
                  <c:v>19139</c:v>
                </c:pt>
                <c:pt idx="232">
                  <c:v>19525</c:v>
                </c:pt>
                <c:pt idx="233">
                  <c:v>19467</c:v>
                </c:pt>
                <c:pt idx="234">
                  <c:v>19748</c:v>
                </c:pt>
                <c:pt idx="235">
                  <c:v>20004</c:v>
                </c:pt>
                <c:pt idx="236">
                  <c:v>19072</c:v>
                </c:pt>
                <c:pt idx="237">
                  <c:v>20161</c:v>
                </c:pt>
                <c:pt idx="238">
                  <c:v>20366</c:v>
                </c:pt>
                <c:pt idx="239">
                  <c:v>19661</c:v>
                </c:pt>
                <c:pt idx="240">
                  <c:v>20135</c:v>
                </c:pt>
                <c:pt idx="241">
                  <c:v>20262</c:v>
                </c:pt>
                <c:pt idx="242">
                  <c:v>19034</c:v>
                </c:pt>
                <c:pt idx="243">
                  <c:v>19249</c:v>
                </c:pt>
                <c:pt idx="244">
                  <c:v>19427</c:v>
                </c:pt>
                <c:pt idx="245">
                  <c:v>19627</c:v>
                </c:pt>
                <c:pt idx="246">
                  <c:v>19618</c:v>
                </c:pt>
                <c:pt idx="247">
                  <c:v>20515</c:v>
                </c:pt>
                <c:pt idx="248">
                  <c:v>20281</c:v>
                </c:pt>
                <c:pt idx="249">
                  <c:v>19906</c:v>
                </c:pt>
                <c:pt idx="250">
                  <c:v>20115</c:v>
                </c:pt>
                <c:pt idx="251">
                  <c:v>19609</c:v>
                </c:pt>
                <c:pt idx="252">
                  <c:v>19708</c:v>
                </c:pt>
                <c:pt idx="253">
                  <c:v>19611</c:v>
                </c:pt>
                <c:pt idx="254">
                  <c:v>19253</c:v>
                </c:pt>
                <c:pt idx="255">
                  <c:v>19974</c:v>
                </c:pt>
              </c:numCache>
            </c:numRef>
          </c:yVal>
          <c:smooth val="0"/>
          <c:extLst>
            <c:ext xmlns:c16="http://schemas.microsoft.com/office/drawing/2014/chart" uri="{C3380CC4-5D6E-409C-BE32-E72D297353CC}">
              <c16:uniqueId val="{00000000-95AE-42B8-BE00-06612510E8C6}"/>
            </c:ext>
          </c:extLst>
        </c:ser>
        <c:dLbls>
          <c:showLegendKey val="0"/>
          <c:showVal val="0"/>
          <c:showCatName val="0"/>
          <c:showSerName val="0"/>
          <c:showPercent val="0"/>
          <c:showBubbleSize val="0"/>
        </c:dLbls>
        <c:axId val="431578216"/>
        <c:axId val="431571000"/>
      </c:scatterChart>
      <c:valAx>
        <c:axId val="43157821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571000"/>
        <c:crosses val="autoZero"/>
        <c:crossBetween val="midCat"/>
      </c:valAx>
      <c:valAx>
        <c:axId val="431571000"/>
        <c:scaling>
          <c:orientation val="minMax"/>
          <c:max val="21000"/>
          <c:min val="18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578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Carek</dc:creator>
  <cp:keywords/>
  <dc:description/>
  <cp:lastModifiedBy>David Carek</cp:lastModifiedBy>
  <cp:revision>3</cp:revision>
  <dcterms:created xsi:type="dcterms:W3CDTF">2017-02-15T15:30:00Z</dcterms:created>
  <dcterms:modified xsi:type="dcterms:W3CDTF">2017-02-15T22:15:00Z</dcterms:modified>
</cp:coreProperties>
</file>