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2C8227" w14:textId="462D7428" w:rsidR="003B0DCD" w:rsidRDefault="003B0DCD" w:rsidP="003B0DCD">
      <w:pPr>
        <w:pStyle w:val="Title"/>
        <w:rPr>
          <w:lang w:val="de-DE"/>
        </w:rPr>
      </w:pPr>
      <w:r>
        <w:rPr>
          <w:lang w:val="de-DE"/>
        </w:rPr>
        <w:t>Exercise 5</w:t>
      </w:r>
    </w:p>
    <w:p w14:paraId="6089F6F2" w14:textId="5B9DAC21" w:rsidR="00CD5A2B" w:rsidRDefault="003B0DCD" w:rsidP="003B0DCD">
      <w:pPr>
        <w:pStyle w:val="Subtitle"/>
        <w:rPr>
          <w:lang w:val="de-DE"/>
        </w:rPr>
      </w:pPr>
      <w:r w:rsidRPr="004F21CF">
        <w:rPr>
          <w:lang w:val="de-DE"/>
        </w:rPr>
        <w:t>Machine Learning I</w:t>
      </w:r>
    </w:p>
    <w:tbl>
      <w:tblPr>
        <w:tblStyle w:val="TableGrid"/>
        <w:tblW w:w="11893" w:type="dxa"/>
        <w:tblInd w:w="-14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230"/>
        <w:gridCol w:w="10663"/>
      </w:tblGrid>
      <w:tr w:rsidR="00CD5A2B" w14:paraId="0D02F9C2" w14:textId="77777777" w:rsidTr="00AA26A6">
        <w:trPr>
          <w:trHeight w:val="454"/>
        </w:trPr>
        <w:tc>
          <w:tcPr>
            <w:tcW w:w="1230" w:type="dxa"/>
            <w:shd w:val="clear" w:color="auto" w:fill="FFF2CC" w:themeFill="accent4" w:themeFillTint="33"/>
          </w:tcPr>
          <w:p w14:paraId="3A844AE3" w14:textId="77777777" w:rsidR="00CD5A2B" w:rsidRDefault="00CD5A2B" w:rsidP="00AA26A6">
            <w:pPr>
              <w:pStyle w:val="Heading1"/>
              <w:outlineLvl w:val="0"/>
            </w:pPr>
          </w:p>
        </w:tc>
        <w:tc>
          <w:tcPr>
            <w:tcW w:w="10663" w:type="dxa"/>
            <w:shd w:val="clear" w:color="auto" w:fill="FFF2CC" w:themeFill="accent4" w:themeFillTint="33"/>
          </w:tcPr>
          <w:p w14:paraId="0039B598" w14:textId="42C0509A" w:rsidR="00CD5A2B" w:rsidRDefault="00CD5A2B" w:rsidP="00AA26A6">
            <w:pPr>
              <w:pStyle w:val="Heading1"/>
              <w:outlineLvl w:val="0"/>
            </w:pPr>
            <w:r>
              <w:t>4A-1.</w:t>
            </w:r>
          </w:p>
          <w:p w14:paraId="40F83480" w14:textId="77777777" w:rsidR="00CD5A2B" w:rsidRPr="001E0C4D" w:rsidRDefault="00CD5A2B" w:rsidP="00AA26A6">
            <w:pPr>
              <w:rPr>
                <w:sz w:val="16"/>
                <w:szCs w:val="16"/>
              </w:rPr>
            </w:pPr>
          </w:p>
        </w:tc>
      </w:tr>
    </w:tbl>
    <w:p w14:paraId="46342E84" w14:textId="77777777" w:rsidR="00CD5A2B" w:rsidRDefault="00CD5A2B" w:rsidP="00CD5A2B">
      <w:pPr>
        <w:pStyle w:val="Subtitle"/>
        <w:jc w:val="left"/>
        <w:rPr>
          <w:lang w:val="de-DE"/>
        </w:rPr>
      </w:pPr>
      <w:r>
        <w:rPr>
          <w:lang w:val="de-DE"/>
        </w:rPr>
        <w:br/>
      </w:r>
    </w:p>
    <w:p w14:paraId="08E94A9E" w14:textId="77777777" w:rsidR="002B2C81" w:rsidRDefault="002B2C81">
      <w:pPr>
        <w:rPr>
          <w:lang w:val="de-DE"/>
        </w:rPr>
      </w:pPr>
      <w:r>
        <w:rPr>
          <w:lang w:val="de-DE"/>
        </w:rPr>
        <w:t>We know:</w:t>
      </w:r>
    </w:p>
    <w:p w14:paraId="5C88C39F" w14:textId="77777777" w:rsidR="002B2C81" w:rsidRDefault="002B2C81">
      <w:pPr>
        <w:rPr>
          <w:rFonts w:eastAsiaTheme="minorEastAsia"/>
          <w:lang w:val="de-DE"/>
        </w:rPr>
      </w:pPr>
      <m:oMathPara>
        <m:oMath>
          <m:r>
            <w:rPr>
              <w:rFonts w:ascii="Cambria Math" w:hAnsi="Cambria Math"/>
              <w:lang w:val="de-DE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de-DE"/>
                </w:rPr>
              </m:ctrlPr>
            </m:dPr>
            <m:e>
              <m:r>
                <w:rPr>
                  <w:rFonts w:ascii="Cambria Math" w:hAnsi="Cambria Math"/>
                  <w:lang w:val="de-DE"/>
                </w:rPr>
                <m:t>θ</m:t>
              </m:r>
            </m:e>
          </m:d>
          <m:r>
            <w:rPr>
              <w:rFonts w:ascii="Cambria Math" w:hAnsi="Cambria Math"/>
              <w:lang w:val="de-DE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de-DE"/>
                </w:rPr>
              </m:ctrlPr>
            </m:fPr>
            <m:num>
              <m:r>
                <w:rPr>
                  <w:rFonts w:ascii="Cambria Math" w:hAnsi="Cambria Math"/>
                  <w:lang w:val="de-DE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de-DE"/>
                </w:rPr>
                <m:t>Δ</m:t>
              </m:r>
              <m:r>
                <w:rPr>
                  <w:rFonts w:ascii="Cambria Math" w:hAnsi="Cambria Math"/>
                  <w:lang w:val="de-DE"/>
                </w:rPr>
                <m:t>prior</m:t>
              </m:r>
            </m:den>
          </m:f>
        </m:oMath>
      </m:oMathPara>
    </w:p>
    <w:p w14:paraId="020357A0" w14:textId="2F870419" w:rsidR="002B2C81" w:rsidRPr="002B2C81" w:rsidRDefault="002B2C81">
      <w:pPr>
        <w:rPr>
          <w:rFonts w:eastAsiaTheme="minorEastAsia"/>
          <w:lang w:val="de-DE"/>
        </w:rPr>
      </w:pPr>
      <m:oMathPara>
        <m:oMath>
          <m:r>
            <w:rPr>
              <w:rFonts w:ascii="Cambria Math" w:hAnsi="Cambria Math"/>
              <w:lang w:val="de-DE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de-DE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de-DE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de-DE"/>
                    </w:rPr>
                    <m:t>MAP</m:t>
                  </m:r>
                </m:sub>
              </m:sSub>
              <m:r>
                <w:rPr>
                  <w:rFonts w:ascii="Cambria Math" w:hAnsi="Cambria Math"/>
                  <w:lang w:val="de-DE"/>
                </w:rPr>
                <m:t>|D</m:t>
              </m:r>
            </m:e>
          </m:d>
          <m:r>
            <w:rPr>
              <w:rFonts w:ascii="Cambria Math" w:hAnsi="Cambria Math"/>
              <w:lang w:val="de-DE"/>
            </w:rPr>
            <m:t>≈</m:t>
          </m:r>
          <m:f>
            <m:fPr>
              <m:ctrlPr>
                <w:rPr>
                  <w:rFonts w:ascii="Cambria Math" w:hAnsi="Cambria Math"/>
                  <w:i/>
                  <w:lang w:val="de-DE"/>
                </w:rPr>
              </m:ctrlPr>
            </m:fPr>
            <m:num>
              <m:r>
                <w:rPr>
                  <w:rFonts w:ascii="Cambria Math" w:hAnsi="Cambria Math"/>
                  <w:lang w:val="de-DE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de-DE"/>
                </w:rPr>
                <m:t>Δ</m:t>
              </m:r>
              <m:r>
                <w:rPr>
                  <w:rFonts w:ascii="Cambria Math" w:hAnsi="Cambria Math"/>
                  <w:lang w:val="de-DE"/>
                </w:rPr>
                <m:t>posterior</m:t>
              </m:r>
            </m:den>
          </m:f>
        </m:oMath>
      </m:oMathPara>
    </w:p>
    <w:p w14:paraId="19DF91FC" w14:textId="0F4D9C26" w:rsidR="002B2C81" w:rsidRPr="002B2C81" w:rsidRDefault="002B2C81">
      <w:r w:rsidRPr="002B2C81">
        <w:t xml:space="preserve">Using </w:t>
      </w:r>
      <w:r>
        <w:t>B</w:t>
      </w:r>
      <w:r w:rsidRPr="002B2C81">
        <w:t>ayes</w:t>
      </w:r>
      <w:r>
        <w:t>’</w:t>
      </w:r>
      <w:r w:rsidRPr="002B2C81">
        <w:t xml:space="preserve"> theorem </w:t>
      </w:r>
      <w:r>
        <w:t xml:space="preserve">and rearranging terms </w:t>
      </w:r>
      <w:r w:rsidRPr="002B2C81">
        <w:t>we get:</w:t>
      </w:r>
    </w:p>
    <w:p w14:paraId="55E5ADE6" w14:textId="728E33F6" w:rsidR="002B2C81" w:rsidRDefault="00AA26A6">
      <w:pPr>
        <w:rPr>
          <w:rFonts w:eastAsiaTheme="minorEastAsia"/>
        </w:rPr>
      </w:pPr>
      <m:oMathPara>
        <m:oMath>
          <m:m>
            <m:mPr>
              <m:rSpRule m:val="2"/>
              <m:mcs>
                <m:mc>
                  <m:mcPr>
                    <m:count m:val="2"/>
                    <m:mcJc m:val="center"/>
                  </m:mcPr>
                </m:mc>
                <m:mc>
                  <m:mcPr>
                    <m:count m:val="2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/>
              <m:e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θ|D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D|θ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</m:d>
                  </m:den>
                </m:f>
              </m:e>
            </m:mr>
            <m:m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</w:rPr>
                      <m:t>*</m:t>
                    </m:r>
                  </m:e>
                </m:d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≈</m:t>
                </m:r>
              </m:e>
              <m:e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=p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D|θ</m:t>
                    </m:r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de-DE"/>
                      </w:rPr>
                      <m:t>Δ</m:t>
                    </m:r>
                    <m:r>
                      <w:rPr>
                        <w:rFonts w:ascii="Cambria Math" w:hAnsi="Cambria Math"/>
                        <w:lang w:val="de-DE"/>
                      </w:rPr>
                      <m:t>posterior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prior</m:t>
                    </m:r>
                  </m:den>
                </m:f>
              </m:e>
            </m:mr>
          </m:m>
        </m:oMath>
      </m:oMathPara>
    </w:p>
    <w:p w14:paraId="409B5DFC" w14:textId="77777777" w:rsidR="00480488" w:rsidRDefault="002B2C81">
      <w:r>
        <w:t xml:space="preserve">As we saw in the lecture slides, the evidence approximation is useful to make inferences about model complexity and fit. </w:t>
      </w:r>
    </w:p>
    <w:p w14:paraId="16DBAFE1" w14:textId="23715335" w:rsidR="00480488" w:rsidRDefault="00480488">
      <w:pPr>
        <w:rPr>
          <w:rFonts w:eastAsiaTheme="minorEastAsia"/>
        </w:rPr>
      </w:pPr>
      <w:r>
        <w:t xml:space="preserve">Let us see what happens in </w:t>
      </w:r>
      <m:oMath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r>
              <w:rPr>
                <w:rFonts w:ascii="Cambria Math" w:hAnsi="Cambria Math"/>
                <w:color w:val="FF0000"/>
              </w:rPr>
              <m:t>*</m:t>
            </m:r>
          </m:e>
        </m:d>
      </m:oMath>
      <w:r w:rsidR="00956CE4">
        <w:rPr>
          <w:rFonts w:eastAsiaTheme="minorEastAsia"/>
          <w:color w:val="FF0000"/>
        </w:rPr>
        <w:t xml:space="preserve"> </w:t>
      </w:r>
      <w:r w:rsidR="003F564E">
        <w:rPr>
          <w:rFonts w:eastAsiaTheme="minorEastAsia"/>
        </w:rPr>
        <w:t xml:space="preserve">if we vary the input </w:t>
      </w: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>:</w:t>
      </w:r>
    </w:p>
    <w:p w14:paraId="583F8BB0" w14:textId="67AA5AD9" w:rsidR="00B836FA" w:rsidRDefault="00480488">
      <w:pPr>
        <w:rPr>
          <w:rFonts w:eastAsiaTheme="minorEastAsia"/>
        </w:rPr>
      </w:pPr>
      <w:r>
        <w:rPr>
          <w:rFonts w:eastAsiaTheme="minorEastAsia"/>
        </w:rPr>
        <w:t xml:space="preserve">As the likelihood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D|θ</m:t>
            </m:r>
          </m:e>
        </m:d>
      </m:oMath>
      <w:r>
        <w:rPr>
          <w:rFonts w:eastAsiaTheme="minorEastAsia"/>
        </w:rPr>
        <w:t xml:space="preserve"> is strongly related to the fit,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>
        <w:rPr>
          <w:rFonts w:eastAsiaTheme="minorEastAsia"/>
        </w:rPr>
        <w:t xml:space="preserve"> acquires information about the model fit. </w:t>
      </w:r>
      <w:r w:rsidR="00A358DF">
        <w:rPr>
          <w:rFonts w:eastAsiaTheme="minorEastAsia"/>
        </w:rPr>
        <w:t xml:space="preserve">As fit is related to model complexity, a better fit usually entails a more complex model as well. </w:t>
      </w:r>
      <w:r>
        <w:rPr>
          <w:rFonts w:eastAsiaTheme="minorEastAsia"/>
        </w:rPr>
        <w:t xml:space="preserve">Additionally, because of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de-DE"/>
              </w:rPr>
              <m:t>Δ</m:t>
            </m:r>
            <m:r>
              <w:rPr>
                <w:rFonts w:ascii="Cambria Math" w:hAnsi="Cambria Math"/>
                <w:lang w:val="de-DE"/>
              </w:rPr>
              <m:t>posterior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prior</m:t>
            </m:r>
          </m:den>
        </m:f>
      </m:oMath>
      <w:r>
        <w:rPr>
          <w:rFonts w:eastAsiaTheme="minorEastAsia"/>
        </w:rPr>
        <w:t xml:space="preserve">  our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>
        <w:rPr>
          <w:rFonts w:eastAsiaTheme="minorEastAsia"/>
        </w:rPr>
        <w:t xml:space="preserve"> also receives information about model complexity</w:t>
      </w:r>
      <w:r w:rsidR="00A358DF">
        <w:rPr>
          <w:rFonts w:eastAsiaTheme="minorEastAsia"/>
        </w:rPr>
        <w:t xml:space="preserve"> and plausibility</w:t>
      </w:r>
      <w:r>
        <w:rPr>
          <w:rFonts w:eastAsiaTheme="minorEastAsia"/>
        </w:rPr>
        <w:t xml:space="preserve">. </w:t>
      </w:r>
      <w:r w:rsidR="00313C2C">
        <w:rPr>
          <w:rFonts w:eastAsiaTheme="minorEastAsia"/>
        </w:rPr>
        <w:br/>
      </w:r>
      <w:r>
        <w:rPr>
          <w:rFonts w:eastAsiaTheme="minorEastAsia"/>
        </w:rPr>
        <w:br/>
        <w:t xml:space="preserve">If </w:t>
      </w:r>
      <m:oMath>
        <m:r>
          <m:rPr>
            <m:sty m:val="p"/>
          </m:rPr>
          <w:rPr>
            <w:rFonts w:ascii="Cambria Math" w:hAnsi="Cambria Math"/>
            <w:lang w:val="de-DE"/>
          </w:rPr>
          <m:t>Δ</m:t>
        </m:r>
        <m:r>
          <w:rPr>
            <w:rFonts w:ascii="Cambria Math" w:hAnsi="Cambria Math"/>
            <w:lang w:val="de-DE"/>
          </w:rPr>
          <m:t>posterior</m:t>
        </m:r>
      </m:oMath>
      <w:r w:rsidR="007636B4">
        <w:rPr>
          <w:rFonts w:eastAsiaTheme="minorEastAsia"/>
        </w:rPr>
        <w:t xml:space="preserve"> </w:t>
      </w:r>
      <w:r>
        <w:rPr>
          <w:rFonts w:eastAsiaTheme="minorEastAsia"/>
        </w:rPr>
        <w:t xml:space="preserve">is too </w:t>
      </w:r>
      <w:r w:rsidR="00A11F01">
        <w:rPr>
          <w:rFonts w:eastAsiaTheme="minorEastAsia"/>
        </w:rPr>
        <w:t>high</w:t>
      </w:r>
      <w:r w:rsidR="007636B4">
        <w:rPr>
          <w:rFonts w:eastAsiaTheme="minorEastAsia"/>
        </w:rPr>
        <w:t xml:space="preserve"> compared to our belief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prior</m:t>
        </m:r>
      </m:oMath>
      <w:r>
        <w:rPr>
          <w:rFonts w:eastAsiaTheme="minorEastAsia"/>
        </w:rPr>
        <w:t xml:space="preserve">, then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>
        <w:rPr>
          <w:rFonts w:eastAsiaTheme="minorEastAsia"/>
        </w:rPr>
        <w:t xml:space="preserve"> goes down.</w:t>
      </w:r>
      <w:r w:rsidR="00B836FA">
        <w:rPr>
          <w:rFonts w:eastAsiaTheme="minorEastAsia"/>
        </w:rPr>
        <w:t xml:space="preserve"> Think about what this means. A very high posterior around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MAP</m:t>
            </m:r>
          </m:sub>
        </m:sSub>
      </m:oMath>
      <w:r w:rsidR="00B836FA">
        <w:rPr>
          <w:rFonts w:eastAsiaTheme="minorEastAsia"/>
        </w:rPr>
        <w:t xml:space="preserve"> leads to a point estimate not unlike the maximum likelihood method. This leads to little bias in the input set </w:t>
      </w:r>
      <m:oMath>
        <m:sSub>
          <m:sSubPr>
            <m:ctrlPr>
              <w:rPr>
                <w:rFonts w:ascii="Cambria Math" w:eastAsiaTheme="minorEastAsia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B836FA">
        <w:rPr>
          <w:rFonts w:eastAsiaTheme="minorEastAsia"/>
          <w:b/>
        </w:rPr>
        <w:t xml:space="preserve">. </w:t>
      </w:r>
      <w:r w:rsidR="00B836FA">
        <w:rPr>
          <w:rFonts w:eastAsiaTheme="minorEastAsia"/>
        </w:rPr>
        <w:t xml:space="preserve">As we know from the bias/variance decomposition, this may increase variance for different datasets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B836FA">
        <w:rPr>
          <w:rFonts w:eastAsiaTheme="minorEastAsia"/>
        </w:rPr>
        <w:t>. Which means we have learned too much from our data.</w:t>
      </w:r>
    </w:p>
    <w:p w14:paraId="36ECF33A" w14:textId="01131C69" w:rsidR="00B836FA" w:rsidRDefault="00B836FA">
      <w:pPr>
        <w:rPr>
          <w:rFonts w:eastAsiaTheme="minorEastAsia"/>
        </w:rPr>
      </w:pPr>
      <w:r>
        <w:rPr>
          <w:rFonts w:eastAsiaTheme="minorEastAsia"/>
        </w:rPr>
        <w:t xml:space="preserve">Because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>
        <w:rPr>
          <w:rFonts w:eastAsiaTheme="minorEastAsia"/>
        </w:rPr>
        <w:t xml:space="preserve"> goes down in this case, it helps us to combat overfitting.</w:t>
      </w:r>
    </w:p>
    <w:p w14:paraId="3BEEB54E" w14:textId="3FF08B48" w:rsidR="00A358DF" w:rsidRPr="00272945" w:rsidRDefault="00B836FA">
      <w:pPr>
        <w:rPr>
          <w:rFonts w:eastAsiaTheme="minorEastAsia"/>
        </w:rPr>
      </w:pPr>
      <w:r>
        <w:rPr>
          <w:rFonts w:eastAsiaTheme="minorEastAsia"/>
        </w:rPr>
        <w:t>On the other hand, if our fit is good (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D|θ</m:t>
            </m:r>
          </m:e>
        </m:d>
      </m:oMath>
      <w:r>
        <w:rPr>
          <w:rFonts w:eastAsiaTheme="minorEastAsia"/>
        </w:rPr>
        <w:t xml:space="preserve"> high), yet we have a general enough model (</w:t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i/>
                <w:lang w:val="de-D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de-DE"/>
                  </w:rPr>
                </m:ctrlPr>
              </m:sSubPr>
              <m:e>
                <m:r>
                  <w:rPr>
                    <w:rFonts w:ascii="Cambria Math" w:hAnsi="Cambria Math"/>
                    <w:lang w:val="de-DE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de-DE"/>
                  </w:rPr>
                  <m:t>MAP</m:t>
                </m:r>
              </m:sub>
            </m:sSub>
            <m:r>
              <w:rPr>
                <w:rFonts w:ascii="Cambria Math" w:hAnsi="Cambria Math"/>
              </w:rPr>
              <m:t>|</m:t>
            </m:r>
            <m:r>
              <w:rPr>
                <w:rFonts w:ascii="Cambria Math" w:hAnsi="Cambria Math"/>
                <w:lang w:val="de-DE"/>
              </w:rPr>
              <m:t>D</m:t>
            </m:r>
          </m:e>
        </m:d>
      </m:oMath>
      <w:r w:rsidRPr="00B836FA">
        <w:rPr>
          <w:rFonts w:eastAsiaTheme="minorEastAsia"/>
        </w:rPr>
        <w:t xml:space="preserve"> </w:t>
      </w:r>
      <w:r>
        <w:rPr>
          <w:rFonts w:eastAsiaTheme="minorEastAsia"/>
        </w:rPr>
        <w:t xml:space="preserve">low), we receive a good value for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>
        <w:rPr>
          <w:rFonts w:eastAsiaTheme="minorEastAsia"/>
        </w:rPr>
        <w:t xml:space="preserve">. </w:t>
      </w:r>
      <w:r w:rsidR="00AE5170">
        <w:rPr>
          <w:rFonts w:eastAsiaTheme="minorEastAsia"/>
        </w:rPr>
        <w:br/>
      </w:r>
      <w:r w:rsidR="00AE5170">
        <w:rPr>
          <w:rFonts w:eastAsiaTheme="minorEastAsia"/>
        </w:rPr>
        <w:br/>
        <w:t xml:space="preserve">Caution: </w:t>
      </w:r>
      <w:r w:rsidR="00272945">
        <w:rPr>
          <w:rFonts w:eastAsiaTheme="minorEastAsia"/>
        </w:rPr>
        <w:t xml:space="preserve">As we receive more data points, </w:t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i/>
                <w:lang w:val="de-D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de-DE"/>
                  </w:rPr>
                </m:ctrlPr>
              </m:sSubPr>
              <m:e>
                <m:r>
                  <w:rPr>
                    <w:rFonts w:ascii="Cambria Math" w:hAnsi="Cambria Math"/>
                    <w:lang w:val="de-DE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de-DE"/>
                  </w:rPr>
                  <m:t>MAP</m:t>
                </m:r>
              </m:sub>
            </m:sSub>
            <m:r>
              <w:rPr>
                <w:rFonts w:ascii="Cambria Math" w:hAnsi="Cambria Math"/>
              </w:rPr>
              <m:t>|</m:t>
            </m:r>
            <m:r>
              <w:rPr>
                <w:rFonts w:ascii="Cambria Math" w:hAnsi="Cambria Math"/>
                <w:lang w:val="de-DE"/>
              </w:rPr>
              <m:t>D</m:t>
            </m:r>
          </m:e>
        </m:d>
      </m:oMath>
      <w:r w:rsidR="00AE5170" w:rsidRPr="00AE5170">
        <w:rPr>
          <w:rFonts w:eastAsiaTheme="minorEastAsia"/>
        </w:rPr>
        <w:t xml:space="preserve"> </w:t>
      </w:r>
      <w:r w:rsidR="00AE5170">
        <w:rPr>
          <w:rFonts w:eastAsiaTheme="minorEastAsia"/>
        </w:rPr>
        <w:t>usually</w:t>
      </w:r>
      <w:r w:rsidR="00272945" w:rsidRPr="00272945">
        <w:rPr>
          <w:rFonts w:eastAsiaTheme="minorEastAsia"/>
        </w:rPr>
        <w:t xml:space="preserve"> </w:t>
      </w:r>
      <w:r w:rsidR="00272945">
        <w:rPr>
          <w:rFonts w:eastAsiaTheme="minorEastAsia"/>
        </w:rPr>
        <w:t xml:space="preserve">increases because the variance in our posterior decreases. </w:t>
      </w:r>
      <w:r w:rsidR="00AE5170">
        <w:rPr>
          <w:rFonts w:eastAsiaTheme="minorEastAsia"/>
        </w:rPr>
        <w:t>This makes us more liable to overfit, as additional data also increases the configuration space.</w:t>
      </w:r>
    </w:p>
    <w:p w14:paraId="72D47731" w14:textId="2D4075C0" w:rsidR="00313C2C" w:rsidRDefault="00313C2C">
      <w:pPr>
        <w:rPr>
          <w:rFonts w:eastAsiaTheme="minorEastAsia"/>
        </w:rPr>
      </w:pPr>
    </w:p>
    <w:p w14:paraId="6EE82398" w14:textId="562FCFAA" w:rsidR="00CC38FB" w:rsidRDefault="00313C2C">
      <w:pPr>
        <w:rPr>
          <w:rFonts w:eastAsiaTheme="minorEastAsia"/>
        </w:rPr>
      </w:pPr>
      <w:r>
        <w:rPr>
          <w:rFonts w:eastAsiaTheme="minorEastAsia"/>
        </w:rPr>
        <w:t xml:space="preserve">The </w:t>
      </w:r>
      <w:r w:rsidR="00CC38FB">
        <w:rPr>
          <w:rFonts w:eastAsiaTheme="minorEastAsia"/>
        </w:rPr>
        <w:t>optimal</w:t>
      </w:r>
      <w:r>
        <w:rPr>
          <w:rFonts w:eastAsiaTheme="minorEastAsia"/>
        </w:rPr>
        <w:t xml:space="preserve"> value for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</m:t>
            </m:r>
          </m:e>
        </m:d>
      </m:oMath>
      <w:r>
        <w:rPr>
          <w:rFonts w:eastAsiaTheme="minorEastAsia"/>
        </w:rPr>
        <w:t xml:space="preserve"> is thereby a balance of model complexity, belief (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de-DE"/>
              </w:rPr>
              <m:t>Δ</m:t>
            </m:r>
            <m:r>
              <w:rPr>
                <w:rFonts w:ascii="Cambria Math" w:hAnsi="Cambria Math"/>
                <w:lang w:val="de-DE"/>
              </w:rPr>
              <m:t>posterior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prior</m:t>
            </m:r>
          </m:den>
        </m:f>
      </m:oMath>
      <w:r>
        <w:rPr>
          <w:rFonts w:eastAsiaTheme="minorEastAsia"/>
        </w:rPr>
        <w:t>) and fit (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D|θ</m:t>
            </m:r>
          </m:e>
        </m:d>
      </m:oMath>
      <w:r>
        <w:rPr>
          <w:rFonts w:eastAsiaTheme="minorEastAsia"/>
        </w:rPr>
        <w:t>).</w:t>
      </w:r>
    </w:p>
    <w:p w14:paraId="29DC20EA" w14:textId="77777777" w:rsidR="00480488" w:rsidRPr="00313C2C" w:rsidRDefault="00480488">
      <w:pPr>
        <w:rPr>
          <w:rFonts w:eastAsiaTheme="minorEastAsia"/>
        </w:rPr>
      </w:pPr>
    </w:p>
    <w:p w14:paraId="4822016E" w14:textId="77777777" w:rsidR="003B0DCD" w:rsidRPr="002B2C81" w:rsidRDefault="003B0DCD" w:rsidP="003B0DCD">
      <w:pPr>
        <w:pStyle w:val="Subtitle"/>
      </w:pPr>
    </w:p>
    <w:tbl>
      <w:tblPr>
        <w:tblStyle w:val="TableGrid"/>
        <w:tblW w:w="11893" w:type="dxa"/>
        <w:tblInd w:w="-14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230"/>
        <w:gridCol w:w="10663"/>
      </w:tblGrid>
      <w:tr w:rsidR="003B0DCD" w14:paraId="67DD9E5A" w14:textId="77777777" w:rsidTr="005B7BCD">
        <w:trPr>
          <w:trHeight w:val="454"/>
        </w:trPr>
        <w:tc>
          <w:tcPr>
            <w:tcW w:w="1230" w:type="dxa"/>
            <w:shd w:val="clear" w:color="auto" w:fill="FFF2CC" w:themeFill="accent4" w:themeFillTint="33"/>
          </w:tcPr>
          <w:p w14:paraId="27D38785" w14:textId="77777777" w:rsidR="003B0DCD" w:rsidRDefault="003B0DCD" w:rsidP="005B7BCD">
            <w:pPr>
              <w:pStyle w:val="Heading1"/>
              <w:outlineLvl w:val="0"/>
            </w:pPr>
          </w:p>
        </w:tc>
        <w:tc>
          <w:tcPr>
            <w:tcW w:w="10663" w:type="dxa"/>
            <w:shd w:val="clear" w:color="auto" w:fill="FFF2CC" w:themeFill="accent4" w:themeFillTint="33"/>
          </w:tcPr>
          <w:p w14:paraId="7902B87A" w14:textId="711A52EC" w:rsidR="003B0DCD" w:rsidRDefault="003B0DCD" w:rsidP="005B7BCD">
            <w:pPr>
              <w:pStyle w:val="Heading1"/>
              <w:outlineLvl w:val="0"/>
            </w:pPr>
            <w:r>
              <w:t>4A-</w:t>
            </w:r>
            <w:r w:rsidR="00713729">
              <w:t>2</w:t>
            </w:r>
            <w:r>
              <w:t>.</w:t>
            </w:r>
          </w:p>
          <w:p w14:paraId="786C253D" w14:textId="77777777" w:rsidR="003B0DCD" w:rsidRPr="001E0C4D" w:rsidRDefault="003B0DCD" w:rsidP="005B7BCD">
            <w:pPr>
              <w:rPr>
                <w:sz w:val="16"/>
                <w:szCs w:val="16"/>
              </w:rPr>
            </w:pPr>
          </w:p>
        </w:tc>
      </w:tr>
    </w:tbl>
    <w:p w14:paraId="3C10D303" w14:textId="77777777" w:rsidR="003B0DCD" w:rsidRDefault="003B0DCD" w:rsidP="003B0DCD">
      <w:pPr>
        <w:pStyle w:val="Subtitle"/>
        <w:jc w:val="left"/>
        <w:rPr>
          <w:lang w:val="de-DE"/>
        </w:rPr>
      </w:pPr>
      <w:r>
        <w:rPr>
          <w:lang w:val="de-DE"/>
        </w:rPr>
        <w:br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2694"/>
      </w:tblGrid>
      <w:tr w:rsidR="003B0DCD" w14:paraId="6BE4D0A3" w14:textId="77777777" w:rsidTr="005B7BCD">
        <w:tc>
          <w:tcPr>
            <w:tcW w:w="2694" w:type="dxa"/>
            <w:shd w:val="clear" w:color="auto" w:fill="F2F2F2" w:themeFill="background1" w:themeFillShade="F2"/>
          </w:tcPr>
          <w:p w14:paraId="6C7BFEA4" w14:textId="77777777" w:rsidR="003B0DCD" w:rsidRDefault="003B0DCD" w:rsidP="005B7BCD">
            <w:pPr>
              <w:pStyle w:val="Heading2"/>
              <w:outlineLvl w:val="1"/>
              <w:rPr>
                <w:rFonts w:eastAsiaTheme="minorEastAsia"/>
              </w:rPr>
            </w:pPr>
            <w:r>
              <w:rPr>
                <w:rFonts w:eastAsiaTheme="minorEastAsia"/>
              </w:rPr>
              <w:t>Prerequisites</w:t>
            </w:r>
          </w:p>
        </w:tc>
      </w:tr>
    </w:tbl>
    <w:tbl>
      <w:tblPr>
        <w:tblW w:w="0" w:type="auto"/>
        <w:tblInd w:w="26" w:type="dxa"/>
        <w:shd w:val="pct5" w:color="auto" w:fill="FFFFFF" w:themeFill="background1"/>
        <w:tblLook w:val="0000" w:firstRow="0" w:lastRow="0" w:firstColumn="0" w:lastColumn="0" w:noHBand="0" w:noVBand="0"/>
      </w:tblPr>
      <w:tblGrid>
        <w:gridCol w:w="8474"/>
      </w:tblGrid>
      <w:tr w:rsidR="003B0DCD" w14:paraId="4E5DB3A0" w14:textId="77777777" w:rsidTr="005B7BCD">
        <w:trPr>
          <w:trHeight w:val="73"/>
        </w:trPr>
        <w:tc>
          <w:tcPr>
            <w:tcW w:w="8474" w:type="dxa"/>
            <w:shd w:val="pct5" w:color="auto" w:fill="FFFFFF" w:themeFill="background1"/>
          </w:tcPr>
          <w:p w14:paraId="1B61F114" w14:textId="77777777" w:rsidR="003B0DCD" w:rsidRDefault="003B0DCD" w:rsidP="005B7BCD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Let </w:t>
            </w:r>
            <m:oMath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A</m:t>
              </m:r>
            </m:oMath>
            <w:r>
              <w:rPr>
                <w:rFonts w:eastAsiaTheme="minorEastAsia"/>
                <w:b/>
              </w:rPr>
              <w:t xml:space="preserve"> </w:t>
            </w:r>
            <w:r>
              <w:rPr>
                <w:rFonts w:eastAsiaTheme="minorEastAsia"/>
              </w:rPr>
              <w:t xml:space="preserve">be invertible, </w:t>
            </w:r>
            <m:oMath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B,C</m:t>
              </m:r>
            </m:oMath>
            <w:r>
              <w:rPr>
                <w:rFonts w:eastAsiaTheme="minorEastAsia"/>
                <w:b/>
              </w:rPr>
              <w:t xml:space="preserve"> </w:t>
            </w:r>
            <w:r>
              <w:rPr>
                <w:rFonts w:eastAsiaTheme="minorEastAsia"/>
              </w:rPr>
              <w:t xml:space="preserve">arbitrary and </w:t>
            </w:r>
            <m:oMath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I</m:t>
              </m:r>
            </m:oMath>
            <w:r>
              <w:rPr>
                <w:rFonts w:eastAsiaTheme="minorEastAsia"/>
                <w:b/>
              </w:rPr>
              <w:t xml:space="preserve"> </w:t>
            </w:r>
            <w:r>
              <w:rPr>
                <w:rFonts w:eastAsiaTheme="minorEastAsia"/>
              </w:rPr>
              <w:t>be the identity matrix.</w:t>
            </w:r>
            <w:r>
              <w:rPr>
                <w:rFonts w:eastAsiaTheme="minorEastAsia"/>
              </w:rPr>
              <w:br/>
            </w:r>
            <w:r>
              <w:rPr>
                <w:rFonts w:eastAsiaTheme="minorEastAsia"/>
              </w:rPr>
              <w:br/>
              <w:t>We then have:</w:t>
            </w:r>
          </w:p>
          <w:p w14:paraId="62C5C610" w14:textId="77777777" w:rsidR="003B0DCD" w:rsidRDefault="003B0DCD" w:rsidP="005B7BCD">
            <w:pPr>
              <w:rPr>
                <w:rFonts w:eastAsiaTheme="minorEastAsia"/>
              </w:rPr>
            </w:pPr>
          </w:p>
          <w:p w14:paraId="57D30D1C" w14:textId="447F3645" w:rsidR="003B0DCD" w:rsidRPr="003B0DCD" w:rsidRDefault="00AA26A6" w:rsidP="005B7BCD">
            <w:pPr>
              <w:rPr>
                <w:rFonts w:eastAsiaTheme="minorEastAsia"/>
                <w:b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FF0000"/>
                      </w:rPr>
                      <m:t>*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  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BCD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  <m:ctrlPr>
                              <w:rPr>
                                <w:rFonts w:ascii="Cambria Math" w:eastAsiaTheme="minorEastAsia" w:hAnsi="Cambria Math"/>
                                <w:b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-1</m:t>
                            </m:r>
                          </m:sup>
                        </m:sSup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BCD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BCD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oMath>
            </m:oMathPara>
          </w:p>
          <w:p w14:paraId="269BB561" w14:textId="77777777" w:rsidR="003B0DCD" w:rsidRDefault="003B0DCD" w:rsidP="005B7BCD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The proof of above can be seen here:</w:t>
            </w:r>
          </w:p>
          <w:p w14:paraId="59EEFDB3" w14:textId="17B66642" w:rsidR="003B0DCD" w:rsidRDefault="00AA26A6" w:rsidP="005B7BCD">
            <w:pPr>
              <w:rPr>
                <w:rFonts w:eastAsiaTheme="minorEastAsia"/>
              </w:rPr>
            </w:pPr>
            <w:hyperlink r:id="rId8" w:history="1">
              <w:r w:rsidR="003B0DCD" w:rsidRPr="00586065">
                <w:rPr>
                  <w:rStyle w:val="Hyperlink"/>
                  <w:rFonts w:eastAsiaTheme="minorEastAsia"/>
                </w:rPr>
                <w:t>http://www0.cs.ucl.ac.uk/staff/gridgway/mil/mil.pdf</w:t>
              </w:r>
            </w:hyperlink>
          </w:p>
          <w:p w14:paraId="5A188A3E" w14:textId="77777777" w:rsidR="003B0DCD" w:rsidRDefault="003B0DCD" w:rsidP="005B7BCD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Also, as seen in the last lecture slides, the posterior of Bayesian linear regression with normal prior is:</w:t>
            </w:r>
          </w:p>
          <w:p w14:paraId="35531052" w14:textId="34856513" w:rsidR="003B0DCD" w:rsidRPr="003B0DCD" w:rsidRDefault="003B0DCD" w:rsidP="005B7BCD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  <m:r>
                      <w:rPr>
                        <w:rFonts w:ascii="Cambria Math" w:hAnsi="Cambria Math"/>
                      </w:rPr>
                      <m:t>|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t,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  <m:r>
                      <w:rPr>
                        <w:rFonts w:ascii="Cambria Math" w:hAnsi="Cambria Math"/>
                      </w:rPr>
                      <m:t>;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b>
                    </m:sSub>
                  </m:e>
                </m:d>
              </m:oMath>
            </m:oMathPara>
          </w:p>
          <w:p w14:paraId="1FF98F69" w14:textId="77777777" w:rsidR="003B0DCD" w:rsidRPr="003B0DCD" w:rsidRDefault="00AA26A6" w:rsidP="005B7BCD">
            <w:pPr>
              <w:rPr>
                <w:rFonts w:eastAsiaTheme="minorEastAsia"/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Σ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Φ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hAnsi="Cambria Math"/>
                  </w:rPr>
                  <m:t>t</m:t>
                </m:r>
              </m:oMath>
            </m:oMathPara>
          </w:p>
          <w:p w14:paraId="6AB21F0A" w14:textId="47F57065" w:rsidR="003B0DCD" w:rsidRPr="003B0DCD" w:rsidRDefault="00AA26A6" w:rsidP="005B7BCD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Σ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Σ</m:t>
                            </m: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-1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e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</m:sup>
                        </m:sSup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Φ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p>
              </m:oMath>
            </m:oMathPara>
          </w:p>
        </w:tc>
      </w:tr>
    </w:tbl>
    <w:p w14:paraId="203CE516" w14:textId="017CB228" w:rsidR="00F270DE" w:rsidRDefault="003B0DCD" w:rsidP="003B0DCD">
      <w:r>
        <w:br/>
        <w:t xml:space="preserve">Let us have </w:t>
      </w: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 old and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 “new” datapoints.</w:t>
      </w:r>
      <w:r>
        <w:br/>
        <w:t>Because the predictive distribution is dependent on the posterior, it makes sense to calculate the new posterior first.</w:t>
      </w:r>
    </w:p>
    <w:p w14:paraId="27CB6500" w14:textId="1CA22CE8" w:rsidR="003B0DCD" w:rsidRDefault="003B0DCD" w:rsidP="003B0DCD">
      <w:r>
        <w:t>As seen in the task, we have:</w:t>
      </w:r>
    </w:p>
    <w:p w14:paraId="41298AFB" w14:textId="3521690A" w:rsidR="003B0DCD" w:rsidRPr="003B0DCD" w:rsidRDefault="003B0DCD" w:rsidP="003B0DC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w</m:t>
              </m:r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∝p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w</m:t>
              </m:r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|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w</m:t>
              </m:r>
            </m:e>
          </m:d>
        </m:oMath>
      </m:oMathPara>
    </w:p>
    <w:p w14:paraId="477F1963" w14:textId="69E80F41" w:rsidR="003B0DCD" w:rsidRDefault="003B0DCD" w:rsidP="003B0DCD">
      <w:r>
        <w:t>This leads to:</w:t>
      </w:r>
    </w:p>
    <w:p w14:paraId="069E16AB" w14:textId="02E3C654" w:rsidR="003B0DCD" w:rsidRPr="006F30B4" w:rsidRDefault="00AA26A6" w:rsidP="003B0DCD">
      <w:pPr>
        <w:rPr>
          <w:rFonts w:eastAsiaTheme="minorEastAsia"/>
        </w:rPr>
      </w:pPr>
      <m:oMathPara>
        <m:oMath>
          <m:m>
            <m:mPr>
              <m:rSpRule m:val="2"/>
              <m:mcs>
                <m:mc>
                  <m:mcPr>
                    <m:count m:val="1"/>
                    <m:mcJc m:val="center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  <m:r>
                      <w:rPr>
                        <w:rFonts w:ascii="Cambria Math" w:hAnsi="Cambria Math"/>
                      </w:rPr>
                      <m:t>|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|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∝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w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μ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K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p>
                        </m:sSup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/>
                              </w:rPr>
                            </m:ctrlPr>
                          </m:sSub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w</m:t>
                            </m:r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Φ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w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sub>
                        </m:s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d>
                      </m:e>
                    </m:d>
                  </m:sup>
                </m:sSup>
              </m:e>
            </m:mr>
          </m:m>
        </m:oMath>
      </m:oMathPara>
    </w:p>
    <w:p w14:paraId="1967A0F2" w14:textId="4E3837DD" w:rsidR="006F30B4" w:rsidRDefault="00DA59AE" w:rsidP="003B0DCD">
      <w:r>
        <w:t xml:space="preserve">Note: We have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m:rPr>
            <m:sty m:val="b"/>
          </m:rPr>
          <w:rPr>
            <w:rFonts w:ascii="Cambria Math" w:hAnsi="Cambria Math"/>
          </w:rPr>
          <m:t>I</m:t>
        </m:r>
      </m:oMath>
      <w:r>
        <w:t xml:space="preserve"> because the predictions are independent from each other. </w:t>
      </w:r>
      <w:r w:rsidR="006F30B4">
        <w:t>Focusing on the exponent:</w:t>
      </w:r>
    </w:p>
    <w:p w14:paraId="5BD12A26" w14:textId="6885A1D2" w:rsidR="006F30B4" w:rsidRPr="005B7BCD" w:rsidRDefault="00AA26A6" w:rsidP="006F30B4">
      <m:oMathPara>
        <m:oMathParaPr>
          <m:jc m:val="left"/>
        </m:oMathParaPr>
        <m:oMath>
          <m:m>
            <m:mPr>
              <m:rSpRule m:val="2"/>
              <m:mcs>
                <m:mc>
                  <m:mcPr>
                    <m:count m:val="1"/>
                    <m:mcJc m:val="center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Σ</m:t>
                    </m:r>
                    <m:ctrlPr>
                      <w:rPr>
                        <w:rFonts w:ascii="Cambria Math" w:eastAsiaTheme="minorEastAsia" w:hAnsi="Cambria Math"/>
                        <w:b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</w:rPr>
                  <m:t>I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limLow>
                  <m:limLowPr>
                    <m:ctrlPr>
                      <w:rPr>
                        <w:rFonts w:ascii="Cambria Math" w:hAnsi="Cambria Math"/>
                        <w:b/>
                      </w:rPr>
                    </m:ctrlPr>
                  </m:limLowPr>
                  <m:e>
                    <m:groupChr>
                      <m:groupChr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groupChr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Σ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-1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sub>
                            </m:sSub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M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T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up>
                            </m:sSub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d>
                      </m:e>
                    </m:groupCh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e>
                  <m:lim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K+M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p>
                    </m:sSubSup>
                  </m:lim>
                </m:limLow>
                <m:r>
                  <m:rPr>
                    <m:sty m:val="b"/>
                  </m:rPr>
                  <w:rPr>
                    <w:rFonts w:ascii="Cambria Math" w:hAnsi="Cambria Math"/>
                  </w:rPr>
                  <m:t>w</m:t>
                </m:r>
                <m:r>
                  <w:rPr>
                    <w:rFonts w:ascii="Cambria Math" w:hAnsi="Cambria Math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  <m:ctrlPr>
                          <w:rPr>
                            <w:rFonts w:ascii="Cambria Math" w:eastAsiaTheme="minorEastAsia" w:hAnsi="Cambria Math"/>
                            <w:b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b/>
                          </w:rPr>
                        </m:ctrlPr>
                      </m:sSub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e>
                </m:d>
              </m:e>
            </m:mr>
            <m:mr>
              <m:e/>
              <m:e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Σ</m:t>
                    </m:r>
                    <m:ctrlPr>
                      <w:rPr>
                        <w:rFonts w:ascii="Cambria Math" w:eastAsiaTheme="minorEastAsia" w:hAnsi="Cambria Math"/>
                        <w:b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e>
            </m:mr>
            <m:mr>
              <m:e/>
              <m:e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Sup>
                  <m:sSubSupPr>
                    <m:ctrlPr>
                      <w:rPr>
                        <w:rFonts w:ascii="Cambria Math" w:hAnsi="Cambria Math"/>
                        <w:b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K+M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p>
                </m:sSubSup>
                <m:r>
                  <m:rPr>
                    <m:sty m:val="b"/>
                  </m:rPr>
                  <w:rPr>
                    <w:rFonts w:ascii="Cambria Math" w:hAnsi="Cambria Math"/>
                  </w:rPr>
                  <m:t>w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limLow>
                  <m:limLowPr>
                    <m:ctrlPr>
                      <w:rPr>
                        <w:rFonts w:ascii="Cambria Math" w:hAnsi="Cambria Math"/>
                        <w:b/>
                      </w:rPr>
                    </m:ctrlPr>
                  </m:limLowPr>
                  <m:e>
                    <m:groupChr>
                      <m:groupChr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groupCh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</w:rPr>
                            </m:ctrlPr>
                          </m:sSub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K+M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b>
                          <m:sup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p>
                        </m:sSubSup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K+M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b>
                        </m:sSub>
                      </m:e>
                    </m:groupCh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lim>
                    <m:r>
                      <w:rPr>
                        <w:rFonts w:ascii="Cambria Math" w:hAnsi="Cambria Math"/>
                      </w:rPr>
                      <m:t>=1</m:t>
                    </m:r>
                  </m:lim>
                </m:limLow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  <m:ctrlPr>
                          <w:rPr>
                            <w:rFonts w:ascii="Cambria Math" w:eastAsiaTheme="minorEastAsia" w:hAnsi="Cambria Math"/>
                            <w:b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b/>
                          </w:rPr>
                        </m:ctrlPr>
                      </m:sSub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e>
                </m:d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+c</m:t>
                </m:r>
              </m:e>
            </m:mr>
          </m:m>
        </m:oMath>
      </m:oMathPara>
    </w:p>
    <w:p w14:paraId="3F69E05D" w14:textId="39FD6AD9" w:rsidR="006F30B4" w:rsidRDefault="005B7BCD" w:rsidP="003B0DCD">
      <w:r>
        <w:t>This allows us to complete the square above and we get the updated posterior:</w:t>
      </w:r>
    </w:p>
    <w:p w14:paraId="49F8E7CA" w14:textId="6B74DFBB" w:rsidR="005B7BCD" w:rsidRPr="005B7BCD" w:rsidRDefault="005B7BCD" w:rsidP="003B0DC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w</m:t>
              </m:r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=N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M+K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K+M</m:t>
                  </m:r>
                </m:sub>
              </m:sSub>
            </m:e>
          </m:d>
        </m:oMath>
      </m:oMathPara>
    </w:p>
    <w:p w14:paraId="4C139F07" w14:textId="08840138" w:rsidR="005B7BCD" w:rsidRDefault="00A54F74" w:rsidP="003B0DCD">
      <w:r>
        <w:t>w</w:t>
      </w:r>
      <w:r w:rsidR="005B7BCD">
        <w:t>ith</w:t>
      </w:r>
    </w:p>
    <w:p w14:paraId="0C345367" w14:textId="4E88C677" w:rsidR="005B7BCD" w:rsidRPr="00A17879" w:rsidRDefault="00AA26A6" w:rsidP="003B0DCD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w:rPr>
                  <w:rFonts w:ascii="Cambria Math" w:hAnsi="Cambria Math"/>
                </w:rPr>
                <m:t>K+M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Σ</m:t>
                      </m: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</m:oMath>
      </m:oMathPara>
    </w:p>
    <w:p w14:paraId="518EF9B0" w14:textId="018D4595" w:rsidR="00A17879" w:rsidRPr="00C23076" w:rsidRDefault="00AA26A6" w:rsidP="003B0DC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M+K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K+M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Σ</m:t>
                  </m: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sSubSup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p>
              </m:sSubSup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e>
          </m:d>
        </m:oMath>
      </m:oMathPara>
    </w:p>
    <w:p w14:paraId="23B328A4" w14:textId="1D113306" w:rsidR="00C23076" w:rsidRDefault="00C23076" w:rsidP="003B0DCD">
      <w:pPr>
        <w:rPr>
          <w:rFonts w:eastAsiaTheme="minorEastAsia"/>
        </w:rPr>
      </w:pPr>
      <w:r>
        <w:t xml:space="preserve">Note: When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0</m:t>
        </m:r>
      </m:oMath>
      <w:r>
        <w:rPr>
          <w:rFonts w:eastAsiaTheme="minorEastAsia"/>
          <w:b/>
        </w:rPr>
        <w:t xml:space="preserve"> </w:t>
      </w:r>
      <w:r>
        <w:rPr>
          <w:rFonts w:eastAsiaTheme="minorEastAsia"/>
        </w:rPr>
        <w:t xml:space="preserve">we get </w:t>
      </w:r>
      <w:r w:rsidR="00A54F74">
        <w:rPr>
          <w:rFonts w:eastAsiaTheme="minorEastAsia"/>
        </w:rPr>
        <w:t>the same</w:t>
      </w:r>
      <w:r>
        <w:rPr>
          <w:rFonts w:eastAsiaTheme="minorEastAsia"/>
        </w:rPr>
        <w:t xml:space="preserve"> result as in the slides</w:t>
      </w:r>
      <w:r w:rsidR="00A54F74">
        <w:rPr>
          <w:rFonts w:eastAsiaTheme="minorEastAsia"/>
        </w:rPr>
        <w:t xml:space="preserve"> for the prior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w</m:t>
            </m:r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eastAsiaTheme="minorEastAsia"/>
        </w:rPr>
        <w:t>.</w:t>
      </w:r>
    </w:p>
    <w:p w14:paraId="3C59FB53" w14:textId="780813A4" w:rsidR="00A54F74" w:rsidRDefault="00B548B2" w:rsidP="003B0DCD">
      <w:r>
        <w:t xml:space="preserve">Now we use </w:t>
      </w:r>
      <m:oMath>
        <m:d>
          <m:d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r>
              <w:rPr>
                <w:rFonts w:ascii="Cambria Math" w:eastAsiaTheme="minorEastAsia" w:hAnsi="Cambria Math"/>
                <w:color w:val="FF0000"/>
              </w:rPr>
              <m:t>*</m:t>
            </m:r>
          </m:e>
        </m:d>
      </m:oMath>
      <w:r>
        <w:rPr>
          <w:rFonts w:eastAsiaTheme="minorEastAsia"/>
          <w:color w:val="FF0000"/>
        </w:rPr>
        <w:t xml:space="preserve"> </w:t>
      </w:r>
      <w:r>
        <w:t xml:space="preserve">for the </w:t>
      </w:r>
      <w:r w:rsidR="00C11A58">
        <w:t>co</w:t>
      </w:r>
      <w:r>
        <w:t>variance:</w:t>
      </w:r>
    </w:p>
    <w:p w14:paraId="73210330" w14:textId="1CBC09BE" w:rsidR="00C11A58" w:rsidRDefault="00AA26A6" w:rsidP="003B0DCD">
      <m:oMathPara>
        <m:oMath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Σ</m:t>
                      </m: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I+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sSubSup>
            <m:sSubSupPr>
              <m:ctrlPr>
                <w:rPr>
                  <w:rFonts w:ascii="Cambria Math" w:eastAsiaTheme="minorEastAsia" w:hAnsi="Cambria Math"/>
                  <w:b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  <m:ctrlPr>
                <w:rPr>
                  <w:rFonts w:ascii="Cambria Math" w:eastAsiaTheme="minorEastAsia" w:hAnsi="Cambria Math"/>
                  <w:i/>
                </w:rPr>
              </m:ctrlPr>
            </m:sup>
          </m:sSubSup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>
              <m:sty m:val="p"/>
            </m:rPr>
            <w:br/>
          </m:r>
        </m:oMath>
        <m:oMath>
          <m:r>
            <m:rPr>
              <m:sty m:val="p"/>
            </m:rPr>
            <w:br/>
          </m:r>
        </m:oMath>
        <m:oMath>
          <m:r>
            <m:rPr>
              <m:sty m:val="p"/>
            </m:rPr>
            <m:t>As seen in the slides (or the task), we try to show:</m:t>
          </m:r>
        </m:oMath>
      </m:oMathPara>
    </w:p>
    <w:p w14:paraId="4BFF149D" w14:textId="40F19E4D" w:rsidR="00C11A58" w:rsidRDefault="00AA26A6" w:rsidP="003B0DC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K+M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/>
            </w:rPr>
            <m:t>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</m:e>
          </m:d>
        </m:oMath>
      </m:oMathPara>
    </w:p>
    <w:p w14:paraId="70C8609E" w14:textId="77777777" w:rsidR="00C11A58" w:rsidRDefault="00C11A58" w:rsidP="003B0DCD">
      <w:pPr>
        <w:rPr>
          <w:rFonts w:eastAsiaTheme="minorEastAsia"/>
        </w:rPr>
      </w:pPr>
      <w:r>
        <w:rPr>
          <w:rFonts w:eastAsiaTheme="minorEastAsia"/>
        </w:rPr>
        <w:t xml:space="preserve">where </w:t>
      </w:r>
    </w:p>
    <w:p w14:paraId="42E581EE" w14:textId="0E270282" w:rsidR="00C11A58" w:rsidRPr="00C11A58" w:rsidRDefault="00AA26A6" w:rsidP="003B0DC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r>
            <m:rPr>
              <m:sty m:val="bi"/>
            </m:rPr>
            <w:rPr>
              <w:rFonts w:ascii="Cambria Math" w:hAnsi="Cambria Math"/>
            </w:rPr>
            <m:t>ϕ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ϕ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</m:e>
          </m:d>
        </m:oMath>
      </m:oMathPara>
    </w:p>
    <w:p w14:paraId="70459FF2" w14:textId="2EA3A7C9" w:rsidR="00C11A58" w:rsidRDefault="007F1555" w:rsidP="003B0DCD">
      <w:pPr>
        <w:rPr>
          <w:rFonts w:eastAsiaTheme="minorEastAsia"/>
        </w:rPr>
      </w:pPr>
      <w:r>
        <w:t>Now we just</w:t>
      </w:r>
      <w:r w:rsidR="00C26766">
        <w:t xml:space="preserve"> plug our new covariance matrices into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C26766">
        <w:rPr>
          <w:rFonts w:eastAsiaTheme="minorEastAsia"/>
        </w:rPr>
        <w:t>:</w:t>
      </w:r>
    </w:p>
    <w:p w14:paraId="14DAD14A" w14:textId="39502010" w:rsidR="00C26766" w:rsidRPr="00F800B8" w:rsidRDefault="00AA26A6" w:rsidP="003B0DCD">
      <w:pPr>
        <w:rPr>
          <w:rFonts w:eastAsiaTheme="minorEastAsia"/>
        </w:rPr>
      </w:pPr>
      <m:oMathPara>
        <m:oMath>
          <m:m>
            <m:mPr>
              <m:rSpRule m:val="2"/>
              <m:mcs>
                <m:mc>
                  <m:mcPr>
                    <m:count m:val="1"/>
                    <m:mcJc m:val="center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K+M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</m:d>
              </m:e>
              <m:e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</w:rPr>
                  <m:t>ϕ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</w:rPr>
                              <m:t>Σ</m:t>
                            </m:r>
                            <m:ctrlPr>
                              <w:rPr>
                                <w:rFonts w:ascii="Cambria Math" w:eastAsiaTheme="minorEastAsia" w:hAnsi="Cambria Math"/>
                                <w:b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-1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/>
                              </w:rPr>
                            </m:ctrlPr>
                          </m:sSub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M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up>
                        </m:sSubSup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ϕ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</m:d>
              </m:e>
            </m:mr>
            <m:mr>
              <m:e/>
              <m:e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</w:rPr>
                  <m:t>ϕ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</w:rPr>
                              <m:t>I+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ub>
                            </m:sSub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M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T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up>
                            </m:sSub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b/>
                          </w:rPr>
                        </m:ctrlPr>
                      </m:sSub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ϕ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</m:d>
              </m:e>
            </m:mr>
            <m:mr>
              <m:e/>
              <m:e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groupChr>
                      <m:groupCh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groupCh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sub>
                            </m:sSub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ϕ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*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ϕ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</m:sup>
                            </m:sSup>
                          </m:e>
                        </m:d>
                      </m:e>
                    </m:groupCh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p>
                      </m:e>
                    </m:d>
                  </m:lim>
                </m:limLow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</w:rPr>
                  <m:t>ϕ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</w:rPr>
                              <m:t>I+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ub>
                            </m:sSub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M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T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up>
                            </m:sSub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b/>
                          </w:rPr>
                        </m:ctrlPr>
                      </m:sSub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ϕ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</m:d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.</m:t>
                </m:r>
              </m:e>
            </m:mr>
          </m:m>
        </m:oMath>
      </m:oMathPara>
    </w:p>
    <w:p w14:paraId="2930CB10" w14:textId="6F2AFF8E" w:rsidR="00F800B8" w:rsidRDefault="00F800B8" w:rsidP="003B0DCD">
      <w:r>
        <w:t xml:space="preserve">The last equality holds because </w:t>
      </w:r>
    </w:p>
    <w:p w14:paraId="5F9AE4F1" w14:textId="16E5F662" w:rsidR="00F800B8" w:rsidRPr="00F800B8" w:rsidRDefault="00AA26A6" w:rsidP="003B0DC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I+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sSubSup>
            <m:sSubSupPr>
              <m:ctrlPr>
                <w:rPr>
                  <w:rFonts w:ascii="Cambria Math" w:eastAsiaTheme="minorEastAsia" w:hAnsi="Cambria Math"/>
                  <w:b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  <m:ctrlPr>
                <w:rPr>
                  <w:rFonts w:ascii="Cambria Math" w:eastAsiaTheme="minorEastAsia" w:hAnsi="Cambria Math"/>
                  <w:i/>
                </w:rPr>
              </m:ctrlPr>
            </m:sup>
          </m:sSubSup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  <m:ctrlPr>
                <w:rPr>
                  <w:rFonts w:ascii="Cambria Math" w:hAnsi="Cambria Math"/>
                  <w:i/>
                </w:rPr>
              </m:ctrlPr>
            </m:sub>
          </m:sSub>
        </m:oMath>
      </m:oMathPara>
    </w:p>
    <w:p w14:paraId="0F29CE91" w14:textId="5A960A08" w:rsidR="00F800B8" w:rsidRDefault="00F800B8" w:rsidP="003B0DCD">
      <w:pPr>
        <w:rPr>
          <w:rFonts w:eastAsiaTheme="minorEastAsia"/>
        </w:rPr>
      </w:pPr>
      <w:r>
        <w:rPr>
          <w:rFonts w:eastAsiaTheme="minorEastAsia"/>
        </w:rPr>
        <w:t xml:space="preserve">is at least positive semidefinite (for why, look up the properties of positive semidefinite matrices, especially </w:t>
      </w:r>
      <w:proofErr w:type="gramStart"/>
      <w:r>
        <w:rPr>
          <w:rFonts w:eastAsiaTheme="minorEastAsia"/>
        </w:rPr>
        <w:t>in regard to</w:t>
      </w:r>
      <w:proofErr w:type="gram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eastAsiaTheme="minorEastAsia"/>
        </w:rPr>
        <w:t xml:space="preserve"> and </w:t>
      </w:r>
      <m:oMath>
        <m:sSubSup>
          <m:sSubSupPr>
            <m:ctrlPr>
              <w:rPr>
                <w:rFonts w:ascii="Cambria Math" w:eastAsiaTheme="minorEastAsia" w:hAnsi="Cambria Math"/>
                <w:b/>
              </w:rPr>
            </m:ctrlPr>
          </m:sSubSup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Φ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  <m:ctrlPr>
              <w:rPr>
                <w:rFonts w:ascii="Cambria Math" w:eastAsiaTheme="minorEastAsia" w:hAnsi="Cambria Math"/>
                <w:i/>
              </w:rPr>
            </m:ctrlPr>
          </m:sup>
        </m:sSubSup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rPr>
          <w:rFonts w:eastAsiaTheme="minorEastAsia"/>
        </w:rPr>
        <w:t>.</w:t>
      </w:r>
    </w:p>
    <w:p w14:paraId="52BE1767" w14:textId="77777777" w:rsidR="0009234D" w:rsidRPr="002B2C81" w:rsidRDefault="0009234D" w:rsidP="0009234D">
      <w:pPr>
        <w:pStyle w:val="Subtitle"/>
      </w:pPr>
    </w:p>
    <w:tbl>
      <w:tblPr>
        <w:tblStyle w:val="TableGrid"/>
        <w:tblW w:w="11893" w:type="dxa"/>
        <w:tblInd w:w="-14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230"/>
        <w:gridCol w:w="10663"/>
      </w:tblGrid>
      <w:tr w:rsidR="0009234D" w14:paraId="63C828A6" w14:textId="77777777" w:rsidTr="00AA26A6">
        <w:trPr>
          <w:trHeight w:val="454"/>
        </w:trPr>
        <w:tc>
          <w:tcPr>
            <w:tcW w:w="1230" w:type="dxa"/>
            <w:shd w:val="clear" w:color="auto" w:fill="FFF2CC" w:themeFill="accent4" w:themeFillTint="33"/>
          </w:tcPr>
          <w:p w14:paraId="6194B8DC" w14:textId="77777777" w:rsidR="0009234D" w:rsidRDefault="0009234D" w:rsidP="00AA26A6">
            <w:pPr>
              <w:pStyle w:val="Heading1"/>
              <w:outlineLvl w:val="0"/>
            </w:pPr>
          </w:p>
        </w:tc>
        <w:tc>
          <w:tcPr>
            <w:tcW w:w="10663" w:type="dxa"/>
            <w:shd w:val="clear" w:color="auto" w:fill="FFF2CC" w:themeFill="accent4" w:themeFillTint="33"/>
          </w:tcPr>
          <w:p w14:paraId="2184C616" w14:textId="0CA78710" w:rsidR="0009234D" w:rsidRDefault="0009234D" w:rsidP="00AA26A6">
            <w:pPr>
              <w:pStyle w:val="Heading1"/>
              <w:outlineLvl w:val="0"/>
            </w:pPr>
            <w:r>
              <w:t>4A-3.</w:t>
            </w:r>
          </w:p>
          <w:p w14:paraId="7DAFFEA0" w14:textId="77777777" w:rsidR="0009234D" w:rsidRPr="001E0C4D" w:rsidRDefault="0009234D" w:rsidP="00AA26A6">
            <w:pPr>
              <w:rPr>
                <w:sz w:val="16"/>
                <w:szCs w:val="16"/>
              </w:rPr>
            </w:pPr>
          </w:p>
        </w:tc>
      </w:tr>
    </w:tbl>
    <w:p w14:paraId="4E896928" w14:textId="0B14E045" w:rsidR="003B754B" w:rsidRDefault="00015EC1" w:rsidP="003B754B">
      <w:pPr>
        <w:pStyle w:val="Subtitle"/>
        <w:keepNext/>
        <w:jc w:val="left"/>
      </w:pPr>
      <w:r w:rsidRPr="00015EC1">
        <w:br/>
      </w:r>
      <w:r w:rsidR="00AE5B12" w:rsidRPr="00AE5B12">
        <w:drawing>
          <wp:inline distT="0" distB="0" distL="0" distR="0" wp14:anchorId="3AEC6B38" wp14:editId="1ADA0702">
            <wp:extent cx="5848350" cy="4391025"/>
            <wp:effectExtent l="0" t="0" r="0" b="9525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8F20" w14:textId="3698BD21" w:rsidR="00015EC1" w:rsidRPr="003B754B" w:rsidRDefault="003B754B" w:rsidP="003B754B">
      <w:pPr>
        <w:pStyle w:val="Caption"/>
      </w:pPr>
      <w:bookmarkStart w:id="0" w:name="_GoBack"/>
      <w:bookmarkEnd w:id="0"/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Replication of Bishop’s Figure 3.7 in Python</w:t>
      </w:r>
    </w:p>
    <w:p w14:paraId="1EECC6EF" w14:textId="460C1E4F" w:rsidR="0020675F" w:rsidRPr="00F800B8" w:rsidRDefault="00AF6D06" w:rsidP="003B0DCD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sectPr w:rsidR="0020675F" w:rsidRPr="00F800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5C6357" w14:textId="77777777" w:rsidR="00A21A77" w:rsidRDefault="00A21A77" w:rsidP="00086459">
      <w:pPr>
        <w:spacing w:after="0" w:line="240" w:lineRule="auto"/>
      </w:pPr>
      <w:r>
        <w:separator/>
      </w:r>
    </w:p>
  </w:endnote>
  <w:endnote w:type="continuationSeparator" w:id="0">
    <w:p w14:paraId="2BF9BDFC" w14:textId="77777777" w:rsidR="00A21A77" w:rsidRDefault="00A21A77" w:rsidP="000864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1B0F43" w14:textId="77777777" w:rsidR="00A21A77" w:rsidRDefault="00A21A77" w:rsidP="00086459">
      <w:pPr>
        <w:spacing w:after="0" w:line="240" w:lineRule="auto"/>
      </w:pPr>
      <w:r>
        <w:separator/>
      </w:r>
    </w:p>
  </w:footnote>
  <w:footnote w:type="continuationSeparator" w:id="0">
    <w:p w14:paraId="1BFE40E8" w14:textId="77777777" w:rsidR="00A21A77" w:rsidRDefault="00A21A77" w:rsidP="000864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6B6E79"/>
    <w:multiLevelType w:val="hybridMultilevel"/>
    <w:tmpl w:val="001EF5EE"/>
    <w:lvl w:ilvl="0" w:tplc="79FC294A">
      <w:start w:val="1"/>
      <w:numFmt w:val="lowerRoman"/>
      <w:lvlText w:val="(%1)"/>
      <w:lvlJc w:val="left"/>
      <w:pPr>
        <w:ind w:left="14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05" w:hanging="360"/>
      </w:pPr>
    </w:lvl>
    <w:lvl w:ilvl="2" w:tplc="0409001B" w:tentative="1">
      <w:start w:val="1"/>
      <w:numFmt w:val="lowerRoman"/>
      <w:lvlText w:val="%3."/>
      <w:lvlJc w:val="right"/>
      <w:pPr>
        <w:ind w:left="2925" w:hanging="180"/>
      </w:pPr>
    </w:lvl>
    <w:lvl w:ilvl="3" w:tplc="0409000F" w:tentative="1">
      <w:start w:val="1"/>
      <w:numFmt w:val="decimal"/>
      <w:lvlText w:val="%4."/>
      <w:lvlJc w:val="left"/>
      <w:pPr>
        <w:ind w:left="3645" w:hanging="360"/>
      </w:pPr>
    </w:lvl>
    <w:lvl w:ilvl="4" w:tplc="04090019" w:tentative="1">
      <w:start w:val="1"/>
      <w:numFmt w:val="lowerLetter"/>
      <w:lvlText w:val="%5."/>
      <w:lvlJc w:val="left"/>
      <w:pPr>
        <w:ind w:left="4365" w:hanging="360"/>
      </w:pPr>
    </w:lvl>
    <w:lvl w:ilvl="5" w:tplc="0409001B" w:tentative="1">
      <w:start w:val="1"/>
      <w:numFmt w:val="lowerRoman"/>
      <w:lvlText w:val="%6."/>
      <w:lvlJc w:val="right"/>
      <w:pPr>
        <w:ind w:left="5085" w:hanging="180"/>
      </w:pPr>
    </w:lvl>
    <w:lvl w:ilvl="6" w:tplc="0409000F" w:tentative="1">
      <w:start w:val="1"/>
      <w:numFmt w:val="decimal"/>
      <w:lvlText w:val="%7."/>
      <w:lvlJc w:val="left"/>
      <w:pPr>
        <w:ind w:left="5805" w:hanging="360"/>
      </w:pPr>
    </w:lvl>
    <w:lvl w:ilvl="7" w:tplc="04090019" w:tentative="1">
      <w:start w:val="1"/>
      <w:numFmt w:val="lowerLetter"/>
      <w:lvlText w:val="%8."/>
      <w:lvlJc w:val="left"/>
      <w:pPr>
        <w:ind w:left="6525" w:hanging="360"/>
      </w:pPr>
    </w:lvl>
    <w:lvl w:ilvl="8" w:tplc="0409001B" w:tentative="1">
      <w:start w:val="1"/>
      <w:numFmt w:val="lowerRoman"/>
      <w:lvlText w:val="%9."/>
      <w:lvlJc w:val="right"/>
      <w:pPr>
        <w:ind w:left="724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DCD"/>
    <w:rsid w:val="0000237F"/>
    <w:rsid w:val="000152A5"/>
    <w:rsid w:val="00015EC1"/>
    <w:rsid w:val="00065FA8"/>
    <w:rsid w:val="00074419"/>
    <w:rsid w:val="0008110D"/>
    <w:rsid w:val="00082331"/>
    <w:rsid w:val="00086459"/>
    <w:rsid w:val="0009234D"/>
    <w:rsid w:val="000C5E1D"/>
    <w:rsid w:val="000F7427"/>
    <w:rsid w:val="00117350"/>
    <w:rsid w:val="00121CE2"/>
    <w:rsid w:val="001D03AB"/>
    <w:rsid w:val="001D3693"/>
    <w:rsid w:val="001E01AD"/>
    <w:rsid w:val="001E455D"/>
    <w:rsid w:val="001F4FFA"/>
    <w:rsid w:val="0020675F"/>
    <w:rsid w:val="00217ED0"/>
    <w:rsid w:val="00222237"/>
    <w:rsid w:val="00223133"/>
    <w:rsid w:val="0023578B"/>
    <w:rsid w:val="0027214E"/>
    <w:rsid w:val="00272945"/>
    <w:rsid w:val="0027739A"/>
    <w:rsid w:val="0028353C"/>
    <w:rsid w:val="00284F83"/>
    <w:rsid w:val="00293C71"/>
    <w:rsid w:val="002A3554"/>
    <w:rsid w:val="002B23FD"/>
    <w:rsid w:val="002B2C81"/>
    <w:rsid w:val="002C1601"/>
    <w:rsid w:val="002C78F6"/>
    <w:rsid w:val="002D0BBB"/>
    <w:rsid w:val="002E19DD"/>
    <w:rsid w:val="002F254B"/>
    <w:rsid w:val="00313C2C"/>
    <w:rsid w:val="003360F0"/>
    <w:rsid w:val="0033751D"/>
    <w:rsid w:val="003B0DCD"/>
    <w:rsid w:val="003B754B"/>
    <w:rsid w:val="003D4216"/>
    <w:rsid w:val="003D7FC6"/>
    <w:rsid w:val="003F564E"/>
    <w:rsid w:val="00402A57"/>
    <w:rsid w:val="004053A6"/>
    <w:rsid w:val="00420C9C"/>
    <w:rsid w:val="0045077E"/>
    <w:rsid w:val="00480488"/>
    <w:rsid w:val="00494EF1"/>
    <w:rsid w:val="004B326E"/>
    <w:rsid w:val="004D0E1C"/>
    <w:rsid w:val="00513D60"/>
    <w:rsid w:val="0055559E"/>
    <w:rsid w:val="00582CED"/>
    <w:rsid w:val="005B7BCD"/>
    <w:rsid w:val="005F3120"/>
    <w:rsid w:val="00636FF5"/>
    <w:rsid w:val="006372C9"/>
    <w:rsid w:val="00664FD9"/>
    <w:rsid w:val="006A0BC8"/>
    <w:rsid w:val="006A1C0A"/>
    <w:rsid w:val="006E0AF4"/>
    <w:rsid w:val="006E137F"/>
    <w:rsid w:val="006E4B12"/>
    <w:rsid w:val="006F30B4"/>
    <w:rsid w:val="007033B8"/>
    <w:rsid w:val="007049FF"/>
    <w:rsid w:val="00713729"/>
    <w:rsid w:val="00714EB9"/>
    <w:rsid w:val="007216E5"/>
    <w:rsid w:val="007268F8"/>
    <w:rsid w:val="00731E96"/>
    <w:rsid w:val="00741C8D"/>
    <w:rsid w:val="00745F11"/>
    <w:rsid w:val="00747597"/>
    <w:rsid w:val="007636B4"/>
    <w:rsid w:val="0076761E"/>
    <w:rsid w:val="00793833"/>
    <w:rsid w:val="007A4AA2"/>
    <w:rsid w:val="007B4D79"/>
    <w:rsid w:val="007C5FD3"/>
    <w:rsid w:val="007F1555"/>
    <w:rsid w:val="008059EC"/>
    <w:rsid w:val="0082256C"/>
    <w:rsid w:val="008260FE"/>
    <w:rsid w:val="00846F5E"/>
    <w:rsid w:val="00851CA6"/>
    <w:rsid w:val="00882341"/>
    <w:rsid w:val="00882401"/>
    <w:rsid w:val="00885F6E"/>
    <w:rsid w:val="008A5945"/>
    <w:rsid w:val="008E7392"/>
    <w:rsid w:val="008F440F"/>
    <w:rsid w:val="008F6709"/>
    <w:rsid w:val="009377D8"/>
    <w:rsid w:val="00956CE4"/>
    <w:rsid w:val="0096624B"/>
    <w:rsid w:val="009B3BE2"/>
    <w:rsid w:val="009E6067"/>
    <w:rsid w:val="009F5ABA"/>
    <w:rsid w:val="00A11F01"/>
    <w:rsid w:val="00A17879"/>
    <w:rsid w:val="00A179FA"/>
    <w:rsid w:val="00A21779"/>
    <w:rsid w:val="00A21A77"/>
    <w:rsid w:val="00A2653B"/>
    <w:rsid w:val="00A358DF"/>
    <w:rsid w:val="00A544C9"/>
    <w:rsid w:val="00A54F74"/>
    <w:rsid w:val="00AA26A6"/>
    <w:rsid w:val="00AA755E"/>
    <w:rsid w:val="00AB466C"/>
    <w:rsid w:val="00AE060B"/>
    <w:rsid w:val="00AE5170"/>
    <w:rsid w:val="00AE5B12"/>
    <w:rsid w:val="00AF3849"/>
    <w:rsid w:val="00AF6D06"/>
    <w:rsid w:val="00B548B2"/>
    <w:rsid w:val="00B747E7"/>
    <w:rsid w:val="00B836FA"/>
    <w:rsid w:val="00B941F3"/>
    <w:rsid w:val="00C035AE"/>
    <w:rsid w:val="00C11A58"/>
    <w:rsid w:val="00C23076"/>
    <w:rsid w:val="00C26766"/>
    <w:rsid w:val="00C311A9"/>
    <w:rsid w:val="00C43C14"/>
    <w:rsid w:val="00C51F86"/>
    <w:rsid w:val="00C84C7E"/>
    <w:rsid w:val="00C90DCD"/>
    <w:rsid w:val="00C97197"/>
    <w:rsid w:val="00CB203D"/>
    <w:rsid w:val="00CB716B"/>
    <w:rsid w:val="00CC38FB"/>
    <w:rsid w:val="00CD12B9"/>
    <w:rsid w:val="00CD5A2B"/>
    <w:rsid w:val="00CF62FF"/>
    <w:rsid w:val="00CF6A39"/>
    <w:rsid w:val="00D01022"/>
    <w:rsid w:val="00D37372"/>
    <w:rsid w:val="00D4211B"/>
    <w:rsid w:val="00DA2388"/>
    <w:rsid w:val="00DA59AE"/>
    <w:rsid w:val="00DC5666"/>
    <w:rsid w:val="00DD046E"/>
    <w:rsid w:val="00DE266D"/>
    <w:rsid w:val="00E168D5"/>
    <w:rsid w:val="00E16E6D"/>
    <w:rsid w:val="00E5255A"/>
    <w:rsid w:val="00E76D22"/>
    <w:rsid w:val="00EB658A"/>
    <w:rsid w:val="00ED6A89"/>
    <w:rsid w:val="00EE7ECD"/>
    <w:rsid w:val="00F02BCC"/>
    <w:rsid w:val="00F15F09"/>
    <w:rsid w:val="00F270DE"/>
    <w:rsid w:val="00F32D24"/>
    <w:rsid w:val="00F34EC2"/>
    <w:rsid w:val="00F44C71"/>
    <w:rsid w:val="00F5222B"/>
    <w:rsid w:val="00F646E0"/>
    <w:rsid w:val="00F6480E"/>
    <w:rsid w:val="00F800B8"/>
    <w:rsid w:val="00F9746F"/>
    <w:rsid w:val="00FB364A"/>
    <w:rsid w:val="00FC4604"/>
    <w:rsid w:val="00FF667C"/>
    <w:rsid w:val="00FF7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B5A4A"/>
  <w15:chartTrackingRefBased/>
  <w15:docId w15:val="{D257E9BE-681E-4CE0-BA1B-C52B6279E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B0DCD"/>
  </w:style>
  <w:style w:type="paragraph" w:styleId="Heading1">
    <w:name w:val="heading 1"/>
    <w:next w:val="Normal"/>
    <w:link w:val="Heading1Char"/>
    <w:uiPriority w:val="9"/>
    <w:qFormat/>
    <w:rsid w:val="003B0D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pacing w:val="4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0D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595959" w:themeColor="text1" w:themeTint="A6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0DCD"/>
    <w:rPr>
      <w:rFonts w:asciiTheme="majorHAnsi" w:eastAsiaTheme="majorEastAsia" w:hAnsiTheme="majorHAnsi" w:cstheme="majorBidi"/>
      <w:b/>
      <w:spacing w:val="4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B0DCD"/>
    <w:rPr>
      <w:rFonts w:asciiTheme="majorHAnsi" w:eastAsiaTheme="majorEastAsia" w:hAnsiTheme="majorHAnsi" w:cstheme="majorBidi"/>
      <w:b/>
      <w:color w:val="595959" w:themeColor="text1" w:themeTint="A6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3B0DCD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0D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0DCD"/>
    <w:pPr>
      <w:numPr>
        <w:ilvl w:val="1"/>
      </w:numPr>
      <w:jc w:val="center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B0DCD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3B0D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B0DC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B0DCD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3B0D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0DC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864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459"/>
  </w:style>
  <w:style w:type="paragraph" w:styleId="Footer">
    <w:name w:val="footer"/>
    <w:basedOn w:val="Normal"/>
    <w:link w:val="FooterChar"/>
    <w:uiPriority w:val="99"/>
    <w:unhideWhenUsed/>
    <w:rsid w:val="000864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459"/>
  </w:style>
  <w:style w:type="paragraph" w:styleId="FootnoteText">
    <w:name w:val="footnote text"/>
    <w:basedOn w:val="Normal"/>
    <w:link w:val="FootnoteTextChar"/>
    <w:uiPriority w:val="99"/>
    <w:semiHidden/>
    <w:unhideWhenUsed/>
    <w:rsid w:val="003F564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F564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F564E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3B754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0.cs.ucl.ac.uk/staff/gridgway/mil/mil.pdf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sv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773786E-086A-4084-8280-E89EC7C352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773</TotalTime>
  <Pages>4</Pages>
  <Words>716</Words>
  <Characters>4083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Tristan Scheidemann</dc:creator>
  <cp:keywords/>
  <dc:description/>
  <cp:lastModifiedBy>Tristan Scheidemann</cp:lastModifiedBy>
  <cp:revision>63</cp:revision>
  <cp:lastPrinted>2018-11-24T15:44:00Z</cp:lastPrinted>
  <dcterms:created xsi:type="dcterms:W3CDTF">2018-11-23T11:12:00Z</dcterms:created>
  <dcterms:modified xsi:type="dcterms:W3CDTF">2018-11-25T00:03:00Z</dcterms:modified>
</cp:coreProperties>
</file>