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BBD85" w14:textId="31387872" w:rsidR="00EE12B9" w:rsidRDefault="00EE12B9" w:rsidP="00EE12B9">
      <w:pPr>
        <w:pStyle w:val="Title"/>
        <w:rPr>
          <w:lang w:val="de-DE"/>
        </w:rPr>
      </w:pPr>
      <w:r>
        <w:rPr>
          <w:lang w:val="de-DE"/>
        </w:rPr>
        <w:t>Exercise 6</w:t>
      </w:r>
    </w:p>
    <w:p w14:paraId="53C285E9" w14:textId="48378A68" w:rsidR="00EE12B9" w:rsidRDefault="00EE12B9" w:rsidP="00EE12B9">
      <w:pPr>
        <w:pStyle w:val="Subtitle"/>
        <w:rPr>
          <w:lang w:val="de-DE"/>
        </w:rPr>
      </w:pPr>
      <w:r w:rsidRPr="004F21CF">
        <w:rPr>
          <w:lang w:val="de-DE"/>
        </w:rPr>
        <w:t>Machine Learning I</w:t>
      </w:r>
    </w:p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DB64D7" w14:paraId="66DA3475" w14:textId="77777777" w:rsidTr="00DB64D7">
        <w:trPr>
          <w:trHeight w:val="454"/>
        </w:trPr>
        <w:tc>
          <w:tcPr>
            <w:tcW w:w="1230" w:type="dxa"/>
            <w:shd w:val="clear" w:color="auto" w:fill="FBE4D5" w:themeFill="accent2" w:themeFillTint="33"/>
          </w:tcPr>
          <w:p w14:paraId="3DA29D91" w14:textId="77777777" w:rsidR="00DB64D7" w:rsidRDefault="00DB64D7" w:rsidP="00292EED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BE4D5" w:themeFill="accent2" w:themeFillTint="33"/>
          </w:tcPr>
          <w:p w14:paraId="2283A935" w14:textId="6FE5353C" w:rsidR="00DB64D7" w:rsidRDefault="00DB64D7" w:rsidP="00292EED">
            <w:pPr>
              <w:pStyle w:val="Heading1"/>
              <w:outlineLvl w:val="0"/>
            </w:pPr>
            <w:r>
              <w:t>6A-</w:t>
            </w:r>
            <w:r>
              <w:t>1</w:t>
            </w:r>
            <w:r>
              <w:t>.</w:t>
            </w:r>
          </w:p>
          <w:p w14:paraId="2FFF0E74" w14:textId="77777777" w:rsidR="00DB64D7" w:rsidRPr="001E0C4D" w:rsidRDefault="00DB64D7" w:rsidP="00292EED">
            <w:pPr>
              <w:rPr>
                <w:sz w:val="16"/>
                <w:szCs w:val="16"/>
              </w:rPr>
            </w:pPr>
          </w:p>
        </w:tc>
      </w:tr>
    </w:tbl>
    <w:p w14:paraId="23BC51B5" w14:textId="77777777" w:rsidR="004E208A" w:rsidRDefault="00E56E25" w:rsidP="00DB64D7">
      <w:r>
        <w:t>First,</w:t>
      </w:r>
      <w:r w:rsidR="004E208A">
        <w:t xml:space="preserve"> rearrange through Bayes theorem:</w:t>
      </w:r>
    </w:p>
    <w:p w14:paraId="6ACC6378" w14:textId="572C32F9" w:rsidR="004E208A" w:rsidRDefault="004E208A" w:rsidP="00DB64D7">
      <m:oMathPara>
        <m:oMath>
          <m:r>
            <w:rPr>
              <w:rFonts w:ascii="Cambria Math" w:hAnsi="Cambria Math"/>
              <w:lang w:val="de-DE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t</m:t>
              </m:r>
              <m:r>
                <w:rPr>
                  <w:rFonts w:ascii="Cambria Math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hAnsi="Cambria Math"/>
                  <w:lang w:val="de-DE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,X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,X</m:t>
                  </m:r>
                </m:e>
              </m:d>
            </m:den>
          </m:f>
        </m:oMath>
      </m:oMathPara>
    </w:p>
    <w:p w14:paraId="3B717B9A" w14:textId="046946D0" w:rsidR="00E56E25" w:rsidRDefault="00E56E25" w:rsidP="00DB64D7">
      <w:r>
        <w:t xml:space="preserve"> </w:t>
      </w:r>
      <w:r w:rsidR="004E208A">
        <w:t>D</w:t>
      </w:r>
      <w:r>
        <w:t>ecompose:</w:t>
      </w:r>
    </w:p>
    <w:p w14:paraId="03B41B10" w14:textId="77777777" w:rsidR="004E208A" w:rsidRDefault="004E208A" w:rsidP="00DB64D7"/>
    <w:p w14:paraId="5E19090A" w14:textId="01F08C0F" w:rsidR="00FE3464" w:rsidRDefault="00E56E25" w:rsidP="00DB64D7">
      <m:oMathPara>
        <m:oMath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  <w:lang w:val="de-DE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de-DE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t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val="de-DE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,X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|X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func>
            <m:funcPr>
              <m:ctrlPr>
                <w:rPr>
                  <w:rFonts w:ascii="Cambria Math" w:hAnsi="Cambria Math"/>
                  <w:i/>
                  <w:lang w:val="de-D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t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,X</m:t>
                  </m:r>
                </m:e>
              </m:d>
            </m:e>
          </m:func>
          <m:r>
            <w:br/>
          </m:r>
        </m:oMath>
      </m:oMathPara>
      <w:r w:rsidR="00FE3464">
        <w:t>Now we can</w:t>
      </w:r>
      <w:r>
        <w:t xml:space="preserve"> just plug in the values from the previous exercises and slides.</w:t>
      </w:r>
      <w:r w:rsidR="00FE3464">
        <w:t xml:space="preserve"> No need to recompute everything again:</w:t>
      </w:r>
    </w:p>
    <w:p w14:paraId="15C59E23" w14:textId="6714BDCE" w:rsidR="00DB64D7" w:rsidRPr="00E56E25" w:rsidRDefault="004E208A" w:rsidP="00DB64D7"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  <w:lang w:val="de-DE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  <w:lang w:val="de-DE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de-DE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de-DE"/>
                          </w:rPr>
                          <m:t>X</m:t>
                        </m:r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…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w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Φ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τ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Φ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Φ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ctrlPr>
                          <w:rPr>
                            <w:rFonts w:ascii="Cambria Math" w:hAnsi="Cambria Math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mr>
          </m:m>
          <m:r>
            <w:br/>
          </m:r>
        </m:oMath>
      </m:oMathPara>
      <w:r w:rsidR="004B22BB">
        <w:t>TODO</w:t>
      </w:r>
      <w:bookmarkStart w:id="0" w:name="_GoBack"/>
      <w:bookmarkEnd w:id="0"/>
    </w:p>
    <w:p w14:paraId="7B065973" w14:textId="77777777" w:rsidR="00DB64D7" w:rsidRPr="00E56E25" w:rsidRDefault="00DB64D7" w:rsidP="00DB64D7"/>
    <w:tbl>
      <w:tblPr>
        <w:tblStyle w:val="TableGrid"/>
        <w:tblW w:w="11893" w:type="dxa"/>
        <w:tblInd w:w="-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1230"/>
        <w:gridCol w:w="10663"/>
      </w:tblGrid>
      <w:tr w:rsidR="00EE12B9" w14:paraId="62A2D190" w14:textId="77777777" w:rsidTr="00FF3300">
        <w:trPr>
          <w:trHeight w:val="454"/>
        </w:trPr>
        <w:tc>
          <w:tcPr>
            <w:tcW w:w="1230" w:type="dxa"/>
            <w:shd w:val="clear" w:color="auto" w:fill="FFF2CC" w:themeFill="accent4" w:themeFillTint="33"/>
          </w:tcPr>
          <w:p w14:paraId="68981961" w14:textId="77777777" w:rsidR="00EE12B9" w:rsidRDefault="00EE12B9" w:rsidP="00FF3300">
            <w:pPr>
              <w:pStyle w:val="Heading1"/>
              <w:outlineLvl w:val="0"/>
            </w:pPr>
          </w:p>
        </w:tc>
        <w:tc>
          <w:tcPr>
            <w:tcW w:w="10663" w:type="dxa"/>
            <w:shd w:val="clear" w:color="auto" w:fill="FFF2CC" w:themeFill="accent4" w:themeFillTint="33"/>
          </w:tcPr>
          <w:p w14:paraId="2E1280FF" w14:textId="78B71A06" w:rsidR="00EE12B9" w:rsidRDefault="00EE12B9" w:rsidP="00FF3300">
            <w:pPr>
              <w:pStyle w:val="Heading1"/>
              <w:outlineLvl w:val="0"/>
            </w:pPr>
            <w:r>
              <w:t>6A-3.</w:t>
            </w:r>
          </w:p>
          <w:p w14:paraId="16EB798D" w14:textId="77777777" w:rsidR="00EE12B9" w:rsidRPr="001E0C4D" w:rsidRDefault="00EE12B9" w:rsidP="00FF3300">
            <w:pPr>
              <w:rPr>
                <w:sz w:val="16"/>
                <w:szCs w:val="16"/>
              </w:rPr>
            </w:pPr>
          </w:p>
        </w:tc>
      </w:tr>
    </w:tbl>
    <w:p w14:paraId="028FA311" w14:textId="1724D35C" w:rsidR="00EE12B9" w:rsidRDefault="00EE12B9" w:rsidP="00EE12B9">
      <w:pPr>
        <w:pStyle w:val="Subtitle"/>
        <w:jc w:val="left"/>
        <w:rPr>
          <w:color w:val="auto"/>
          <w:spacing w:val="0"/>
        </w:rPr>
      </w:pPr>
      <w:r w:rsidRPr="00EE12B9">
        <w:br/>
      </w:r>
      <w:r w:rsidRPr="00EE12B9">
        <w:rPr>
          <w:rFonts w:eastAsiaTheme="minorHAnsi"/>
          <w:color w:val="auto"/>
          <w:spacing w:val="0"/>
        </w:rPr>
        <w:t xml:space="preserve">The noise </w:t>
      </w:r>
      <m:oMath>
        <m:r>
          <w:rPr>
            <w:rFonts w:ascii="Cambria Math" w:eastAsiaTheme="minorHAnsi" w:hAnsi="Cambria Math"/>
            <w:color w:val="auto"/>
            <w:spacing w:val="0"/>
            <w:lang w:val="de-DE"/>
          </w:rPr>
          <m:t>ϵ</m:t>
        </m:r>
      </m:oMath>
      <w:r w:rsidRPr="00EE12B9">
        <w:rPr>
          <w:color w:val="auto"/>
          <w:spacing w:val="0"/>
        </w:rPr>
        <w:t xml:space="preserve"> </w:t>
      </w:r>
      <w:r w:rsidRPr="00EE12B9">
        <w:rPr>
          <w:rFonts w:eastAsiaTheme="minorHAnsi"/>
          <w:color w:val="auto"/>
          <w:spacing w:val="0"/>
        </w:rPr>
        <w:t>is symmetric</w:t>
      </w:r>
      <w:r>
        <w:rPr>
          <w:rFonts w:eastAsiaTheme="minorHAnsi"/>
          <w:color w:val="auto"/>
          <w:spacing w:val="0"/>
        </w:rPr>
        <w:t xml:space="preserve"> around </w:t>
      </w:r>
      <m:oMath>
        <m:r>
          <w:rPr>
            <w:rFonts w:ascii="Cambria Math" w:eastAsiaTheme="minorHAnsi" w:hAnsi="Cambria Math"/>
            <w:color w:val="auto"/>
            <w:spacing w:val="0"/>
          </w:rPr>
          <m:t>t</m:t>
        </m:r>
      </m:oMath>
      <w:r>
        <w:rPr>
          <w:color w:val="auto"/>
          <w:spacing w:val="0"/>
        </w:rPr>
        <w:t xml:space="preserve">. </w:t>
      </w:r>
      <w:proofErr w:type="gramStart"/>
      <w:r w:rsidR="003C18D4">
        <w:rPr>
          <w:color w:val="auto"/>
          <w:spacing w:val="0"/>
        </w:rPr>
        <w:t>So</w:t>
      </w:r>
      <w:proofErr w:type="gramEnd"/>
      <w:r>
        <w:rPr>
          <w:color w:val="auto"/>
          <w:spacing w:val="0"/>
        </w:rPr>
        <w:t xml:space="preserve"> by the same way we derived </w:t>
      </w:r>
      <m:oMath>
        <m:r>
          <w:rPr>
            <w:rFonts w:ascii="Cambria Math" w:hAnsi="Cambria Math"/>
            <w:color w:val="auto"/>
            <w:spacing w:val="0"/>
          </w:rPr>
          <m:t>t~N</m:t>
        </m:r>
        <m:d>
          <m:dPr>
            <m:ctrlPr>
              <w:rPr>
                <w:rFonts w:ascii="Cambria Math" w:hAnsi="Cambria Math"/>
                <w:i/>
                <w:color w:val="auto"/>
                <w:spacing w:val="0"/>
              </w:rPr>
            </m:ctrlPr>
          </m:dPr>
          <m:e>
            <m:r>
              <w:rPr>
                <w:rFonts w:ascii="Cambria Math" w:hAnsi="Cambria Math"/>
                <w:color w:val="auto"/>
                <w:spacing w:val="0"/>
              </w:rPr>
              <m:t>t;</m:t>
            </m:r>
            <m:sSup>
              <m:sSupPr>
                <m:ctrlPr>
                  <w:rPr>
                    <w:rFonts w:ascii="Cambria Math" w:hAnsi="Cambria Math"/>
                    <w:i/>
                    <w:color w:val="auto"/>
                    <w:spacing w:val="0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color w:val="auto"/>
                    <w:spacing w:val="0"/>
                  </w:rPr>
                  <m:t>w</m:t>
                </m:r>
              </m:e>
              <m:sup>
                <m:r>
                  <w:rPr>
                    <w:rFonts w:ascii="Cambria Math" w:hAnsi="Cambria Math"/>
                    <w:color w:val="auto"/>
                    <w:spacing w:val="0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auto"/>
                <w:spacing w:val="0"/>
              </w:rPr>
              <m:t>x,</m:t>
            </m:r>
            <m:r>
              <w:rPr>
                <w:rFonts w:ascii="Cambria Math" w:hAnsi="Cambria Math"/>
                <w:color w:val="auto"/>
                <w:spacing w:val="0"/>
              </w:rPr>
              <m:t>ϵ</m:t>
            </m:r>
          </m:e>
        </m:d>
      </m:oMath>
      <w:r>
        <w:rPr>
          <w:color w:val="auto"/>
          <w:spacing w:val="0"/>
        </w:rPr>
        <w:t xml:space="preserve"> when the noise was normal, we can now say</w:t>
      </w:r>
    </w:p>
    <w:p w14:paraId="5AB5188D" w14:textId="6D38F6B4" w:rsidR="00EE12B9" w:rsidRPr="00694638" w:rsidRDefault="00EE12B9" w:rsidP="00EE12B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t~Stud_t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t;ν,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/>
                </w:rPr>
                <m:t>x,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ϵ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</m:oMath>
      </m:oMathPara>
    </w:p>
    <w:p w14:paraId="7C5BB7B2" w14:textId="77777777" w:rsidR="00694638" w:rsidRDefault="00694638" w:rsidP="00694638">
      <w:pPr>
        <w:keepNext/>
      </w:pPr>
      <w:r w:rsidRPr="00694638">
        <w:rPr>
          <w:noProof/>
        </w:rPr>
        <w:lastRenderedPageBreak/>
        <w:drawing>
          <wp:inline distT="0" distB="0" distL="0" distR="0" wp14:anchorId="61770BA2" wp14:editId="2F063725">
            <wp:extent cx="3667125" cy="2676525"/>
            <wp:effectExtent l="0" t="0" r="9525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4AEE" w14:textId="06B41128" w:rsidR="00694638" w:rsidRDefault="00694638" w:rsidP="00694638">
      <w:pPr>
        <w:pStyle w:val="Caption"/>
      </w:pPr>
      <w:r>
        <w:t xml:space="preserve">Figure </w:t>
      </w:r>
      <w:r w:rsidR="004B22BB">
        <w:rPr>
          <w:noProof/>
        </w:rPr>
        <w:fldChar w:fldCharType="begin"/>
      </w:r>
      <w:r w:rsidR="004B22BB">
        <w:rPr>
          <w:noProof/>
        </w:rPr>
        <w:instrText xml:space="preserve"> SEQ Figure \* ARABIC </w:instrText>
      </w:r>
      <w:r w:rsidR="004B22BB">
        <w:rPr>
          <w:noProof/>
        </w:rPr>
        <w:fldChar w:fldCharType="separate"/>
      </w:r>
      <w:r w:rsidR="008F1E9C">
        <w:rPr>
          <w:noProof/>
        </w:rPr>
        <w:t>1</w:t>
      </w:r>
      <w:r w:rsidR="004B22BB">
        <w:rPr>
          <w:noProof/>
        </w:rPr>
        <w:fldChar w:fldCharType="end"/>
      </w:r>
      <w:r>
        <w:t xml:space="preserve"> Because the noise is symmetrically distributed around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and the </w:t>
      </w:r>
      <w:r>
        <w:rPr>
          <w:rFonts w:eastAsiaTheme="minorEastAsia"/>
        </w:rPr>
        <w:br/>
        <w:t>hidden function f(x) is non-random (p(t|</w:t>
      </w:r>
      <w:proofErr w:type="gramStart"/>
      <w:r>
        <w:rPr>
          <w:rFonts w:eastAsiaTheme="minorEastAsia"/>
        </w:rPr>
        <w:t>x)=</w:t>
      </w:r>
      <w:proofErr w:type="gramEnd"/>
      <w:r>
        <w:rPr>
          <w:rFonts w:eastAsiaTheme="minorEastAsia"/>
        </w:rPr>
        <w:t>1 for one value of t),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identically distributed</w:t>
      </w:r>
      <w:r>
        <w:rPr>
          <w:rFonts w:eastAsiaTheme="minorEastAsia"/>
        </w:rPr>
        <w:br/>
        <w:t>to its noise with adjusted mean.</w:t>
      </w:r>
    </w:p>
    <w:p w14:paraId="5D04AAB9" w14:textId="4AF991ED" w:rsidR="00F270DE" w:rsidRDefault="00EE12B9" w:rsidP="00EE12B9">
      <w:r>
        <w:t>This leads to the log likelihood:</w:t>
      </w:r>
    </w:p>
    <w:p w14:paraId="635FFD00" w14:textId="7ACD25FE" w:rsidR="00EE12B9" w:rsidRPr="003C18D4" w:rsidRDefault="004B22BB" w:rsidP="00EE12B9">
      <w:pPr>
        <w:rPr>
          <w:rFonts w:eastAsiaTheme="minorEastAsia"/>
        </w:rPr>
      </w:pPr>
      <m:oMathPara>
        <m:oMath>
          <m:m>
            <m:mPr>
              <m:rSpRule m:val="2"/>
              <m:mcs>
                <m:mc>
                  <m:mcPr>
                    <m:count m:val="1"/>
                    <m:mcJc m:val="center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  <m:r>
                          <w:rPr>
                            <w:rFonts w:ascii="Cambria Math" w:hAnsi="Cambria Math"/>
                          </w:rPr>
                          <m:t>|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,ν,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ϵ</m:t>
                            </m:r>
                          </m:sub>
                        </m:sSub>
                      </m:e>
                    </m:d>
                  </m:e>
                </m:func>
              </m:e>
              <m:e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nary>
                      <m:naryPr>
                        <m:chr m:val="∏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Stud_t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;ν,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d>
                      </m:e>
                    </m:nary>
                  </m:e>
                </m:func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=n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ν+1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func>
                    <m:r>
                      <w:rPr>
                        <w:rFonts w:ascii="Cambria Math" w:hAnsi="Cambria Math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ad>
                              <m:radPr>
                                <m:degHide m:val="1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radPr>
                              <m:deg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νπ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ϵ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rad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Γ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ν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</m:e>
                        </m:d>
                      </m:e>
                    </m:func>
                  </m:e>
                </m:d>
              </m:e>
            </m:mr>
            <m:mr>
              <m:e/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ν+1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ν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w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T</m:t>
                                    </m:r>
                                  </m:sup>
                                </m:s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ϵ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</m:t>
                        </m:r>
                      </m:e>
                    </m:d>
                  </m:e>
                </m:nary>
              </m:e>
            </m:mr>
          </m:m>
        </m:oMath>
      </m:oMathPara>
    </w:p>
    <w:p w14:paraId="2B377C9B" w14:textId="7926883B" w:rsidR="003C18D4" w:rsidRDefault="008F1E9C" w:rsidP="00EE12B9">
      <w:r>
        <w:t xml:space="preserve">Let us set </w:t>
      </w:r>
      <m:oMath>
        <m: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  <w:r>
        <w:t xml:space="preserve">We now plot the error of one datapoint in comparison to a log normal pdf. The following picture was attained with the parameters </w:t>
      </w:r>
      <m:oMath>
        <m:r>
          <w:rPr>
            <w:rFonts w:ascii="Cambria Math" w:hAnsi="Cambria Math"/>
          </w:rPr>
          <m:t>σ</m:t>
        </m:r>
      </m:oMath>
    </w:p>
    <w:p w14:paraId="518F3EEA" w14:textId="77777777" w:rsidR="008F1E9C" w:rsidRDefault="008F1E9C" w:rsidP="008F1E9C">
      <w:pPr>
        <w:keepNext/>
      </w:pPr>
      <w:r w:rsidRPr="008F1E9C">
        <w:rPr>
          <w:noProof/>
        </w:rPr>
        <w:lastRenderedPageBreak/>
        <w:drawing>
          <wp:inline distT="0" distB="0" distL="0" distR="0" wp14:anchorId="24A2F1F5" wp14:editId="32180AEF">
            <wp:extent cx="4093200" cy="3074400"/>
            <wp:effectExtent l="0" t="0" r="3175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200" cy="30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9F3AF" w14:textId="61AF7879" w:rsidR="008F1E9C" w:rsidRDefault="008F1E9C" w:rsidP="008F1E9C">
      <w:pPr>
        <w:pStyle w:val="Caption"/>
        <w:rPr>
          <w:rFonts w:eastAsiaTheme="minorEastAsia"/>
        </w:rPr>
      </w:pPr>
      <w:r>
        <w:t xml:space="preserve">Figure </w:t>
      </w:r>
      <w:r w:rsidR="004B22BB">
        <w:rPr>
          <w:noProof/>
        </w:rPr>
        <w:fldChar w:fldCharType="begin"/>
      </w:r>
      <w:r w:rsidR="004B22BB">
        <w:rPr>
          <w:noProof/>
        </w:rPr>
        <w:instrText xml:space="preserve"> SEQ Figure \* ARABIC </w:instrText>
      </w:r>
      <w:r w:rsidR="004B22BB">
        <w:rPr>
          <w:noProof/>
        </w:rPr>
        <w:fldChar w:fldCharType="separate"/>
      </w:r>
      <w:r>
        <w:rPr>
          <w:noProof/>
        </w:rPr>
        <w:t>2</w:t>
      </w:r>
      <w:r w:rsidR="004B22BB">
        <w:rPr>
          <w:noProof/>
        </w:rPr>
        <w:fldChar w:fldCharType="end"/>
      </w:r>
      <w:r>
        <w:t xml:space="preserve"> Comparison of the </w:t>
      </w:r>
      <w:r w:rsidR="00EA1035">
        <w:t>test error between a log normal pdf and</w:t>
      </w:r>
      <w:r w:rsidR="00EA1035">
        <w:br/>
        <w:t xml:space="preserve">a student t pdf. </w:t>
      </w:r>
      <w:r>
        <w:t xml:space="preserve">Image was attained with the parameters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ϵ</m:t>
            </m:r>
          </m:sub>
        </m:sSub>
        <m:r>
          <w:rPr>
            <w:rFonts w:ascii="Cambria Math" w:hAnsi="Cambria Math"/>
          </w:rPr>
          <m:t>=1, ν=1</m:t>
        </m:r>
      </m:oMath>
      <w:r>
        <w:rPr>
          <w:rFonts w:eastAsiaTheme="minorEastAsia"/>
        </w:rPr>
        <w:t>.</w:t>
      </w:r>
    </w:p>
    <w:p w14:paraId="23ADAB2D" w14:textId="77DF142B" w:rsidR="00EA1035" w:rsidRDefault="00EA1035" w:rsidP="00EA1035">
      <w:pPr>
        <w:rPr>
          <w:rFonts w:eastAsiaTheme="minorEastAsia"/>
        </w:rPr>
      </w:pPr>
      <w:r>
        <w:t xml:space="preserve">For small errors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b"/>
          </m:rP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≈t</m:t>
        </m:r>
      </m:oMath>
      <w:r>
        <w:rPr>
          <w:rFonts w:eastAsiaTheme="minorEastAsia"/>
        </w:rPr>
        <w:t xml:space="preserve">, the student t distribution appears to be less forgiving, as </w:t>
      </w:r>
      <w:r w:rsidR="00B77F78">
        <w:rPr>
          <w:rFonts w:eastAsiaTheme="minorEastAsia"/>
        </w:rPr>
        <w:t>less density is concentrated around small errors (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Stud_t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;1,d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;d,1</m:t>
                </m:r>
              </m:e>
            </m:d>
          </m:e>
        </m:func>
      </m:oMath>
      <w:r w:rsidR="00B77F78">
        <w:rPr>
          <w:rFonts w:eastAsiaTheme="minorEastAsia"/>
        </w:rPr>
        <w:t xml:space="preserve">). Larger errors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≫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77F78">
        <w:rPr>
          <w:rFonts w:eastAsiaTheme="minorEastAsia"/>
        </w:rPr>
        <w:t xml:space="preserve"> are less penalized however, as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;d,1</m:t>
                </m:r>
              </m:e>
            </m:d>
          </m:e>
        </m:func>
        <m:r>
          <w:rPr>
            <w:rFonts w:ascii="Cambria Math" w:eastAsiaTheme="minorEastAsia" w:hAnsi="Cambria Math"/>
          </w:rPr>
          <m:t>&lt;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Stud_t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;1,d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</m:func>
      </m:oMath>
      <w:r w:rsidR="00B77F78">
        <w:rPr>
          <w:rFonts w:eastAsiaTheme="minorEastAsia"/>
        </w:rPr>
        <w:t>.</w:t>
      </w:r>
    </w:p>
    <w:p w14:paraId="4415A1F8" w14:textId="4A72AB4F" w:rsidR="00B77F78" w:rsidRPr="00194161" w:rsidRDefault="00B77F78" w:rsidP="00EA1035">
      <w:pPr>
        <w:rPr>
          <w:rFonts w:eastAsiaTheme="minorEastAsia"/>
        </w:rPr>
      </w:pPr>
      <w:r>
        <w:t xml:space="preserve">Generally speaking, this means if we try to maximize our weights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t xml:space="preserve"> with respect to </w:t>
      </w:r>
      <m:oMath>
        <m:r>
          <w:rPr>
            <w:rFonts w:ascii="Cambria Math" w:hAnsi="Cambria Math"/>
          </w:rPr>
          <m:t>e~N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eastAsiaTheme="minorEastAsia"/>
        </w:rPr>
        <w:t xml:space="preserve">, then our fit is trying to mitigate large errors while being </w:t>
      </w:r>
      <w:r w:rsidR="00194161">
        <w:rPr>
          <w:rFonts w:eastAsiaTheme="minorEastAsia"/>
        </w:rPr>
        <w:t xml:space="preserve">mostly </w:t>
      </w:r>
      <w:r>
        <w:rPr>
          <w:rFonts w:eastAsiaTheme="minorEastAsia"/>
        </w:rPr>
        <w:t>indifferent to smaller ones.</w:t>
      </w:r>
      <w:r>
        <w:rPr>
          <w:rFonts w:eastAsiaTheme="minorEastAsia"/>
        </w:rPr>
        <w:br/>
        <w:t xml:space="preserve">If we maximize </w:t>
      </w:r>
      <m:oMath>
        <m:r>
          <m:rPr>
            <m:sty m:val="b"/>
          </m:rPr>
          <w:rPr>
            <w:rFonts w:ascii="Cambria Math" w:hAnsi="Cambria Math"/>
          </w:rPr>
          <m:t>w</m:t>
        </m:r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with respect to </w:t>
      </w:r>
      <m:oMath>
        <m:r>
          <w:rPr>
            <w:rFonts w:ascii="Cambria Math" w:hAnsi="Cambria Math"/>
          </w:rPr>
          <m:t>t~Stud_t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t;ν,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</w:rPr>
              <m:t>x,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ϵ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194161">
        <w:rPr>
          <w:rFonts w:eastAsiaTheme="minorEastAsia"/>
        </w:rPr>
        <w:t>, we get a more balanced fit, we small deviations are considered.</w:t>
      </w:r>
    </w:p>
    <w:sectPr w:rsidR="00B77F78" w:rsidRPr="0019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9"/>
    <w:rsid w:val="000152A5"/>
    <w:rsid w:val="00065FA8"/>
    <w:rsid w:val="0008110D"/>
    <w:rsid w:val="00082331"/>
    <w:rsid w:val="000C5E1D"/>
    <w:rsid w:val="00117350"/>
    <w:rsid w:val="00187F2A"/>
    <w:rsid w:val="00194161"/>
    <w:rsid w:val="001D03AB"/>
    <w:rsid w:val="001D3693"/>
    <w:rsid w:val="001E01AD"/>
    <w:rsid w:val="001F4FFA"/>
    <w:rsid w:val="00217ED0"/>
    <w:rsid w:val="00222237"/>
    <w:rsid w:val="00223133"/>
    <w:rsid w:val="0023578B"/>
    <w:rsid w:val="0027214E"/>
    <w:rsid w:val="0027739A"/>
    <w:rsid w:val="0028353C"/>
    <w:rsid w:val="00284F83"/>
    <w:rsid w:val="002A3554"/>
    <w:rsid w:val="002B23FD"/>
    <w:rsid w:val="002C78F6"/>
    <w:rsid w:val="002D0BBB"/>
    <w:rsid w:val="002E19DD"/>
    <w:rsid w:val="002F254B"/>
    <w:rsid w:val="003360F0"/>
    <w:rsid w:val="0033751D"/>
    <w:rsid w:val="003C18D4"/>
    <w:rsid w:val="003D4216"/>
    <w:rsid w:val="00402A57"/>
    <w:rsid w:val="004053A6"/>
    <w:rsid w:val="00420C9C"/>
    <w:rsid w:val="0045077E"/>
    <w:rsid w:val="00494EF1"/>
    <w:rsid w:val="004B22BB"/>
    <w:rsid w:val="004B326E"/>
    <w:rsid w:val="004D0E1C"/>
    <w:rsid w:val="004E208A"/>
    <w:rsid w:val="00513D60"/>
    <w:rsid w:val="0055559E"/>
    <w:rsid w:val="00582CED"/>
    <w:rsid w:val="005B09DF"/>
    <w:rsid w:val="005F3120"/>
    <w:rsid w:val="00636FF5"/>
    <w:rsid w:val="006372C9"/>
    <w:rsid w:val="00664FD9"/>
    <w:rsid w:val="00694638"/>
    <w:rsid w:val="006A0BC8"/>
    <w:rsid w:val="006A1C0A"/>
    <w:rsid w:val="006E137F"/>
    <w:rsid w:val="006E4B12"/>
    <w:rsid w:val="007033B8"/>
    <w:rsid w:val="00714EB9"/>
    <w:rsid w:val="007216E5"/>
    <w:rsid w:val="007268F8"/>
    <w:rsid w:val="00731E96"/>
    <w:rsid w:val="00741C8D"/>
    <w:rsid w:val="00745F11"/>
    <w:rsid w:val="00747597"/>
    <w:rsid w:val="0077339E"/>
    <w:rsid w:val="00793833"/>
    <w:rsid w:val="007A4AA2"/>
    <w:rsid w:val="007B4D79"/>
    <w:rsid w:val="007C5FD3"/>
    <w:rsid w:val="008059EC"/>
    <w:rsid w:val="0082256C"/>
    <w:rsid w:val="008260FE"/>
    <w:rsid w:val="00846F5E"/>
    <w:rsid w:val="00851CA6"/>
    <w:rsid w:val="00882341"/>
    <w:rsid w:val="00882401"/>
    <w:rsid w:val="00885F6E"/>
    <w:rsid w:val="008A5945"/>
    <w:rsid w:val="008F1E9C"/>
    <w:rsid w:val="008F440F"/>
    <w:rsid w:val="008F6709"/>
    <w:rsid w:val="009377D8"/>
    <w:rsid w:val="0096624B"/>
    <w:rsid w:val="009B3BE2"/>
    <w:rsid w:val="009E6067"/>
    <w:rsid w:val="009F5ABA"/>
    <w:rsid w:val="00A21779"/>
    <w:rsid w:val="00A2653B"/>
    <w:rsid w:val="00A544C9"/>
    <w:rsid w:val="00AB466C"/>
    <w:rsid w:val="00AE060B"/>
    <w:rsid w:val="00B77F78"/>
    <w:rsid w:val="00B941F3"/>
    <w:rsid w:val="00BB1D4A"/>
    <w:rsid w:val="00C035AE"/>
    <w:rsid w:val="00C311A9"/>
    <w:rsid w:val="00C43C14"/>
    <w:rsid w:val="00C84C7E"/>
    <w:rsid w:val="00C90DCD"/>
    <w:rsid w:val="00C97197"/>
    <w:rsid w:val="00CB203D"/>
    <w:rsid w:val="00CB716B"/>
    <w:rsid w:val="00CD12B9"/>
    <w:rsid w:val="00CF62FF"/>
    <w:rsid w:val="00D01022"/>
    <w:rsid w:val="00D37372"/>
    <w:rsid w:val="00D4211B"/>
    <w:rsid w:val="00DA2388"/>
    <w:rsid w:val="00DB64D7"/>
    <w:rsid w:val="00DC5666"/>
    <w:rsid w:val="00DD046E"/>
    <w:rsid w:val="00DE266D"/>
    <w:rsid w:val="00E168D5"/>
    <w:rsid w:val="00E56E25"/>
    <w:rsid w:val="00E76D22"/>
    <w:rsid w:val="00EA1035"/>
    <w:rsid w:val="00EB658A"/>
    <w:rsid w:val="00ED6A89"/>
    <w:rsid w:val="00EE12B9"/>
    <w:rsid w:val="00EE7ECD"/>
    <w:rsid w:val="00F02BCC"/>
    <w:rsid w:val="00F15F09"/>
    <w:rsid w:val="00F270DE"/>
    <w:rsid w:val="00F32D24"/>
    <w:rsid w:val="00F44C71"/>
    <w:rsid w:val="00F5222B"/>
    <w:rsid w:val="00F646E0"/>
    <w:rsid w:val="00F6480E"/>
    <w:rsid w:val="00F83681"/>
    <w:rsid w:val="00F9746F"/>
    <w:rsid w:val="00FB364A"/>
    <w:rsid w:val="00FC4604"/>
    <w:rsid w:val="00FE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40CBA"/>
  <w15:chartTrackingRefBased/>
  <w15:docId w15:val="{9AFAAA68-0757-42F8-B5F7-6F77F8885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12B9"/>
  </w:style>
  <w:style w:type="paragraph" w:styleId="Heading1">
    <w:name w:val="heading 1"/>
    <w:next w:val="Normal"/>
    <w:link w:val="Heading1Char"/>
    <w:uiPriority w:val="9"/>
    <w:qFormat/>
    <w:rsid w:val="00EE1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pacing w:val="4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B9"/>
    <w:rPr>
      <w:rFonts w:asciiTheme="majorHAnsi" w:eastAsiaTheme="majorEastAsia" w:hAnsiTheme="majorHAnsi" w:cstheme="majorBidi"/>
      <w:b/>
      <w:spacing w:val="40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12B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2B9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E12B9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EE1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E12B9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69463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Scheidemann</dc:creator>
  <cp:keywords/>
  <dc:description/>
  <cp:lastModifiedBy>Tristan Scheidemann</cp:lastModifiedBy>
  <cp:revision>23</cp:revision>
  <dcterms:created xsi:type="dcterms:W3CDTF">2018-12-01T14:08:00Z</dcterms:created>
  <dcterms:modified xsi:type="dcterms:W3CDTF">2018-12-03T16:58:00Z</dcterms:modified>
</cp:coreProperties>
</file>