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sz w:val="24"/>
          <w:szCs w:val="24"/>
        </w:rPr>
      </w:pPr>
      <w:r>
        <w:rPr>
          <w:rFonts w:cs="Times New Roman" w:ascii="Times New Roman" w:hAnsi="Times New Roman"/>
          <w:sz w:val="24"/>
          <w:szCs w:val="24"/>
        </w:rPr>
        <w:t>Materials and Methods</w:t>
      </w:r>
    </w:p>
    <w:p>
      <w:pPr>
        <w:pStyle w:val="Heading3"/>
        <w:spacing w:lineRule="auto" w:line="360"/>
        <w:rPr>
          <w:sz w:val="24"/>
          <w:szCs w:val="24"/>
        </w:rPr>
      </w:pPr>
      <w:bookmarkStart w:id="0" w:name="materials-and-methods"/>
      <w:r>
        <w:rPr>
          <w:rFonts w:cs="Times New Roman" w:ascii="Times New Roman" w:hAnsi="Times New Roman"/>
          <w:sz w:val="24"/>
          <w:szCs w:val="24"/>
        </w:rPr>
        <w:t>Materials and Methods</w:t>
      </w:r>
    </w:p>
    <w:p>
      <w:pPr>
        <w:pStyle w:val="Heading4"/>
        <w:spacing w:lineRule="auto" w:line="360"/>
        <w:rPr>
          <w:sz w:val="24"/>
          <w:szCs w:val="24"/>
        </w:rPr>
      </w:pPr>
      <w:bookmarkStart w:id="1" w:name="materials"/>
      <w:r>
        <w:rPr>
          <w:rFonts w:cs="Times New Roman" w:ascii="Times New Roman" w:hAnsi="Times New Roman"/>
          <w:sz w:val="24"/>
          <w:szCs w:val="24"/>
        </w:rPr>
        <w:t>3.1. Materials</w:t>
      </w:r>
    </w:p>
    <w:p>
      <w:pPr>
        <w:pStyle w:val="FirstParagraph"/>
        <w:spacing w:lineRule="auto" w:line="360"/>
        <w:rPr>
          <w:sz w:val="24"/>
          <w:szCs w:val="24"/>
        </w:rPr>
      </w:pPr>
      <w:r>
        <w:rPr>
          <w:rFonts w:cs="Times New Roman" w:ascii="Times New Roman" w:hAnsi="Times New Roman"/>
          <w:sz w:val="24"/>
          <w:szCs w:val="24"/>
        </w:rPr>
        <w:t>Data for the seven metrics was accumulated from various open-source databases as listed in Table.1. (Appendix).</w:t>
      </w:r>
    </w:p>
    <w:p>
      <w:pPr>
        <w:pStyle w:val="Heading5"/>
        <w:spacing w:lineRule="auto" w:line="360"/>
        <w:rPr>
          <w:sz w:val="24"/>
          <w:szCs w:val="24"/>
        </w:rPr>
      </w:pPr>
      <w:bookmarkStart w:id="2" w:name="food-nutrient-adequacy"/>
      <w:r>
        <w:rPr>
          <w:rFonts w:cs="Times New Roman" w:ascii="Times New Roman" w:hAnsi="Times New Roman"/>
          <w:sz w:val="24"/>
          <w:szCs w:val="24"/>
        </w:rPr>
        <w:t>3.1.1. Food Nutrient Adequacy</w:t>
      </w:r>
    </w:p>
    <w:p>
      <w:pPr>
        <w:pStyle w:val="Heading6"/>
        <w:spacing w:lineRule="auto" w:line="360"/>
        <w:rPr>
          <w:sz w:val="24"/>
          <w:szCs w:val="24"/>
        </w:rPr>
      </w:pPr>
      <w:bookmarkStart w:id="3" w:name="non-staple-food-energy"/>
      <w:bookmarkEnd w:id="3"/>
      <w:r>
        <w:rPr>
          <w:rFonts w:cs="Times New Roman" w:ascii="Times New Roman" w:hAnsi="Times New Roman"/>
          <w:sz w:val="24"/>
          <w:szCs w:val="24"/>
        </w:rPr>
        <w:t>Non-Staple Food Energy</w:t>
      </w:r>
    </w:p>
    <w:p>
      <w:pPr>
        <w:pStyle w:val="FirstParagraph"/>
        <w:spacing w:lineRule="auto" w:line="360"/>
        <w:jc w:val="both"/>
        <w:rPr/>
      </w:pPr>
      <w:r>
        <w:rPr>
          <w:rFonts w:cs="Times New Roman" w:ascii="Times New Roman" w:hAnsi="Times New Roman"/>
          <w:sz w:val="24"/>
          <w:szCs w:val="24"/>
        </w:rPr>
        <w:t xml:space="preserve">The data for this indicator was taken from </w:t>
      </w:r>
      <w:r>
        <w:fldChar w:fldCharType="begin"/>
      </w:r>
      <w:r>
        <w:rPr>
          <w:rStyle w:val="InternetLink"/>
          <w:sz w:val="24"/>
          <w:szCs w:val="24"/>
          <w:rFonts w:cs="Times New Roman" w:ascii="Times New Roman" w:hAnsi="Times New Roman"/>
        </w:rPr>
        <w:instrText xml:space="preserve"> HYPERLINK "https://www.fao.org/faostat/en/" \l "data/FBS"</w:instrText>
      </w:r>
      <w:r>
        <w:rPr>
          <w:rStyle w:val="InternetLink"/>
          <w:sz w:val="24"/>
          <w:szCs w:val="24"/>
          <w:rFonts w:cs="Times New Roman" w:ascii="Times New Roman" w:hAnsi="Times New Roman"/>
        </w:rPr>
        <w:fldChar w:fldCharType="separate"/>
      </w:r>
      <w:r>
        <w:rPr>
          <w:rStyle w:val="InternetLink"/>
          <w:rFonts w:cs="Times New Roman" w:ascii="Times New Roman" w:hAnsi="Times New Roman"/>
          <w:sz w:val="24"/>
          <w:szCs w:val="24"/>
        </w:rPr>
        <w:t>FAO’s food balance sheets</w:t>
      </w:r>
      <w:r>
        <w:rPr>
          <w:rStyle w:val="InternetLink"/>
          <w:sz w:val="24"/>
          <w:szCs w:val="24"/>
          <w:rFonts w:cs="Times New Roman" w:ascii="Times New Roman" w:hAnsi="Times New Roman"/>
        </w:rPr>
        <w:fldChar w:fldCharType="end"/>
      </w:r>
      <w:r>
        <w:rPr>
          <w:rFonts w:cs="Times New Roman" w:ascii="Times New Roman" w:hAnsi="Times New Roman"/>
          <w:sz w:val="24"/>
          <w:szCs w:val="24"/>
        </w:rPr>
        <w:t xml:space="preserve">. It contained the per capita daily energy intake from 98 types of foods in 186 countries globally. Preliminary examination of the data showed a small to moderate amount of missing data for each item (0 - 20%, refer Fig. 1.).  Due to the data being Missing Completely At Random (MCAR), a relatively small amount of missing values for most food items, and the fact that each country had at least one item with missing data, a replacement of 0 for each missing value was done. The resulting dataset was aggregated such that each of the 98 food-item’s daily calory intake was aggregated into one of the following major food types; </w:t>
      </w:r>
      <w:r>
        <w:rPr>
          <w:rFonts w:cs="Times New Roman" w:ascii="Times New Roman" w:hAnsi="Times New Roman"/>
          <w:i/>
          <w:iCs/>
          <w:sz w:val="24"/>
          <w:szCs w:val="24"/>
        </w:rPr>
        <w:t>1.) Cereals, 2. Roots and Tubers, 3. Meat and Milk products and eggs, 4. Fruits and Plantains, 5.) Vegetables, 6.) Seeds and Nuts and Oil, 7.) Starches and Sugars, and 8.) Infant Foods</w:t>
      </w:r>
      <w:r>
        <w:rPr>
          <w:rFonts w:cs="Times New Roman" w:ascii="Times New Roman" w:hAnsi="Times New Roman"/>
          <w:sz w:val="24"/>
          <w:szCs w:val="24"/>
        </w:rPr>
        <w:t xml:space="preserve"> (Dimensions of Need - Staple Foods: What Do People Eat? n.d.) and (Gustafson et al., 2016). The resulting dataset had values from </w:t>
      </w:r>
      <w:r>
        <w:rPr>
          <w:rFonts w:cs="Times New Roman" w:ascii="Times New Roman" w:hAnsi="Times New Roman"/>
          <w:i/>
          <w:iCs/>
          <w:sz w:val="24"/>
          <w:szCs w:val="24"/>
        </w:rPr>
        <w:t>46</w:t>
      </w:r>
      <w:r>
        <w:rPr>
          <w:rFonts w:cs="Times New Roman" w:ascii="Times New Roman" w:hAnsi="Times New Roman"/>
          <w:sz w:val="24"/>
          <w:szCs w:val="24"/>
        </w:rPr>
        <w:t xml:space="preserve"> high income countries, </w:t>
      </w:r>
      <w:r>
        <w:rPr>
          <w:rFonts w:cs="Times New Roman" w:ascii="Times New Roman" w:hAnsi="Times New Roman"/>
          <w:i/>
          <w:iCs/>
          <w:sz w:val="24"/>
          <w:szCs w:val="24"/>
        </w:rPr>
        <w:t>45</w:t>
      </w:r>
      <w:r>
        <w:rPr>
          <w:rFonts w:cs="Times New Roman" w:ascii="Times New Roman" w:hAnsi="Times New Roman"/>
          <w:sz w:val="24"/>
          <w:szCs w:val="24"/>
        </w:rPr>
        <w:t xml:space="preserve"> upper middle income, </w:t>
      </w:r>
      <w:r>
        <w:rPr>
          <w:rFonts w:cs="Times New Roman" w:ascii="Times New Roman" w:hAnsi="Times New Roman"/>
          <w:i/>
          <w:iCs/>
          <w:sz w:val="24"/>
          <w:szCs w:val="24"/>
        </w:rPr>
        <w:t>44</w:t>
      </w:r>
      <w:r>
        <w:rPr>
          <w:rFonts w:cs="Times New Roman" w:ascii="Times New Roman" w:hAnsi="Times New Roman"/>
          <w:sz w:val="24"/>
          <w:szCs w:val="24"/>
        </w:rPr>
        <w:t xml:space="preserve"> lower middle income,  and </w:t>
      </w:r>
      <w:r>
        <w:rPr>
          <w:rFonts w:cs="Times New Roman" w:ascii="Times New Roman" w:hAnsi="Times New Roman"/>
          <w:i/>
          <w:iCs/>
          <w:sz w:val="24"/>
          <w:szCs w:val="24"/>
        </w:rPr>
        <w:t>21</w:t>
      </w:r>
      <w:r>
        <w:rPr>
          <w:rFonts w:cs="Times New Roman" w:ascii="Times New Roman" w:hAnsi="Times New Roman"/>
          <w:sz w:val="24"/>
          <w:szCs w:val="24"/>
        </w:rPr>
        <w:t xml:space="preserve"> low income (Appendix, Table. 2.). Further exploration of the dataset revealed extreme values among different food groups in different income groups. To maintain a robust sample size, median was selected as the measure of central tendency to measure the contribution of each food group in daily kilo calory intake from each income group (also used in </w:t>
      </w:r>
      <w:bookmarkStart w:id="4" w:name="ZOTERO_BREF_ui9AqGCcieVa"/>
      <w:r>
        <w:rPr>
          <w:rFonts w:cs="Times New Roman" w:ascii="Times New Roman" w:hAnsi="Times New Roman"/>
          <w:sz w:val="24"/>
          <w:szCs w:val="24"/>
        </w:rPr>
        <w:t>(Chaudhary et al., 2018)</w:t>
      </w:r>
      <w:bookmarkEnd w:id="4"/>
      <w:r>
        <w:rPr>
          <w:rFonts w:cs="Times New Roman" w:ascii="Times New Roman" w:hAnsi="Times New Roman"/>
          <w:sz w:val="24"/>
          <w:szCs w:val="24"/>
        </w:rPr>
        <w:t xml:space="preserve">). The median values, after being processed into percentage values, were filtered to include food groups whose median daily calorie intake represented anything less than 15 percent of total median calorie intake from the particular income group. It was selected so, bearing in mind the insights derived from the dataset itself and official definitions of staple foods as defined by </w:t>
      </w:r>
      <w:bookmarkStart w:id="5" w:name="ZOTERO_BREF_xGrqeNofG0hL"/>
      <w:r>
        <w:rPr>
          <w:rFonts w:cs="Times New Roman" w:ascii="Times New Roman" w:hAnsi="Times New Roman"/>
          <w:b w:val="false"/>
          <w:i w:val="false"/>
          <w:caps w:val="false"/>
          <w:smallCaps w:val="false"/>
          <w:position w:val="0"/>
          <w:sz w:val="24"/>
          <w:sz w:val="24"/>
          <w:szCs w:val="24"/>
          <w:u w:val="dash"/>
          <w:vertAlign w:val="baseline"/>
        </w:rPr>
        <w:t>(M</w:t>
      </w:r>
      <w:r>
        <w:rPr>
          <w:b w:val="false"/>
          <w:i w:val="false"/>
          <w:caps w:val="false"/>
          <w:smallCaps w:val="false"/>
          <w:position w:val="0"/>
          <w:sz w:val="24"/>
          <w:sz w:val="24"/>
          <w:u w:val="dash"/>
          <w:vertAlign w:val="baseline"/>
        </w:rPr>
        <w:t>äkelä &amp; Rautavirta, 2018)</w:t>
      </w:r>
      <w:bookmarkEnd w:id="5"/>
      <w:r>
        <w:rPr>
          <w:rFonts w:cs="Times New Roman" w:ascii="Times New Roman" w:hAnsi="Times New Roman"/>
          <w:sz w:val="24"/>
          <w:szCs w:val="24"/>
        </w:rPr>
        <w:t xml:space="preserve"> and </w:t>
      </w:r>
      <w:bookmarkStart w:id="6" w:name="ZOTERO_BREF_MnID9ldSt4k1"/>
      <w:r>
        <w:rPr>
          <w:rFonts w:cs="Times New Roman" w:ascii="Times New Roman" w:hAnsi="Times New Roman"/>
          <w:b w:val="false"/>
          <w:i w:val="false"/>
          <w:caps w:val="false"/>
          <w:smallCaps w:val="false"/>
          <w:position w:val="0"/>
          <w:sz w:val="24"/>
          <w:sz w:val="24"/>
          <w:szCs w:val="24"/>
          <w:u w:val="dash"/>
          <w:vertAlign w:val="baseline"/>
        </w:rPr>
        <w:t>(FAO, n.d.)</w:t>
      </w:r>
      <w:bookmarkEnd w:id="6"/>
      <w:r>
        <w:rPr>
          <w:rFonts w:cs="Times New Roman" w:ascii="Times New Roman" w:hAnsi="Times New Roman"/>
          <w:sz w:val="24"/>
          <w:szCs w:val="24"/>
        </w:rPr>
        <w:t>. The results are presented in Table 3., where the daily median calorie intakes from each of the 8 major food groups are presented, together with the classification of whether the food group is a staple for that particular income group or not.</w:t>
      </w:r>
    </w:p>
    <w:p>
      <w:pPr>
        <w:pStyle w:val="CaptionedFigure"/>
        <w:jc w:val="center"/>
        <w:rPr>
          <w:sz w:val="24"/>
          <w:szCs w:val="24"/>
        </w:rPr>
      </w:pPr>
      <w:r>
        <w:rPr>
          <w:rFonts w:cs="Calibri" w:ascii="Calibri" w:hAnsi="Calibri" w:asciiTheme="majorHAnsi" w:cstheme="majorHAnsi" w:hAnsiTheme="majorHAnsi"/>
          <w:b/>
          <w:bCs/>
          <w:sz w:val="24"/>
          <w:szCs w:val="24"/>
        </w:rPr>
        <w:t>Percent of Median Daily Kilo Calorie Intake by Income group: Staple Foods vs Non-Staple Foods</w:t>
      </w:r>
    </w:p>
    <w:tbl>
      <w:tblPr>
        <w:tblStyle w:val="PlainTable2"/>
        <w:tblW w:w="936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5"/>
        <w:gridCol w:w="2680"/>
        <w:gridCol w:w="992"/>
        <w:gridCol w:w="2978"/>
        <w:gridCol w:w="1084"/>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163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Income group</w:t>
            </w:r>
          </w:p>
        </w:tc>
        <w:tc>
          <w:tcPr>
            <w:tcW w:w="2680"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Staple Foods</w:t>
            </w:r>
          </w:p>
        </w:tc>
        <w:tc>
          <w:tcPr>
            <w:tcW w:w="992"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Percent</w:t>
            </w:r>
          </w:p>
        </w:tc>
        <w:tc>
          <w:tcPr>
            <w:tcW w:w="2978"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Non-Staple Foods</w:t>
            </w:r>
          </w:p>
        </w:tc>
        <w:tc>
          <w:tcPr>
            <w:tcW w:w="1084" w:type="dxa"/>
            <w:tcBorders/>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b/>
                <w:b/>
                <w:bCs/>
                <w:kern w:val="0"/>
                <w:sz w:val="24"/>
                <w:szCs w:val="24"/>
                <w:lang w:val="en-US" w:eastAsia="en-US" w:bidi="ar-SA"/>
              </w:rPr>
            </w:pPr>
            <w:r>
              <w:rPr>
                <w:rFonts w:eastAsia="Times New Roman" w:cs="Calibri" w:ascii="Calibri" w:hAnsi="Calibri"/>
                <w:b/>
                <w:bCs/>
                <w:color w:val="000000"/>
                <w:kern w:val="0"/>
                <w:sz w:val="24"/>
                <w:szCs w:val="24"/>
                <w:lang w:val="en-US" w:eastAsia="en-US" w:bidi="ar-SA"/>
              </w:rPr>
              <w:t>Percent</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Low Income</w:t>
            </w:r>
          </w:p>
        </w:tc>
        <w:tc>
          <w:tcPr>
            <w:tcW w:w="2680"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54.6%</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13.2%</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6.8%</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 &amp; Sugars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4.3%</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3.5%</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w:t>
            </w:r>
          </w:p>
        </w:tc>
      </w:tr>
      <w:tr>
        <w:trPr>
          <w:trHeight w:val="300" w:hRule="atLeast"/>
        </w:trPr>
        <w:tc>
          <w:tcPr>
            <w:tcW w:w="1635"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Lower Middle Income</w:t>
            </w:r>
          </w:p>
        </w:tc>
        <w:tc>
          <w:tcPr>
            <w:tcW w:w="2680"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52.1%</w:t>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12.9%</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12.2%</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8.6%</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5.7%</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4.7%</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3.7%</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restart"/>
            <w:cnfStyle w:val="001000000000" w:firstRow="0" w:lastRow="0" w:firstColumn="1" w:lastColumn="0" w:oddVBand="0" w:evenVBand="0" w:oddHBand="0" w:evenHBand="0" w:firstRowFirstColumn="0" w:firstRowLastColumn="0" w:lastRowFirstColumn="0" w:lastRowLastColumn="0"/>
            <w:tcBorders>
              <w:bottom w:val="nil"/>
            </w:tcBorders>
            <w:vAlign w:val="center"/>
          </w:tcPr>
          <w:p>
            <w:pPr>
              <w:pStyle w:val="Normal"/>
              <w:widowControl w:val="false"/>
              <w:suppressAutoHyphens w:val="true"/>
              <w:spacing w:before="0" w:after="0"/>
              <w:jc w:val="center"/>
              <w:rPr>
                <w:b w:val="false"/>
                <w:b w:val="false"/>
                <w:bCs w:val="false"/>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Upper Middle Income</w:t>
            </w:r>
          </w:p>
        </w:tc>
        <w:tc>
          <w:tcPr>
            <w:tcW w:w="2680"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40.6%</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13.9%</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12.2%</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5%</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992"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20.7%</w:t>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4.3%</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3.3%</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restart"/>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kern w:val="0"/>
                <w:sz w:val="24"/>
                <w:szCs w:val="24"/>
                <w:lang w:val="en-US" w:eastAsia="en-US" w:bidi="ar-SA"/>
              </w:rPr>
            </w:pPr>
            <w:r>
              <w:rPr>
                <w:rFonts w:eastAsia="Times New Roman" w:cs="Calibri" w:ascii="Calibri" w:hAnsi="Calibri"/>
                <w:b w:val="false"/>
                <w:bCs w:val="false"/>
                <w:color w:val="000000"/>
                <w:kern w:val="0"/>
                <w:sz w:val="24"/>
                <w:szCs w:val="24"/>
                <w:lang w:val="en-US" w:eastAsia="en-US" w:bidi="ar-SA"/>
              </w:rPr>
              <w:t>High Income</w:t>
            </w:r>
          </w:p>
        </w:tc>
        <w:tc>
          <w:tcPr>
            <w:tcW w:w="2680"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Cereals</w:t>
            </w:r>
          </w:p>
        </w:tc>
        <w:tc>
          <w:tcPr>
            <w:tcW w:w="992" w:type="dxa"/>
            <w:vMerge w:val="restart"/>
            <w:tcBorders>
              <w:bottom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31.9%</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Starches &amp; Sugars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11.5%</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Fruits &amp; Plantains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4.1%</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Meat, Milk and products &amp; Eggs</w:t>
            </w:r>
          </w:p>
        </w:tc>
        <w:tc>
          <w:tcPr>
            <w:tcW w:w="992"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30.3%</w:t>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Vegetables</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3.9%</w:t>
            </w:r>
          </w:p>
        </w:tc>
      </w:tr>
      <w:tr>
        <w:trPr>
          <w:trHeight w:val="300" w:hRule="atLeast"/>
        </w:trPr>
        <w:tc>
          <w:tcPr>
            <w:tcW w:w="1635"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restart"/>
            <w:tcBorders>
              <w:top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Seeds, Nuts, and Oils</w:t>
            </w:r>
          </w:p>
        </w:tc>
        <w:tc>
          <w:tcPr>
            <w:tcW w:w="992" w:type="dxa"/>
            <w:vMerge w:val="restart"/>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15.4%</w:t>
            </w:r>
          </w:p>
        </w:tc>
        <w:tc>
          <w:tcPr>
            <w:tcW w:w="2978"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Roots &amp; Tubers</w:t>
            </w:r>
          </w:p>
        </w:tc>
        <w:tc>
          <w:tcPr>
            <w:tcW w:w="1084" w:type="dxa"/>
            <w:tcBorders>
              <w:top w:val="nil"/>
              <w:bottom w:val="nil"/>
            </w:tcBorders>
            <w:vAlign w:val="cente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2.8%</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1635" w:type="dxa"/>
            <w:vMerge w:val="continue"/>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jc w:val="center"/>
              <w:rPr>
                <w:rFonts w:ascii="Calibri" w:hAnsi="Calibri" w:eastAsia="Times New Roman" w:cs="Calibri"/>
                <w:b/>
                <w:b/>
                <w:bCs/>
                <w:color w:val="000000"/>
                <w:kern w:val="0"/>
                <w:sz w:val="24"/>
                <w:szCs w:val="24"/>
                <w:lang w:val="en-US" w:eastAsia="en-US" w:bidi="ar-SA"/>
              </w:rPr>
            </w:pPr>
            <w:r>
              <w:rPr>
                <w:rFonts w:eastAsia="Times New Roman" w:cs="Calibri" w:ascii="Calibri" w:hAnsi="Calibri"/>
                <w:b/>
                <w:bCs/>
                <w:color w:val="000000"/>
                <w:kern w:val="0"/>
                <w:sz w:val="24"/>
                <w:szCs w:val="24"/>
                <w:lang w:val="en-US" w:eastAsia="en-US" w:bidi="ar-SA"/>
              </w:rPr>
            </w:r>
          </w:p>
        </w:tc>
        <w:tc>
          <w:tcPr>
            <w:tcW w:w="2680" w:type="dxa"/>
            <w:vMerge w:val="continue"/>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992" w:type="dxa"/>
            <w:vMerge w:val="continue"/>
            <w:tcBorders>
              <w:top w:val="nil"/>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 w:val="24"/>
                <w:szCs w:val="24"/>
                <w:lang w:val="en-US" w:eastAsia="en-US" w:bidi="ar-SA"/>
              </w:rPr>
            </w:pPr>
            <w:r>
              <w:rPr>
                <w:rFonts w:eastAsia="Times New Roman" w:cs="Calibri" w:ascii="Calibri" w:hAnsi="Calibri"/>
                <w:color w:val="000000"/>
                <w:kern w:val="0"/>
                <w:sz w:val="24"/>
                <w:szCs w:val="24"/>
                <w:lang w:val="en-US" w:eastAsia="en-US" w:bidi="ar-SA"/>
              </w:rPr>
            </w:r>
          </w:p>
        </w:tc>
        <w:tc>
          <w:tcPr>
            <w:tcW w:w="2978"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Infant Food</w:t>
            </w:r>
          </w:p>
        </w:tc>
        <w:tc>
          <w:tcPr>
            <w:tcW w:w="1084" w:type="dxa"/>
            <w:tcBorders/>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kern w:val="0"/>
                <w:sz w:val="24"/>
                <w:szCs w:val="24"/>
                <w:lang w:val="en-US" w:eastAsia="en-US" w:bidi="ar-SA"/>
              </w:rPr>
            </w:pPr>
            <w:r>
              <w:rPr>
                <w:rFonts w:eastAsia="Times New Roman" w:cs="Calibri" w:ascii="Calibri" w:hAnsi="Calibri"/>
                <w:color w:val="000000"/>
                <w:kern w:val="0"/>
                <w:sz w:val="24"/>
                <w:szCs w:val="24"/>
                <w:lang w:val="en-US" w:eastAsia="en-US" w:bidi="ar-SA"/>
              </w:rPr>
              <w:t>0.1%</w:t>
            </w:r>
          </w:p>
        </w:tc>
      </w:tr>
    </w:tbl>
    <w:p>
      <w:pPr>
        <w:pStyle w:val="CaptionedFigure"/>
        <w:rPr>
          <w:rFonts w:ascii="Times New Roman" w:hAnsi="Times New Roman" w:cs="Times New Roman"/>
          <w:sz w:val="24"/>
          <w:szCs w:val="24"/>
        </w:rPr>
      </w:pPr>
      <w:r>
        <w:rPr>
          <w:rFonts w:cs="Times New Roman" w:ascii="Times New Roman" w:hAnsi="Times New Roman"/>
          <w:sz w:val="24"/>
          <w:szCs w:val="24"/>
        </w:rPr>
      </w:r>
    </w:p>
    <w:p>
      <w:pPr>
        <w:pStyle w:val="TextBody"/>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Times New Roman" w:eastAsiaTheme="majorEastAsia"/>
          <w:color w:val="4F81BD" w:themeColor="accent1"/>
          <w:sz w:val="24"/>
          <w:szCs w:val="24"/>
        </w:rPr>
      </w:pPr>
      <w:r>
        <w:rPr>
          <w:rFonts w:eastAsia="" w:cs="Times New Roman" w:eastAsiaTheme="majorEastAsia" w:ascii="Times New Roman" w:hAnsi="Times New Roman"/>
          <w:color w:val="4F81BD" w:themeColor="accent1"/>
          <w:sz w:val="24"/>
          <w:szCs w:val="24"/>
        </w:rPr>
      </w:r>
      <w:bookmarkStart w:id="7" w:name="shannon-diversity"/>
      <w:bookmarkStart w:id="8" w:name="non-staple-food-energy1"/>
      <w:bookmarkStart w:id="9" w:name="shannon-diversity"/>
      <w:bookmarkStart w:id="10" w:name="non-staple-food-energy1"/>
      <w:bookmarkEnd w:id="10"/>
    </w:p>
    <w:p>
      <w:pPr>
        <w:pStyle w:val="Heading6"/>
        <w:spacing w:lineRule="auto" w:line="360"/>
        <w:rPr>
          <w:sz w:val="24"/>
          <w:szCs w:val="24"/>
        </w:rPr>
      </w:pPr>
      <w:r>
        <w:rPr>
          <w:rFonts w:cs="Times New Roman" w:ascii="Times New Roman" w:hAnsi="Times New Roman"/>
          <w:sz w:val="24"/>
          <w:szCs w:val="24"/>
        </w:rPr>
        <w:t>Shannon Diversity</w:t>
      </w:r>
    </w:p>
    <w:p>
      <w:pPr>
        <w:pStyle w:val="FirstParagraph"/>
        <w:spacing w:lineRule="auto" w:line="360"/>
        <w:rPr>
          <w:sz w:val="24"/>
          <w:szCs w:val="24"/>
        </w:rPr>
      </w:pPr>
      <w:r>
        <w:rPr>
          <w:rFonts w:cs="Times New Roman" w:ascii="Times New Roman" w:hAnsi="Times New Roman"/>
          <w:sz w:val="24"/>
          <w:szCs w:val="24"/>
        </w:rPr>
        <w:t xml:space="preserve">This indicator measures diversity of nutrients in a food system by measuring the quantity in weight of various food items available in that food system. Data for the annual per capita quantity supply of food items in countries globally, is readily available at FAO. Data for similar food items as the ones used in the first indicator was </w:t>
      </w:r>
      <w:r>
        <w:rPr>
          <w:rFonts w:cs="Times New Roman" w:ascii="Times New Roman" w:hAnsi="Times New Roman"/>
          <w:sz w:val="24"/>
          <w:szCs w:val="24"/>
        </w:rPr>
        <w:t>taken</w:t>
      </w:r>
      <w:r>
        <w:rPr>
          <w:rFonts w:cs="Times New Roman" w:ascii="Times New Roman" w:hAnsi="Times New Roman"/>
          <w:sz w:val="24"/>
          <w:szCs w:val="24"/>
        </w:rPr>
        <w:t xml:space="preserve"> from FAO’s food balance sheets. A preliminary examination of the data showed considerable missing values in some food items, and here, like in the previous indicator, the type and extent of missing data, together with previous knowledge on the domain of subject, determined the method of handling </w:t>
      </w:r>
      <w:r>
        <w:rPr>
          <w:rFonts w:cs="Times New Roman" w:ascii="Times New Roman" w:hAnsi="Times New Roman"/>
          <w:sz w:val="24"/>
          <w:szCs w:val="24"/>
        </w:rPr>
        <w:t xml:space="preserve">the </w:t>
      </w:r>
      <w:r>
        <w:rPr>
          <w:rFonts w:cs="Times New Roman" w:ascii="Times New Roman" w:hAnsi="Times New Roman"/>
          <w:sz w:val="24"/>
          <w:szCs w:val="24"/>
        </w:rPr>
        <w:t xml:space="preserve">missing data. Type of missing data was both MNAR (Missing Not At Random) and MAR (Missing at Random), as some food items such as </w:t>
      </w:r>
      <w:r>
        <w:rPr>
          <w:rFonts w:cs="Times New Roman" w:ascii="Times New Roman" w:hAnsi="Times New Roman"/>
          <w:i/>
          <w:iCs/>
          <w:sz w:val="24"/>
          <w:szCs w:val="24"/>
        </w:rPr>
        <w:t>Non-centrifugal sugars</w:t>
      </w:r>
      <w:r>
        <w:rPr>
          <w:rFonts w:cs="Times New Roman" w:ascii="Times New Roman" w:hAnsi="Times New Roman"/>
          <w:sz w:val="24"/>
          <w:szCs w:val="24"/>
        </w:rPr>
        <w:t xml:space="preserve"> had a high percentage of missingness in all four income groups, suggesting there being some reporting problems that caused the data for both 4 income groups to be missing (hence MNAR), and some, such as </w:t>
      </w:r>
      <w:r>
        <w:rPr>
          <w:rFonts w:cs="Times New Roman" w:ascii="Times New Roman" w:hAnsi="Times New Roman"/>
          <w:i/>
          <w:iCs/>
          <w:sz w:val="24"/>
          <w:szCs w:val="24"/>
        </w:rPr>
        <w:t>millet and products</w:t>
      </w:r>
      <w:r>
        <w:rPr>
          <w:rFonts w:cs="Times New Roman" w:ascii="Times New Roman" w:hAnsi="Times New Roman"/>
          <w:sz w:val="24"/>
          <w:szCs w:val="24"/>
        </w:rPr>
        <w:t>, have a high percentage of missingness in only three groups (High income, Low middle income and Upper middle income), suggesting that there is another factor influencing the missingness of this variable (hence MAR). It was decided to remove all food items with more than 40% of missing data in any of the 4 income groups as practical recommendation from (</w:t>
      </w:r>
      <w:r>
        <w:rPr>
          <w:rFonts w:cs="Times New Roman" w:ascii="Times New Roman" w:hAnsi="Times New Roman"/>
          <w:i/>
          <w:iCs/>
          <w:sz w:val="24"/>
          <w:szCs w:val="24"/>
        </w:rPr>
        <w:t>What Should Be the Allowed Percentage of Missing Values?</w:t>
      </w:r>
      <w:r>
        <w:rPr>
          <w:rFonts w:cs="Times New Roman" w:ascii="Times New Roman" w:hAnsi="Times New Roman"/>
          <w:sz w:val="24"/>
          <w:szCs w:val="24"/>
        </w:rPr>
        <w:t xml:space="preserve"> 2015) and </w:t>
      </w:r>
      <w:r>
        <w:rPr>
          <w:rFonts w:cs="Times New Roman" w:ascii="Times New Roman" w:hAnsi="Times New Roman"/>
          <w:color w:val="222222"/>
          <w:sz w:val="24"/>
          <w:szCs w:val="24"/>
          <w:shd w:fill="FFFFFF" w:val="clear"/>
        </w:rPr>
        <w:t>Hair, J. F. (2009)</w:t>
      </w:r>
      <w:r>
        <w:rPr>
          <w:rFonts w:cs="Arial" w:ascii="Arial" w:hAnsi="Arial"/>
          <w:color w:val="222222"/>
          <w:sz w:val="24"/>
          <w:szCs w:val="24"/>
          <w:shd w:fill="FFFFFF" w:val="clear"/>
        </w:rPr>
        <w:t xml:space="preserve"> </w:t>
      </w:r>
      <w:r>
        <w:rPr>
          <w:rFonts w:cs="Times New Roman" w:ascii="Times New Roman" w:hAnsi="Times New Roman"/>
          <w:sz w:val="24"/>
          <w:szCs w:val="24"/>
        </w:rPr>
        <w:t xml:space="preserve">suggest. Imputation was done using the MICE and KNN multiple-imputation methods, and the results of the R statistic were compared to each other. The figure showing the percentage of missing values from each food group and the KNN, MICE R-statistic comparison can be found at the </w:t>
      </w:r>
      <w:r>
        <w:rPr>
          <w:rFonts w:cs="Times New Roman" w:ascii="Times New Roman" w:hAnsi="Times New Roman"/>
          <w:b/>
          <w:bCs/>
          <w:sz w:val="24"/>
          <w:szCs w:val="24"/>
        </w:rPr>
        <w:t>supplimentary material file</w:t>
      </w:r>
      <w:r>
        <w:rPr>
          <w:rFonts w:cs="Times New Roman" w:ascii="Times New Roman" w:hAnsi="Times New Roman"/>
          <w:b w:val="false"/>
          <w:bCs w:val="false"/>
          <w:sz w:val="24"/>
          <w:szCs w:val="24"/>
        </w:rPr>
        <w:t>, attached at the end of the document</w:t>
      </w:r>
      <w:r>
        <w:rPr>
          <w:rFonts w:cs="Times New Roman" w:ascii="Times New Roman" w:hAnsi="Times New Roman"/>
          <w:sz w:val="24"/>
          <w:szCs w:val="24"/>
        </w:rPr>
        <w:t>. Imputation by using MICE proved to be more robust (with the adjusted R-square of 0.89), and thus the dataset imputed by using it was the one used for the next procedures of data preparation. The data was then aggregated into seven food groups as the one used in the first indicator, and below is a table that contains a snapshot of th</w:t>
      </w:r>
      <w:bookmarkEnd w:id="0"/>
      <w:bookmarkEnd w:id="1"/>
      <w:bookmarkEnd w:id="2"/>
      <w:bookmarkEnd w:id="9"/>
      <w:r>
        <w:rPr>
          <w:rFonts w:cs="Times New Roman" w:ascii="Times New Roman" w:hAnsi="Times New Roman"/>
          <w:sz w:val="24"/>
          <w:szCs w:val="24"/>
        </w:rPr>
        <w:t>at data.</w:t>
      </w:r>
    </w:p>
    <w:p>
      <w:pPr>
        <w:pStyle w:val="TextBody"/>
        <w:jc w:val="center"/>
        <w:rPr>
          <w:rFonts w:ascii="Times New Roman" w:hAnsi="Times New Roman"/>
          <w:b/>
          <w:b/>
          <w:bCs/>
          <w:sz w:val="20"/>
          <w:szCs w:val="20"/>
        </w:rPr>
      </w:pPr>
      <w:r>
        <w:rPr>
          <w:rFonts w:ascii="Times New Roman" w:hAnsi="Times New Roman"/>
          <w:b/>
          <w:bCs/>
          <w:sz w:val="20"/>
          <w:szCs w:val="20"/>
        </w:rPr>
        <w:t>Preview: Annual Per Capita Supply of Food In-terms of Food Groups Globally (2019).</w:t>
      </w:r>
    </w:p>
    <w:tbl>
      <w:tblPr>
        <w:tblW w:w="9360" w:type="dxa"/>
        <w:jc w:val="left"/>
        <w:tblInd w:w="-30" w:type="dxa"/>
        <w:tblLayout w:type="fixed"/>
        <w:tblCellMar>
          <w:top w:w="0" w:type="dxa"/>
          <w:left w:w="30" w:type="dxa"/>
          <w:bottom w:w="0" w:type="dxa"/>
          <w:right w:w="30" w:type="dxa"/>
        </w:tblCellMar>
      </w:tblPr>
      <w:tblGrid>
        <w:gridCol w:w="968"/>
        <w:gridCol w:w="921"/>
        <w:gridCol w:w="1080"/>
        <w:gridCol w:w="654"/>
        <w:gridCol w:w="653"/>
        <w:gridCol w:w="1120"/>
        <w:gridCol w:w="822"/>
        <w:gridCol w:w="670"/>
        <w:gridCol w:w="930"/>
        <w:gridCol w:w="843"/>
        <w:gridCol w:w="697"/>
      </w:tblGrid>
      <w:tr>
        <w:trPr>
          <w:trHeight w:val="256" w:hRule="atLeast"/>
        </w:trPr>
        <w:tc>
          <w:tcPr>
            <w:tcW w:w="968" w:type="dxa"/>
            <w:tcBorders/>
            <w:vAlign w:val="center"/>
          </w:tcPr>
          <w:p>
            <w:pPr>
              <w:pStyle w:val="Normal"/>
              <w:widowControl w:val="false"/>
              <w:tabs>
                <w:tab w:val="clear" w:pos="720"/>
              </w:tabs>
              <w:spacing w:before="0" w:after="200"/>
              <w:jc w:val="center"/>
              <w:rPr>
                <w:b/>
                <w:b/>
                <w:bCs/>
                <w:sz w:val="16"/>
                <w:szCs w:val="16"/>
              </w:rPr>
            </w:pPr>
            <w:r>
              <w:rPr>
                <w:b/>
                <w:bCs/>
                <w:sz w:val="16"/>
                <w:szCs w:val="16"/>
              </w:rPr>
              <w:t>Country</w:t>
            </w:r>
          </w:p>
        </w:tc>
        <w:tc>
          <w:tcPr>
            <w:tcW w:w="921"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Income </w:t>
              <w:br/>
              <w:t>group</w:t>
            </w:r>
          </w:p>
        </w:tc>
        <w:tc>
          <w:tcPr>
            <w:tcW w:w="1080" w:type="dxa"/>
            <w:tcBorders/>
            <w:vAlign w:val="center"/>
          </w:tcPr>
          <w:p>
            <w:pPr>
              <w:pStyle w:val="Normal"/>
              <w:widowControl w:val="false"/>
              <w:tabs>
                <w:tab w:val="clear" w:pos="720"/>
              </w:tabs>
              <w:spacing w:before="0" w:after="200"/>
              <w:jc w:val="center"/>
              <w:rPr>
                <w:b/>
                <w:b/>
                <w:bCs/>
                <w:sz w:val="16"/>
                <w:szCs w:val="16"/>
              </w:rPr>
            </w:pPr>
            <w:r>
              <w:rPr>
                <w:b/>
                <w:bCs/>
                <w:sz w:val="16"/>
                <w:szCs w:val="16"/>
              </w:rPr>
              <w:t>Region</w:t>
            </w:r>
          </w:p>
        </w:tc>
        <w:tc>
          <w:tcPr>
            <w:tcW w:w="654" w:type="dxa"/>
            <w:tcBorders/>
            <w:vAlign w:val="center"/>
          </w:tcPr>
          <w:p>
            <w:pPr>
              <w:pStyle w:val="Normal"/>
              <w:widowControl w:val="false"/>
              <w:tabs>
                <w:tab w:val="clear" w:pos="720"/>
              </w:tabs>
              <w:spacing w:before="0" w:after="200"/>
              <w:jc w:val="center"/>
              <w:rPr>
                <w:b/>
                <w:b/>
                <w:bCs/>
                <w:sz w:val="16"/>
                <w:szCs w:val="16"/>
              </w:rPr>
            </w:pPr>
            <w:r>
              <w:rPr>
                <w:b/>
                <w:bCs/>
                <w:sz w:val="16"/>
                <w:szCs w:val="16"/>
              </w:rPr>
              <w:t>Cereals</w:t>
            </w:r>
          </w:p>
        </w:tc>
        <w:tc>
          <w:tcPr>
            <w:tcW w:w="653"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Roots &amp; </w:t>
              <w:br/>
              <w:t>Tubers</w:t>
            </w:r>
          </w:p>
        </w:tc>
        <w:tc>
          <w:tcPr>
            <w:tcW w:w="1120"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Meat, Milk and </w:t>
              <w:br/>
              <w:t>Products &amp; Eggs</w:t>
            </w:r>
          </w:p>
        </w:tc>
        <w:tc>
          <w:tcPr>
            <w:tcW w:w="822" w:type="dxa"/>
            <w:tcBorders/>
            <w:vAlign w:val="center"/>
          </w:tcPr>
          <w:p>
            <w:pPr>
              <w:pStyle w:val="Normal"/>
              <w:widowControl w:val="false"/>
              <w:tabs>
                <w:tab w:val="clear" w:pos="720"/>
              </w:tabs>
              <w:spacing w:before="0" w:after="200"/>
              <w:jc w:val="center"/>
              <w:rPr>
                <w:b/>
                <w:b/>
                <w:bCs/>
                <w:sz w:val="16"/>
                <w:szCs w:val="16"/>
              </w:rPr>
            </w:pPr>
            <w:r>
              <w:rPr>
                <w:b/>
                <w:bCs/>
                <w:sz w:val="16"/>
                <w:szCs w:val="16"/>
              </w:rPr>
              <w:t>Vegetables</w:t>
            </w:r>
          </w:p>
        </w:tc>
        <w:tc>
          <w:tcPr>
            <w:tcW w:w="670"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Fruits &amp; </w:t>
              <w:br/>
              <w:t>Plantains</w:t>
            </w:r>
          </w:p>
        </w:tc>
        <w:tc>
          <w:tcPr>
            <w:tcW w:w="930"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Seeds, Nuts, </w:t>
              <w:br/>
              <w:t>and Oils</w:t>
            </w:r>
          </w:p>
        </w:tc>
        <w:tc>
          <w:tcPr>
            <w:tcW w:w="843"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Starch and </w:t>
              <w:br/>
              <w:t>Sugars</w:t>
            </w:r>
          </w:p>
        </w:tc>
        <w:tc>
          <w:tcPr>
            <w:tcW w:w="697" w:type="dxa"/>
            <w:tcBorders/>
            <w:vAlign w:val="center"/>
          </w:tcPr>
          <w:p>
            <w:pPr>
              <w:pStyle w:val="Normal"/>
              <w:widowControl w:val="false"/>
              <w:tabs>
                <w:tab w:val="clear" w:pos="720"/>
              </w:tabs>
              <w:spacing w:before="0" w:after="200"/>
              <w:jc w:val="center"/>
              <w:rPr>
                <w:b/>
                <w:b/>
                <w:bCs/>
                <w:sz w:val="16"/>
                <w:szCs w:val="16"/>
              </w:rPr>
            </w:pPr>
            <w:r>
              <w:rPr>
                <w:b/>
                <w:bCs/>
                <w:sz w:val="16"/>
                <w:szCs w:val="16"/>
              </w:rPr>
              <w:t xml:space="preserve">Infant </w:t>
              <w:br/>
              <w:t>Foods</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Spain</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&amp; </w:t>
              <w:br/>
              <w:t>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113.1</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60.3</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277.9</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152.2</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67.9</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48.5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32.5</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0.4</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Chile</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Latin America</w:t>
              <w:br/>
              <w:t xml:space="preserve"> &amp; Caribbean</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153.3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57.9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173.6</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81</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56.2</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10.8</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41.2</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r>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Iceland</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84.4</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35.6</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397.5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94.3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74.7</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28</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80.6</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0.3</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Sweden</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115</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53.9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316.1</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104.7</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44.9</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21.8</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46.5</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0.3</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Slovenia</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140.1</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38.1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255.2</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109.3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96.6</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16.6</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44.7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Norway</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121.9</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50.4</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283.3</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105.6</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60.6</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17.5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44.7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0.4</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Ireland</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138.5</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74.1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261</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102.6</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53.5</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22.1</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81.1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0.4</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Nauru</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East Asia </w:t>
              <w:br/>
              <w:t>&amp; Pacific</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63.9</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10.1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175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37.3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75.3</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139.7</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0.2</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Hungary</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124</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38.7</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240.3</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97.2</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70.9</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13.1</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52.1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0.1</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Cyprus</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139.3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16.1</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222.5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97.2</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54.8</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56.4</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1.2</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Germany</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99.7</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69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280.6</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101.3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67.8</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31.5</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43.7</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New Zealand</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East Asia </w:t>
              <w:br/>
              <w:t>&amp; Pacific</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114.3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47.8</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256.3</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134.4</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56.7</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20</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61.1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0.3</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Croatia</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39</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236.5</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305.3</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55.6</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19.1</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86.1</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0.2</w:t>
            </w:r>
          </w:p>
        </w:tc>
      </w:tr>
      <w:tr>
        <w:trPr>
          <w:trHeight w:val="256" w:hRule="atLeast"/>
        </w:trPr>
        <w:tc>
          <w:tcPr>
            <w:tcW w:w="968" w:type="dxa"/>
            <w:tcBorders/>
            <w:vAlign w:val="center"/>
          </w:tcPr>
          <w:p>
            <w:pPr>
              <w:pStyle w:val="Normal"/>
              <w:widowControl w:val="false"/>
              <w:tabs>
                <w:tab w:val="clear" w:pos="720"/>
              </w:tabs>
              <w:spacing w:before="0" w:after="200"/>
              <w:jc w:val="center"/>
              <w:rPr>
                <w:sz w:val="16"/>
                <w:szCs w:val="16"/>
              </w:rPr>
            </w:pPr>
            <w:r>
              <w:rPr>
                <w:sz w:val="16"/>
                <w:szCs w:val="16"/>
              </w:rPr>
              <w:t>Denmark</w:t>
            </w:r>
          </w:p>
        </w:tc>
        <w:tc>
          <w:tcPr>
            <w:tcW w:w="921" w:type="dxa"/>
            <w:tcBorders/>
            <w:vAlign w:val="center"/>
          </w:tcPr>
          <w:p>
            <w:pPr>
              <w:pStyle w:val="Normal"/>
              <w:widowControl w:val="false"/>
              <w:tabs>
                <w:tab w:val="clear" w:pos="720"/>
              </w:tabs>
              <w:spacing w:before="0" w:after="200"/>
              <w:jc w:val="center"/>
              <w:rPr>
                <w:sz w:val="16"/>
                <w:szCs w:val="16"/>
              </w:rPr>
            </w:pPr>
            <w:r>
              <w:rPr>
                <w:sz w:val="16"/>
                <w:szCs w:val="16"/>
              </w:rPr>
              <w:t xml:space="preserve">High </w:t>
              <w:br/>
              <w:t>income</w:t>
            </w:r>
          </w:p>
        </w:tc>
        <w:tc>
          <w:tcPr>
            <w:tcW w:w="1080" w:type="dxa"/>
            <w:tcBorders/>
            <w:vAlign w:val="center"/>
          </w:tcPr>
          <w:p>
            <w:pPr>
              <w:pStyle w:val="Normal"/>
              <w:widowControl w:val="false"/>
              <w:tabs>
                <w:tab w:val="clear" w:pos="720"/>
              </w:tabs>
              <w:spacing w:before="0" w:after="200"/>
              <w:jc w:val="center"/>
              <w:rPr>
                <w:sz w:val="16"/>
                <w:szCs w:val="16"/>
              </w:rPr>
            </w:pPr>
            <w:r>
              <w:rPr>
                <w:sz w:val="16"/>
                <w:szCs w:val="16"/>
              </w:rPr>
              <w:t xml:space="preserve">Europe </w:t>
              <w:br/>
              <w:t>&amp; Central Asia</w:t>
            </w:r>
          </w:p>
        </w:tc>
        <w:tc>
          <w:tcPr>
            <w:tcW w:w="654" w:type="dxa"/>
            <w:tcBorders/>
            <w:vAlign w:val="center"/>
          </w:tcPr>
          <w:p>
            <w:pPr>
              <w:pStyle w:val="Normal"/>
              <w:widowControl w:val="false"/>
              <w:tabs>
                <w:tab w:val="clear" w:pos="720"/>
              </w:tabs>
              <w:spacing w:before="0" w:after="200"/>
              <w:jc w:val="center"/>
              <w:rPr>
                <w:sz w:val="16"/>
                <w:szCs w:val="16"/>
              </w:rPr>
            </w:pPr>
            <w:r>
              <w:rPr>
                <w:sz w:val="16"/>
                <w:szCs w:val="16"/>
              </w:rPr>
              <w:t>111.3</w:t>
            </w:r>
          </w:p>
        </w:tc>
        <w:tc>
          <w:tcPr>
            <w:tcW w:w="653" w:type="dxa"/>
            <w:tcBorders/>
            <w:vAlign w:val="center"/>
          </w:tcPr>
          <w:p>
            <w:pPr>
              <w:pStyle w:val="Normal"/>
              <w:widowControl w:val="false"/>
              <w:tabs>
                <w:tab w:val="clear" w:pos="720"/>
              </w:tabs>
              <w:spacing w:before="0" w:after="200"/>
              <w:jc w:val="center"/>
              <w:rPr>
                <w:sz w:val="16"/>
                <w:szCs w:val="16"/>
              </w:rPr>
            </w:pPr>
            <w:r>
              <w:rPr>
                <w:sz w:val="16"/>
                <w:szCs w:val="16"/>
              </w:rPr>
              <w:t>62</w:t>
            </w:r>
          </w:p>
        </w:tc>
        <w:tc>
          <w:tcPr>
            <w:tcW w:w="1120" w:type="dxa"/>
            <w:tcBorders/>
            <w:vAlign w:val="center"/>
          </w:tcPr>
          <w:p>
            <w:pPr>
              <w:pStyle w:val="Normal"/>
              <w:widowControl w:val="false"/>
              <w:tabs>
                <w:tab w:val="clear" w:pos="720"/>
              </w:tabs>
              <w:spacing w:before="0" w:after="200"/>
              <w:jc w:val="center"/>
              <w:rPr>
                <w:sz w:val="16"/>
                <w:szCs w:val="16"/>
              </w:rPr>
            </w:pPr>
            <w:r>
              <w:rPr>
                <w:sz w:val="16"/>
                <w:szCs w:val="16"/>
              </w:rPr>
              <w:t>368.2</w:t>
            </w:r>
          </w:p>
        </w:tc>
        <w:tc>
          <w:tcPr>
            <w:tcW w:w="822" w:type="dxa"/>
            <w:tcBorders/>
            <w:vAlign w:val="center"/>
          </w:tcPr>
          <w:p>
            <w:pPr>
              <w:pStyle w:val="Normal"/>
              <w:widowControl w:val="false"/>
              <w:tabs>
                <w:tab w:val="clear" w:pos="720"/>
              </w:tabs>
              <w:spacing w:before="0" w:after="200"/>
              <w:jc w:val="center"/>
              <w:rPr>
                <w:sz w:val="16"/>
                <w:szCs w:val="16"/>
              </w:rPr>
            </w:pPr>
            <w:r>
              <w:rPr>
                <w:sz w:val="16"/>
                <w:szCs w:val="16"/>
              </w:rPr>
              <w:t>108.9</w:t>
            </w:r>
          </w:p>
        </w:tc>
        <w:tc>
          <w:tcPr>
            <w:tcW w:w="670" w:type="dxa"/>
            <w:tcBorders/>
            <w:vAlign w:val="center"/>
          </w:tcPr>
          <w:p>
            <w:pPr>
              <w:pStyle w:val="Normal"/>
              <w:widowControl w:val="false"/>
              <w:tabs>
                <w:tab w:val="clear" w:pos="720"/>
              </w:tabs>
              <w:spacing w:before="0" w:after="200"/>
              <w:jc w:val="center"/>
              <w:rPr>
                <w:sz w:val="16"/>
                <w:szCs w:val="16"/>
              </w:rPr>
            </w:pPr>
            <w:r>
              <w:rPr>
                <w:sz w:val="16"/>
                <w:szCs w:val="16"/>
              </w:rPr>
              <w:t>50.5</w:t>
            </w:r>
          </w:p>
        </w:tc>
        <w:tc>
          <w:tcPr>
            <w:tcW w:w="930" w:type="dxa"/>
            <w:tcBorders/>
            <w:vAlign w:val="center"/>
          </w:tcPr>
          <w:p>
            <w:pPr>
              <w:pStyle w:val="Normal"/>
              <w:widowControl w:val="false"/>
              <w:tabs>
                <w:tab w:val="clear" w:pos="720"/>
              </w:tabs>
              <w:spacing w:before="0" w:after="200"/>
              <w:jc w:val="center"/>
              <w:rPr>
                <w:sz w:val="16"/>
                <w:szCs w:val="16"/>
              </w:rPr>
            </w:pPr>
            <w:r>
              <w:rPr>
                <w:sz w:val="16"/>
                <w:szCs w:val="16"/>
              </w:rPr>
              <w:t>16.4</w:t>
            </w:r>
          </w:p>
        </w:tc>
        <w:tc>
          <w:tcPr>
            <w:tcW w:w="843" w:type="dxa"/>
            <w:tcBorders/>
            <w:vAlign w:val="center"/>
          </w:tcPr>
          <w:p>
            <w:pPr>
              <w:pStyle w:val="Normal"/>
              <w:widowControl w:val="false"/>
              <w:tabs>
                <w:tab w:val="clear" w:pos="720"/>
              </w:tabs>
              <w:spacing w:before="0" w:after="200"/>
              <w:jc w:val="center"/>
              <w:rPr>
                <w:sz w:val="16"/>
                <w:szCs w:val="16"/>
              </w:rPr>
            </w:pPr>
            <w:r>
              <w:rPr>
                <w:sz w:val="16"/>
                <w:szCs w:val="16"/>
              </w:rPr>
              <w:t>54.5</w:t>
            </w:r>
          </w:p>
        </w:tc>
        <w:tc>
          <w:tcPr>
            <w:tcW w:w="697" w:type="dxa"/>
            <w:tcBorders/>
            <w:vAlign w:val="center"/>
          </w:tcPr>
          <w:p>
            <w:pPr>
              <w:pStyle w:val="Normal"/>
              <w:widowControl w:val="false"/>
              <w:tabs>
                <w:tab w:val="clear" w:pos="720"/>
              </w:tabs>
              <w:spacing w:before="0" w:after="200"/>
              <w:jc w:val="center"/>
              <w:rPr>
                <w:sz w:val="16"/>
                <w:szCs w:val="16"/>
              </w:rPr>
            </w:pPr>
            <w:r>
              <w:rPr>
                <w:sz w:val="16"/>
                <w:szCs w:val="16"/>
              </w:rPr>
              <w:t>0</w:t>
            </w:r>
          </w:p>
        </w:tc>
      </w:tr>
    </w:tbl>
    <w:p>
      <w:pPr>
        <w:pStyle w:val="Normal"/>
        <w:rPr/>
      </w:pPr>
      <w:r>
        <w:rPr/>
      </w:r>
    </w:p>
    <w:p>
      <w:pPr>
        <w:pStyle w:val="Normal"/>
        <w:spacing w:before="0" w:after="200"/>
        <w:rPr>
          <w:sz w:val="24"/>
          <w:szCs w:val="24"/>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Times New Roman">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PlainTable5">
    <w:name w:val="Plain Table 5"/>
    <w:basedOn w:val="TableNormal"/>
    <w:rsid w:val="009819d1"/>
    <w:pPr>
      <w:spacing w:after="0"/>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830ec7"/>
    <w:pPr>
      <w:spacing w:after="0"/>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rsid w:val="00f850ae"/>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rsid w:val="00f850ae"/>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rsid w:val="00f850ae"/>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Grid">
    <w:name w:val="Table Grid"/>
    <w:basedOn w:val="TableNormal"/>
    <w:rsid w:val="00ac605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rsid w:val="00ac6059"/>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Application>LibreOffice/7.3.7.2$Linux_X86_64 LibreOffice_project/30$Build-2</Application>
  <AppVersion>15.0000</AppVersion>
  <Pages>4</Pages>
  <Words>1164</Words>
  <Characters>5666</Characters>
  <CharactersWithSpaces>6618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2023-01-14T16:25:00Z</dcterms:created>
  <dc:creator/>
  <dc:description/>
  <dc:language>en-US</dc:language>
  <cp:lastModifiedBy/>
  <dcterms:modified xsi:type="dcterms:W3CDTF">2023-07-03T20:12:49Z</dcterms:modified>
  <cp:revision>75</cp:revision>
  <dc:subject/>
  <dc:title>Materials and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MnID9ldSt4k1_1">
    <vt:lpwstr>ZOTERO_ITEM CSL_CITATION {"citationID":"a4mboqth66","properties":{"formattedCitation":"\\uldash{(FAO, n.d.)}","plainCitation":"(FAO, n.d.)","noteIndex":0},"citationItems":[{"id":145,"uris":["http://zotero.org/users/10774576/items/5U52DI7T"],"itemData":{"i</vt:lpwstr>
  </property>
  <property fmtid="{D5CDD505-2E9C-101B-9397-08002B2CF9AE}" pid="3" name="ZOTERO_BREF_MnID9ldSt4k1_2">
    <vt:lpwstr>d":145,"type":"webpage","title":"Dimensions of need - Staple foods: What do people eat?","URL":"https://www.fao.org/3/u8480e/U8480E07.htm#The sources of food","author":[{"literal":"FAO"}],"accessed":{"date-parts":[["2022",2,15]]}}}],"schema":"https://gith</vt:lpwstr>
  </property>
  <property fmtid="{D5CDD505-2E9C-101B-9397-08002B2CF9AE}" pid="4" name="ZOTERO_BREF_MnID9ldSt4k1_3">
    <vt:lpwstr>ub.com/citation-style-language/schema/raw/master/csl-citation.json"}</vt:lpwstr>
  </property>
  <property fmtid="{D5CDD505-2E9C-101B-9397-08002B2CF9AE}" pid="5" name="ZOTERO_BREF_ui9AqGCcieVa_1">
    <vt:lpwstr>ZOTERO_ITEM CSL_CITATION {"citationID":"GhY5lkdz","properties":{"formattedCitation":"(Chaudhary et al., 2018)","plainCitation":"(Chaudhary et al., 2018)","noteIndex":0},"citationItems":[{"id":62,"uris":["http://zotero.org/users/10774576/items/3W6XI4I2"],"</vt:lpwstr>
  </property>
  <property fmtid="{D5CDD505-2E9C-101B-9397-08002B2CF9AE}" pid="6" name="ZOTERO_BREF_ui9AqGCcieVa_2">
    <vt:lpwstr>itemData":{"id":62,"type":"article-journal","abstract":"Food systems are at the heart of at least 12 of the 17 Sustainable Development Goals (SDGs). The wide scope of the SDGs call for holistic approaches that integrate previously “siloed” food sustainabi</vt:lpwstr>
  </property>
  <property fmtid="{D5CDD505-2E9C-101B-9397-08002B2CF9AE}" pid="7" name="ZOTERO_BREF_ui9AqGCcieVa_3">
    <vt:lpwstr>lity assessments. Here we present a first global-scale analysis quantifying the status of national food system performance of 156 countries, employing 25 sustainability indicators across 7 domains as follows: nutrition, environment, food affordability and</vt:lpwstr>
  </property>
  <property fmtid="{D5CDD505-2E9C-101B-9397-08002B2CF9AE}" pid="8" name="ZOTERO_BREF_ui9AqGCcieVa_4">
    <vt:lpwstr> availability, sociocultural well-being, resilience, food safety, and waste. The results show that different countries have widely varying patterns of performance with unique priorities for improvement. High-income nations score well on most indicators, b</vt:lpwstr>
  </property>
  <property fmtid="{D5CDD505-2E9C-101B-9397-08002B2CF9AE}" pid="9" name="ZOTERO_BREF_ui9AqGCcieVa_5">
    <vt:lpwstr>ut poorly on environmental, food waste, and health-sensitive nutrient-intake indicators. Transitioning from animal foods toward plant-based foods would improve indicator scores for most countries. Our nation-specific quantitative results can help policy-m</vt:lpwstr>
  </property>
  <property fmtid="{D5CDD505-2E9C-101B-9397-08002B2CF9AE}" pid="10" name="ZOTERO_BREF_ui9AqGCcieVa_6">
    <vt:lpwstr>akers to set improvement targets on specific areas and adopt new practices, while keeping track of the other aspects of sustainability.","container-title":"Nature Communications","DOI":"10.1038/s41467-018-03308-7","ISSN":"2041-1723","issue":"1","journalAb</vt:lpwstr>
  </property>
  <property fmtid="{D5CDD505-2E9C-101B-9397-08002B2CF9AE}" pid="11" name="ZOTERO_BREF_ui9AqGCcieVa_7">
    <vt:lpwstr>breviation":"Nat Commun","language":"en","license":"2018 The Author(s)","note":"number: 1\npublisher: Nature Publishing Group","page":"848","source":"www.nature.com","title":"Multi-indicator sustainability assessment of global food systems","volume":"9","</vt:lpwstr>
  </property>
  <property fmtid="{D5CDD505-2E9C-101B-9397-08002B2CF9AE}" pid="12" name="ZOTERO_BREF_ui9AqGCcieVa_8">
    <vt:lpwstr>author":[{"family":"Chaudhary","given":"Abhishek"},{"family":"Gustafson","given":"David"},{"family":"Mathys","given":"Alexander"}],"issued":{"date-parts":[["2018",2,27]]}}}],"schema":"https://github.com/citation-style-language/schema/raw/master/csl-citati</vt:lpwstr>
  </property>
  <property fmtid="{D5CDD505-2E9C-101B-9397-08002B2CF9AE}" pid="13" name="ZOTERO_BREF_ui9AqGCcieVa_9">
    <vt:lpwstr>on.json"}</vt:lpwstr>
  </property>
  <property fmtid="{D5CDD505-2E9C-101B-9397-08002B2CF9AE}" pid="14" name="ZOTERO_BREF_xGrqeNofG0hL_1">
    <vt:lpwstr>ZOTERO_ITEM CSL_CITATION {"citationID":"a2lejt1rm66","properties":{"formattedCitation":"\\uldash{(M\\uc0\\u228{}kel\\uc0\\u228{} &amp; Rautavirta, 2018)}","plainCitation":"(Mäkelä &amp; Rautavirta, 2018)","noteIndex":0},"citationItems":[{"id":64,"uris":["http://z</vt:lpwstr>
  </property>
  <property fmtid="{D5CDD505-2E9C-101B-9397-08002B2CF9AE}" pid="15" name="ZOTERO_BREF_xGrqeNofG0hL_2">
    <vt:lpwstr>otero.org/users/10774576/items/J5ENBG8F"],"itemData":{"id":64,"type":"chapter","abstract":"This chapter describes Finnish nutrition and food culture from the late 19th century to the present. During this time, the Finnish diet saw a rapid change from scar</vt:lpwstr>
  </property>
  <property fmtid="{D5CDD505-2E9C-101B-9397-08002B2CF9AE}" pid="16" name="ZOTERO_BREF_xGrqeNofG0hL_3">
    <vt:lpwstr>city to abundance. The transition in food habits was particularly apparent after World War II. The food culture has been influenced by both Swedish and Russian culture, as well as the ingredients available in the northern hemisphere. Although Finnish diet</vt:lpwstr>
  </property>
  <property fmtid="{D5CDD505-2E9C-101B-9397-08002B2CF9AE}" pid="17" name="ZOTERO_BREF_xGrqeNofG0hL_4">
    <vt:lpwstr>ary habits have vastly improved in recent decades a diet comprised of more fish, whole grain cereals, vegetables, and fruit and less sucrose, saturated fat, and salt is still recommended. Typical features of modern Finnish food culture are a favoring of d</vt:lpwstr>
  </property>
  <property fmtid="{D5CDD505-2E9C-101B-9397-08002B2CF9AE}" pid="18" name="ZOTERO_BREF_xGrqeNofG0hL_5">
    <vt:lpwstr>omestic ingredients, a high regard for food safety, and food services as a way of rooting nutrition recommendations. Today's greatest challenges are socioeconomic differences in food habits and the prevalence of obesity and diabetes. Furthermore the susta</vt:lpwstr>
  </property>
  <property fmtid="{D5CDD505-2E9C-101B-9397-08002B2CF9AE}" pid="19" name="ZOTERO_BREF_xGrqeNofG0hL_6">
    <vt:lpwstr>inability of food systems needs to be addressed.","collection-title":"Nutritional&amp;Health Aspect-Traditional&amp;Ethnic Food","container-title":"Nutritional and Health Aspects of Food in Nordic Countries","ISBN":"978-0-12-809416-7","language":"en","note":"DOI:</vt:lpwstr>
  </property>
  <property fmtid="{D5CDD505-2E9C-101B-9397-08002B2CF9AE}" pid="20" name="ZOTERO_BREF_xGrqeNofG0hL_7">
    <vt:lpwstr> 10.1016/B978-0-12-809416-7.00005-6","page":"127-143","publisher":"Academic Press","source":"ScienceDirect","title":"Chapter 5 - Food, Nutrition, and Health in Finland","URL":"https://www.sciencedirect.com/science/article/pii/B9780128094167000056","author</vt:lpwstr>
  </property>
  <property fmtid="{D5CDD505-2E9C-101B-9397-08002B2CF9AE}" pid="21" name="ZOTERO_BREF_xGrqeNofG0hL_8">
    <vt:lpwstr>":[{"family":"Mäkelä","given":"Johanna"},{"family":"Rautavirta","given":"Kaija"}],"editor":[{"family":"Andersen","given":"Veslemøy"},{"family":"Bar","given":"Eirin"},{"family":"Wirtanen","given":"Gun"}],"accessed":{"date-parts":[["2023",1,9]]},"issued":{"</vt:lpwstr>
  </property>
  <property fmtid="{D5CDD505-2E9C-101B-9397-08002B2CF9AE}" pid="22" name="ZOTERO_BREF_xGrqeNofG0hL_9">
    <vt:lpwstr>date-parts":[["2018",1,1]]}}}],"schema":"https://github.com/citation-style-language/schema/raw/master/csl-citation.json"}</vt:lpwstr>
  </property>
  <property fmtid="{D5CDD505-2E9C-101B-9397-08002B2CF9AE}" pid="23" name="ZOTERO_PREF_1">
    <vt:lpwstr>&lt;data data-version="3" zotero-version="6.0.22"&gt;&lt;session id="6ika0zOy"/&gt;&lt;style id="http://www.zotero.org/styles/apa" locale="en-US" hasBibliography="1" bibliographyStyleHasBeenSet="0"/&gt;&lt;prefs&gt;&lt;pref name="fieldType" value="Bookmark"/&gt;&lt;pref name="automaticJo</vt:lpwstr>
  </property>
  <property fmtid="{D5CDD505-2E9C-101B-9397-08002B2CF9AE}" pid="24" name="ZOTERO_PREF_2">
    <vt:lpwstr>urnalAbbreviations" value="true"/&gt;&lt;pref name="delayCitationUpdates" value="true"/&gt;&lt;/prefs&gt;&lt;/data&gt;</vt:lpwstr>
  </property>
  <property fmtid="{D5CDD505-2E9C-101B-9397-08002B2CF9AE}" pid="25" name="editor_options">
    <vt:lpwstr/>
  </property>
  <property fmtid="{D5CDD505-2E9C-101B-9397-08002B2CF9AE}" pid="26" name="output">
    <vt:lpwstr>word_document</vt:lpwstr>
  </property>
</Properties>
</file>