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HAnsi"/>
          <w:color w:val="auto"/>
          <w:sz w:val="24"/>
          <w:szCs w:val="24"/>
          <w:lang w:eastAsia="en-US"/>
        </w:rPr>
        <w:id w:val="-569033694"/>
        <w:docPartObj>
          <w:docPartGallery w:val="Table of Contents"/>
          <w:docPartUnique/>
        </w:docPartObj>
      </w:sdtPr>
      <w:sdtEndPr>
        <w:rPr>
          <w:b/>
          <w:bCs/>
        </w:rPr>
      </w:sdtEndPr>
      <w:sdtContent>
        <w:p w14:paraId="11BEBC9B" w14:textId="15D0EF88" w:rsidR="00742B4A" w:rsidRPr="00DB78D0" w:rsidRDefault="00742B4A" w:rsidP="008D4E5E">
          <w:pPr>
            <w:pStyle w:val="CabealhodoSumrio"/>
            <w:spacing w:before="0" w:line="360" w:lineRule="auto"/>
            <w:jc w:val="center"/>
            <w:rPr>
              <w:rFonts w:asciiTheme="minorHAnsi" w:hAnsiTheme="minorHAnsi" w:cstheme="minorHAnsi"/>
              <w:b/>
              <w:bCs/>
              <w:color w:val="auto"/>
              <w:sz w:val="24"/>
              <w:szCs w:val="24"/>
            </w:rPr>
          </w:pPr>
          <w:r w:rsidRPr="00E31F24">
            <w:rPr>
              <w:rFonts w:asciiTheme="minorHAnsi" w:hAnsiTheme="minorHAnsi" w:cstheme="minorHAnsi"/>
              <w:b/>
              <w:bCs/>
              <w:color w:val="auto"/>
              <w:sz w:val="24"/>
              <w:szCs w:val="24"/>
            </w:rPr>
            <w:t>SUMÁRIO</w:t>
          </w:r>
        </w:p>
        <w:p>
          <w:pPr>
            <w:pStyle w:val="Sumrio1"/>
          </w:pPr>
          <w:r>
            <w:fldChar w:fldCharType="begin"/>
          </w:r>
          <w:r>
            <w:instrText xml:space="preserve"> TOC \o "1-3" \h \z \u </w:instrText>
          </w:r>
          <w:r>
            <w:fldChar w:fldCharType="separate"/>
          </w:r>
          <w:r>
            <w:t xml:space="preserve">Atualize os campos: Ctrl+A e F9 (ou clique com o botão direito &gt; Atualizar campo).</w:t>
          </w:r>
          <w:r>
            <w:fldChar w:fldCharType="end"/>
          </w:r>
        </w:p>
      </w:sdtContent>
    </w:sdt>
    <w:p>
      <w:r>
        <w:br w:type="page"/>
      </w:r>
    </w:p>
    <w:p w14:paraId="0B230B10" w14:textId="52866648" w:rsidR="00742B4A" w:rsidRPr="00742B4A" w:rsidRDefault="00742B4A" w:rsidP="00E31F24">
      <w:pPr>
        <w:spacing w:after="160" w:line="259" w:lineRule="auto"/>
        <w:ind w:firstLine="0"/>
        <w:jc w:val="center"/>
        <w:rPr>
          <w:rFonts w:cstheme="minorHAnsi"/>
          <w:b/>
          <w:bCs/>
        </w:rPr>
      </w:pPr>
      <w:r w:rsidRPr="00E31F24">
        <w:rPr>
          <w:rFonts w:cstheme="minorHAnsi"/>
          <w:b/>
          <w:bCs/>
        </w:rPr>
        <w:lastRenderedPageBreak/>
        <w:t>LISTA DE QUADROS</w:t>
      </w:r>
    </w:p>
    <w:p>
      <w:pPr>
        <w:pStyle w:val="ndicedeilustraes"/>
        <w:ind w:firstLine="0"/>
      </w:pPr>
      <w:r>
        <w:fldChar w:fldCharType="begin"/>
      </w:r>
      <w:r>
        <w:instrText xml:space="preserve"> TOC \h \z \c "Quadro" </w:instrText>
      </w:r>
      <w:r>
        <w:fldChar w:fldCharType="separate"/>
      </w:r>
      <w:r>
        <w:t xml:space="preserve">Atualize os campos: Ctrl+A e F9 (ou clique com o botão direito &gt; Atualizar campo).</w:t>
      </w:r>
      <w:r>
        <w:fldChar w:fldCharType="end"/>
      </w:r>
    </w:p>
    <w:p>
      <w:r>
        <w:br w:type="page"/>
      </w:r>
    </w:p>
    <w:p w14:paraId="4B9330D5" w14:textId="21E11A8B" w:rsidR="00742B4A" w:rsidRPr="00742B4A" w:rsidRDefault="00742B4A" w:rsidP="00742B4A">
      <w:pPr>
        <w:spacing w:after="160" w:line="259" w:lineRule="auto"/>
        <w:ind w:firstLine="0"/>
        <w:jc w:val="center"/>
        <w:rPr>
          <w:rFonts w:cstheme="minorHAnsi"/>
          <w:b/>
          <w:bCs/>
        </w:rPr>
      </w:pPr>
      <w:r w:rsidRPr="00E31F24">
        <w:rPr>
          <w:rFonts w:cstheme="minorHAnsi"/>
          <w:b/>
          <w:bCs/>
        </w:rPr>
        <w:lastRenderedPageBreak/>
        <w:t>LISTA DE FIGURAS</w:t>
      </w:r>
    </w:p>
    <w:p>
      <w:pPr>
        <w:pStyle w:val="ndicedeilustraes"/>
        <w:ind w:firstLine="0"/>
      </w:pPr>
      <w:r>
        <w:fldChar w:fldCharType="begin"/>
      </w:r>
      <w:r>
        <w:instrText xml:space="preserve"> TOC \h \z \c "Figura" </w:instrText>
      </w:r>
      <w:r>
        <w:fldChar w:fldCharType="separate"/>
      </w:r>
      <w:r>
        <w:t xml:space="preserve">Atualize os campos: Ctrl+A e F9 (ou clique com o botão direito &gt; Atualizar campo).</w:t>
      </w:r>
      <w:r>
        <w:fldChar w:fldCharType="end"/>
      </w:r>
    </w:p>
    <w:p>
      <w:r>
        <w:br w:type="page"/>
      </w:r>
    </w:p>
    <w:p>
      <w:pPr>
        <w:pStyle w:val="Ttulo1"/>
      </w:pPr>
      <w:r>
        <w:t xml:space="preserve">1 APRESENTAÇÃO</w:t>
      </w:r>
    </w:p>
    <w:p>
      <w:pPr/>
      <w:r>
        <w:t xml:space="preserve">O presente Memorial de Caracterização do Empreendimento (MCE) foi elaborado com a finalidade de compor o processo de licenciamento ambiental referente à ampliação e melhorias do Sistema de Abastecimento de Água (SAA) do município de General Carneiro, Estado do Paraná, sob responsabilidade da Companhia de Saneamento do Paraná (SANEPAR).</w:t>
      </w:r>
    </w:p>
    <w:p>
      <w:pPr/>
      <w:r>
        <w:t xml:space="preserve">A estrutura e o conteúdo deste documento foram desenvolvidos em conformidade com os requisitos estabelecidos no Anexo VI da Instrução Normativa nº 37/2025 do Instituto Água e Terra (IAT), que dispõe sobre o Termo de Referência para Elaboração do Memorial de Caracterização do Empreendimento (MCE) aplicável a Sistemas de Abastecimento de Água (SAA).</w:t>
      </w:r>
    </w:p>
    <w:p>
      <w:pPr>
        <w:pStyle w:val="Ttulo1"/>
      </w:pPr>
      <w:r>
        <w:t xml:space="preserve">2 IDENTIFICAÇÃO DO EMPREENDIMENTO</w:t>
      </w:r>
    </w:p>
    <w:p>
      <w:pPr/>
      <w:r>
        <w:rPr>
          <w:b/>
          <w:bCs/>
        </w:rPr>
        <w:t xml:space="preserve">Razão Social:</w:t>
      </w:r>
      <w:r>
        <w:t xml:space="preserve"> Companhia de Saneamento do Paraná – Sanepar</w:t>
      </w:r>
    </w:p>
    <w:p>
      <w:pPr/>
      <w:r>
        <w:rPr>
          <w:b/>
          <w:bCs/>
        </w:rPr>
        <w:t xml:space="preserve">Nome Fantasia:</w:t>
      </w:r>
      <w:r>
        <w:t xml:space="preserve"> Sanepar</w:t>
      </w:r>
    </w:p>
    <w:p>
      <w:pPr/>
      <w:r>
        <w:rPr>
          <w:b/>
          <w:bCs/>
        </w:rPr>
        <w:t xml:space="preserve">CNPJ:</w:t>
      </w:r>
      <w:r>
        <w:t xml:space="preserve"> 76.484.013/0001-45</w:t>
      </w:r>
    </w:p>
    <w:p>
      <w:pPr/>
      <w:r>
        <w:rPr>
          <w:b/>
          <w:bCs/>
        </w:rPr>
        <w:t xml:space="preserve">Inscrição Estadual:</w:t>
      </w:r>
      <w:r>
        <w:t xml:space="preserve"> 101.800.80-64</w:t>
      </w:r>
    </w:p>
    <w:p>
      <w:pPr/>
      <w:r>
        <w:rPr>
          <w:b/>
          <w:bCs/>
        </w:rPr>
        <w:t xml:space="preserve">Endereço Completo da Unidade a ser Licenciada</w:t>
      </w:r>
    </w:p>
    <w:p>
      <w:pPr/>
      <w:r>
        <w:t xml:space="preserve">O empreendimento é composto por múltiplas unidades distribuídas no território do município de General Carneiro/PR, não se restringindo a um único endereço. A unidade principal de tratamento está localizada em </w:t>
      </w:r>
      <w:r>
        <w:rPr>
          <w:b/>
          <w:bCs/>
          <w:highlight w:val="yellow"/>
        </w:rPr>
        <w:t xml:space="preserve">[A VERIFICAR: endereco_unidade_principal]</w:t>
      </w:r>
      <w:r>
        <w:t xml:space="preserve">. As demais unidades do sistema estão distribuídas conforme detalhado no item 3 (Caracterização da Área) deste memorial, com as respectivas coordenadas geográficas e UTM.</w:t>
      </w:r>
    </w:p>
    <w:p>
      <w:pPr/>
      <w:r>
        <w:rPr>
          <w:b/>
          <w:bCs/>
        </w:rPr>
        <w:t xml:space="preserve">Endereço para Correspondência:</w:t>
      </w:r>
      <w:r>
        <w:t xml:space="preserve"> Rua Engenheiros Rebouças, nº 1376, Curitiba/PR, CEP 80215-900</w:t>
      </w:r>
    </w:p>
    <w:p>
      <w:pPr/>
      <w:r>
        <w:rPr>
          <w:b/>
          <w:bCs/>
        </w:rPr>
        <w:t xml:space="preserve">Responsáveis envolvidos no projeto:</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1</w:t>
      </w:r>
      <w:r>
        <w:fldChar w:fldCharType="end"/>
      </w:r>
      <w:r>
        <w:t xml:space="preserve">: Relação dos envolvidos no projeto – equipe Sanepar.</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2982"/>
        <w:gridCol w:w="1377"/>
        <w:gridCol w:w="1509"/>
        <w:gridCol w:w="2624"/>
      </w:tblGrid>
      <w:tr>
        <w:trPr>
          <w:tblHeader/>
        </w:trPr>
        <w:tc>
          <w:tcPr>
            <w:tcW w:w="1755"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Nome</w:t>
            </w:r>
          </w:p>
        </w:tc>
        <w:tc>
          <w:tcPr>
            <w:tcW w:w="811"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Função / Vínculo</w:t>
            </w:r>
          </w:p>
        </w:tc>
        <w:tc>
          <w:tcPr>
            <w:tcW w:w="88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Registro profissional</w:t>
            </w:r>
          </w:p>
        </w:tc>
        <w:tc>
          <w:tcPr>
            <w:tcW w:w="154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Telefone</w:t>
            </w:r>
          </w:p>
        </w:tc>
      </w:tr>
      <w:tr>
        <w:tc>
          <w:tcPr>
            <w:tcW w:w="175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empreendedor.responsavel]</w:t>
            </w:r>
          </w:p>
        </w:tc>
        <w:tc>
          <w:tcPr>
            <w:tcW w:w="81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função]</w:t>
            </w:r>
          </w:p>
        </w:tc>
        <w:tc>
          <w:tcPr>
            <w:tcW w:w="88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registro]</w:t>
            </w:r>
          </w:p>
        </w:tc>
        <w:tc>
          <w:tcPr>
            <w:tcW w:w="154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empreendedor.telefone]</w:t>
            </w:r>
          </w:p>
        </w:tc>
      </w:tr>
    </w:tbl>
    <w:p>
      <w:pPr>
        <w:spacing w:after="0" w:line="240" w:lineRule="auto"/>
        <w:ind w:firstLine="0"/>
        <w:jc w:val="center"/>
      </w:pPr>
      <w:r>
        <w:rPr>
          <w:b/>
          <w:bCs/>
          <w:sz w:val="20"/>
          <w:szCs w:val="20"/>
        </w:rPr>
        <w:t xml:space="preserve">Fonte:</w:t>
      </w:r>
      <w:r>
        <w:rPr>
          <w:sz w:val="20"/>
          <w:szCs w:val="20"/>
        </w:rPr>
        <w:t xml:space="preserve"> Sanepar, 2026.</w:t>
      </w:r>
    </w:p>
    <w:p>
      <w:pPr/>
    </w:p>
    <w:p>
      <w:pPr/>
      <w:r>
        <w:rPr>
          <w:b/>
          <w:bCs/>
        </w:rPr>
        <w:t xml:space="preserve">E-mail:</w:t>
      </w:r>
      <w:r>
        <w:t xml:space="preserve"> </w:t>
      </w:r>
      <w:r>
        <w:rPr>
          <w:b/>
          <w:bCs/>
          <w:highlight w:val="yellow"/>
        </w:rPr>
        <w:t xml:space="preserve">[A VERIFICAR: empreendedor.email]</w:t>
      </w:r>
    </w:p>
    <w:p>
      <w:pPr>
        <w:pStyle w:val="Ttulo1"/>
      </w:pPr>
      <w:r>
        <w:t xml:space="preserve">3 CARACTERIZAÇÃO DA ÁREA</w:t>
      </w:r>
    </w:p>
    <w:p>
      <w:pPr/>
      <w:r>
        <w:t xml:space="preserve">O empreendimento é composto por múltiplas unidades distribuídas ao longo do sistema (captação, adutoras, estação de tratamento de água e reservação), conforme detalhado no item 4. A seguir são apresentadas a área de influência, as áreas ocupadas e as coordenadas das unidades.</w:t>
      </w:r>
    </w:p>
    <w:p>
      <w:pPr>
        <w:pStyle w:val="Ttulo2"/>
      </w:pPr>
      <w:r>
        <w:t xml:space="preserve">3.1 Delimitação e Caracterização da Área de Influência</w:t>
      </w:r>
    </w:p>
    <w:p>
      <w:pPr/>
      <w:r>
        <w:t xml:space="preserve">Área Diretamente Afetada – ADA: corresponde às áreas diretamente destinadas à implantação das estruturas e infraestruturas que compõem o empreendimento, incluindo as unidades pontuais e as faixas necessárias à implantação das adutoras, abrangendo os locais sujeitos às intervenções físicas decorrentes das obras.</w:t>
      </w:r>
    </w:p>
    <w:p>
      <w:pPr>
        <w:pStyle w:val="Ttulo2"/>
      </w:pPr>
      <w:r>
        <w:t xml:space="preserve">3.2 Área Onde será Implantada a Atividade</w:t>
      </w:r>
    </w:p>
    <w:p>
      <w:pPr/>
      <w:r>
        <w:t xml:space="preserve">O Quadro 2 apresenta a área ocupada por cada unidade do sistema, obtida a partir da delimitação georreferenciada das unidades projetadas. A área total, construída e livre do empreendimento corresponde, respectivamente, a </w:t>
      </w:r>
      <w:r>
        <w:rPr>
          <w:b/>
          <w:bCs/>
          <w:highlight w:val="yellow"/>
        </w:rPr>
        <w:t xml:space="preserve">[A VERIFICAR: area.total_m2]</w:t>
      </w:r>
      <w:r>
        <w:t xml:space="preserve"> m², </w:t>
      </w:r>
      <w:r>
        <w:rPr>
          <w:b/>
          <w:bCs/>
          <w:highlight w:val="yellow"/>
        </w:rPr>
        <w:t xml:space="preserve">[A VERIFICAR: area.construida_m2]</w:t>
      </w:r>
      <w:r>
        <w:t xml:space="preserve"> m² e </w:t>
      </w:r>
      <w:r>
        <w:rPr>
          <w:b/>
          <w:bCs/>
          <w:highlight w:val="yellow"/>
        </w:rPr>
        <w:t xml:space="preserve">[A VERIFICAR: area.livre_m2]</w:t>
      </w:r>
      <w:r>
        <w:t xml:space="preserve"> m².</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2</w:t>
      </w:r>
      <w:r>
        <w:fldChar w:fldCharType="end"/>
      </w:r>
      <w:r>
        <w:t xml:space="preserve">: Áreas ocupadas pelas unidades do sistema projetado.</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5346"/>
        <w:gridCol w:w="1944"/>
        <w:gridCol w:w="1203"/>
      </w:tblGrid>
      <w:tr>
        <w:trPr>
          <w:tblHeader/>
        </w:trPr>
        <w:tc>
          <w:tcPr>
            <w:tcW w:w="3147"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w:t>
            </w:r>
          </w:p>
        </w:tc>
        <w:tc>
          <w:tcPr>
            <w:tcW w:w="114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Área (m²)</w:t>
            </w:r>
          </w:p>
        </w:tc>
        <w:tc>
          <w:tcPr>
            <w:tcW w:w="70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Área (ha)</w:t>
            </w:r>
          </w:p>
        </w:tc>
      </w:tr>
      <w:tr>
        <w:tc>
          <w:tcPr>
            <w:tcW w:w="3147"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Jangada do Sul - General Carneiro Área do poço e tratamento</w:t>
            </w:r>
          </w:p>
        </w:tc>
        <w:tc>
          <w:tcPr>
            <w:tcW w:w="1144"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1.555,73</w:t>
            </w:r>
          </w:p>
        </w:tc>
        <w:tc>
          <w:tcPr>
            <w:tcW w:w="70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0,16</w:t>
            </w:r>
          </w:p>
        </w:tc>
      </w:tr>
    </w:tbl>
    <w:p>
      <w:pPr>
        <w:spacing w:after="0" w:line="240" w:lineRule="auto"/>
        <w:ind w:firstLine="0"/>
        <w:jc w:val="center"/>
      </w:pPr>
      <w:r>
        <w:rPr>
          <w:b/>
          <w:bCs/>
          <w:sz w:val="20"/>
          <w:szCs w:val="20"/>
        </w:rPr>
        <w:t xml:space="preserve">Fonte:</w:t>
      </w:r>
      <w:r>
        <w:rPr>
          <w:sz w:val="20"/>
          <w:szCs w:val="20"/>
        </w:rPr>
        <w:t xml:space="preserve"> Sanepar, 2026; adaptado pelo autor, 2026.</w:t>
      </w:r>
    </w:p>
    <w:p>
      <w:pPr/>
    </w:p>
    <w:p>
      <w:pPr/>
      <w:r>
        <w:t xml:space="preserve">Complementarmente às áreas pontuais de cada unidade, o Quadro 3 apresenta a extensão das adutoras que interligam o sistema.</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3</w:t>
      </w:r>
      <w:r>
        <w:fldChar w:fldCharType="end"/>
      </w:r>
      <w:r>
        <w:t xml:space="preserve">: Extensão das adutoras do sistema projetado.</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6228"/>
        <w:gridCol w:w="2265"/>
      </w:tblGrid>
      <w:tr>
        <w:trPr>
          <w:tblHeader/>
        </w:trPr>
        <w:tc>
          <w:tcPr>
            <w:tcW w:w="366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Adutora</w:t>
            </w:r>
          </w:p>
        </w:tc>
        <w:tc>
          <w:tcPr>
            <w:tcW w:w="1333"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Extensão (m)</w:t>
            </w:r>
          </w:p>
        </w:tc>
      </w:tr>
      <w:tr>
        <w:tc>
          <w:tcPr>
            <w:tcW w:w="366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Jangada do Sul - General Carneiro Adutora</w:t>
            </w:r>
          </w:p>
        </w:tc>
        <w:tc>
          <w:tcPr>
            <w:tcW w:w="1333"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594</w:t>
            </w:r>
          </w:p>
        </w:tc>
      </w:tr>
    </w:tbl>
    <w:p>
      <w:pPr>
        <w:spacing w:after="0" w:line="240" w:lineRule="auto"/>
        <w:ind w:firstLine="0"/>
        <w:jc w:val="center"/>
      </w:pPr>
      <w:r>
        <w:rPr>
          <w:b/>
          <w:bCs/>
          <w:sz w:val="20"/>
          <w:szCs w:val="20"/>
        </w:rPr>
        <w:t xml:space="preserve">Fonte:</w:t>
      </w:r>
      <w:r>
        <w:rPr>
          <w:sz w:val="20"/>
          <w:szCs w:val="20"/>
        </w:rPr>
        <w:t xml:space="preserve"> Sanepar, 2026; adaptado pelo autor, 2026.</w:t>
      </w:r>
    </w:p>
    <w:p>
      <w:pPr/>
    </w:p>
    <w:p>
      <w:pPr>
        <w:pStyle w:val="Ttulo2"/>
      </w:pPr>
      <w:r>
        <w:t xml:space="preserve">3.3 Coordenadas Geográficas e UTM</w:t>
      </w:r>
    </w:p>
    <w:p>
      <w:pPr/>
      <w:r>
        <w:t xml:space="preserve">As coordenadas das unidades do empreendimento são apresentadas no Quadro 4, no Sistema de Referência SIRGAS 2000, em coordenadas geográficas e na projeção UTM. Para as unidades lineares (adutoras), são indicados os pontos inicial e final do traçado.</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4</w:t>
      </w:r>
      <w:r>
        <w:fldChar w:fldCharType="end"/>
      </w:r>
      <w:r>
        <w:t xml:space="preserve">: Coordenadas geográficas e UTM das unidades do empreendimento (SIRGAS 2000).</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2307"/>
        <w:gridCol w:w="943"/>
        <w:gridCol w:w="1258"/>
        <w:gridCol w:w="1258"/>
        <w:gridCol w:w="1048"/>
        <w:gridCol w:w="1258"/>
        <w:gridCol w:w="419"/>
      </w:tblGrid>
      <w:tr>
        <w:trPr>
          <w:tblHeader/>
        </w:trPr>
        <w:tc>
          <w:tcPr>
            <w:tcW w:w="135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Unidade</w:t>
            </w:r>
          </w:p>
        </w:tc>
        <w:tc>
          <w:tcPr>
            <w:tcW w:w="555"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Ponto</w:t>
            </w:r>
          </w:p>
        </w:tc>
        <w:tc>
          <w:tcPr>
            <w:tcW w:w="740"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Latitude</w:t>
            </w:r>
          </w:p>
        </w:tc>
        <w:tc>
          <w:tcPr>
            <w:tcW w:w="740"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Longitude</w:t>
            </w:r>
          </w:p>
        </w:tc>
        <w:tc>
          <w:tcPr>
            <w:tcW w:w="617"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E (m)</w:t>
            </w:r>
          </w:p>
        </w:tc>
        <w:tc>
          <w:tcPr>
            <w:tcW w:w="740"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N (m)</w:t>
            </w:r>
          </w:p>
        </w:tc>
        <w:tc>
          <w:tcPr>
            <w:tcW w:w="24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Fuso</w:t>
            </w:r>
          </w:p>
        </w:tc>
      </w:tr>
      <w:tr>
        <w:tc>
          <w:tcPr>
            <w:tcW w:w="13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Jangada do Sul - General Carneiro Área do poço e tratamento</w:t>
            </w:r>
          </w:p>
        </w:tc>
        <w:tc>
          <w:tcPr>
            <w:tcW w:w="55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centroide</w:t>
            </w:r>
          </w:p>
        </w:tc>
        <w:tc>
          <w:tcPr>
            <w:tcW w:w="74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26°22'20.76" S</w:t>
            </w:r>
          </w:p>
        </w:tc>
        <w:tc>
          <w:tcPr>
            <w:tcW w:w="74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51°15'26.15" W</w:t>
            </w:r>
          </w:p>
        </w:tc>
        <w:tc>
          <w:tcPr>
            <w:tcW w:w="617"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474.335,19</w:t>
            </w:r>
          </w:p>
        </w:tc>
        <w:tc>
          <w:tcPr>
            <w:tcW w:w="740"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7.083.044,88</w:t>
            </w:r>
          </w:p>
        </w:tc>
        <w:tc>
          <w:tcPr>
            <w:tcW w:w="24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3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Jangada do Sul - General Carneiro Adutora</w:t>
            </w:r>
          </w:p>
        </w:tc>
        <w:tc>
          <w:tcPr>
            <w:tcW w:w="55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início</w:t>
            </w:r>
          </w:p>
        </w:tc>
        <w:tc>
          <w:tcPr>
            <w:tcW w:w="74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26°22'20.26" S</w:t>
            </w:r>
          </w:p>
        </w:tc>
        <w:tc>
          <w:tcPr>
            <w:tcW w:w="74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51°15'26.09" W</w:t>
            </w:r>
          </w:p>
        </w:tc>
        <w:tc>
          <w:tcPr>
            <w:tcW w:w="617"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474.336,94</w:t>
            </w:r>
          </w:p>
        </w:tc>
        <w:tc>
          <w:tcPr>
            <w:tcW w:w="740"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7.083.060,37</w:t>
            </w:r>
          </w:p>
        </w:tc>
        <w:tc>
          <w:tcPr>
            <w:tcW w:w="24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3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Jangada do Sul - General Carneiro Adutora</w:t>
            </w:r>
          </w:p>
        </w:tc>
        <w:tc>
          <w:tcPr>
            <w:tcW w:w="55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fim</w:t>
            </w:r>
          </w:p>
        </w:tc>
        <w:tc>
          <w:tcPr>
            <w:tcW w:w="74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26°22'30.18" S</w:t>
            </w:r>
          </w:p>
        </w:tc>
        <w:tc>
          <w:tcPr>
            <w:tcW w:w="74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51°15'19.70" W</w:t>
            </w:r>
          </w:p>
        </w:tc>
        <w:tc>
          <w:tcPr>
            <w:tcW w:w="617"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474.514,65</w:t>
            </w:r>
          </w:p>
        </w:tc>
        <w:tc>
          <w:tcPr>
            <w:tcW w:w="740"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7.082.755,52</w:t>
            </w:r>
          </w:p>
        </w:tc>
        <w:tc>
          <w:tcPr>
            <w:tcW w:w="24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bl>
    <w:p>
      <w:pPr>
        <w:spacing w:after="0" w:line="240" w:lineRule="auto"/>
        <w:ind w:firstLine="0"/>
        <w:jc w:val="center"/>
      </w:pPr>
      <w:r>
        <w:rPr>
          <w:b/>
          <w:bCs/>
          <w:sz w:val="20"/>
          <w:szCs w:val="20"/>
        </w:rPr>
        <w:t xml:space="preserve">Fonte:</w:t>
      </w:r>
      <w:r>
        <w:rPr>
          <w:sz w:val="20"/>
          <w:szCs w:val="20"/>
        </w:rPr>
        <w:t xml:space="preserve"> Elaborado pelo autor, 2026.</w:t>
      </w:r>
    </w:p>
    <w:p>
      <w:pPr/>
    </w:p>
    <w:p>
      <w:pPr/>
      <w:r>
        <w:t xml:space="preserve">A seguir são apresentados os mapas de localização das unidades que compõem o empreendimento.</w:t>
      </w:r>
    </w:p>
    <w:p>
      <w:pPr>
        <w:sectPr w:rsidR="009D29D3" w:rsidSect="00DB78D0">
          <w:type w:val="nextPage"/>
          <w:headerReference w:type="default" r:id="rId11"/>
          <w:headerReference w:type="first" r:id="rId12"/>
          <w:pgSz w:w="11906" w:h="16838"/>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keepNext/>
        <w:spacing w:after="0" w:line="240" w:lineRule="auto"/>
        <w:ind w:firstLine="0"/>
        <w:jc w:val="center"/>
      </w:pPr>
      <w:r>
        <w:drawing>
          <wp:inline xmlns:a="http://schemas.openxmlformats.org/drawingml/2006/main" xmlns:pic="http://schemas.openxmlformats.org/drawingml/2006/picture">
            <wp:extent cx="7798679" cy="4680000"/>
            <wp:docPr id="1" name="Picture 1"/>
            <wp:cNvGraphicFramePr>
              <a:graphicFrameLocks noChangeAspect="1"/>
            </wp:cNvGraphicFramePr>
            <a:graphic>
              <a:graphicData uri="http://schemas.openxmlformats.org/drawingml/2006/picture">
                <pic:pic>
                  <pic:nvPicPr>
                    <pic:cNvPr id="0" name="localizacao_unidades_7c23b33f65.jpg"/>
                    <pic:cNvPicPr/>
                  </pic:nvPicPr>
                  <pic:blipFill>
                    <a:blip r:embed="rId9"/>
                    <a:stretch>
                      <a:fillRect/>
                    </a:stretch>
                  </pic:blipFill>
                  <pic:spPr>
                    <a:xfrm>
                      <a:off x="0" y="0"/>
                      <a:ext cx="7798679" cy="4680000"/>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w:t>
      </w:r>
      <w:r>
        <w:fldChar w:fldCharType="end"/>
      </w:r>
      <w:r>
        <w:t xml:space="preserve">: Localização das unidades projetadas.</w:t>
      </w:r>
    </w:p>
    <w:p>
      <w:pPr>
        <w:spacing w:after="0" w:line="240" w:lineRule="auto"/>
        <w:ind w:firstLine="0"/>
        <w:jc w:val="center"/>
      </w:pPr>
      <w:r>
        <w:rPr>
          <w:b/>
          <w:bCs/>
          <w:sz w:val="20"/>
          <w:szCs w:val="20"/>
        </w:rPr>
        <w:t xml:space="preserve">Fonte:</w:t>
      </w:r>
      <w:r>
        <w:rPr>
          <w:sz w:val="20"/>
          <w:szCs w:val="20"/>
        </w:rPr>
        <w:t xml:space="preserve"> Esri World Imagery; Sanepar, 2026; elaborado pelo autor, 2026.</w:t>
      </w:r>
    </w:p>
    <w:p>
      <w:pPr/>
    </w:p>
    <w:p>
      <w:pPr>
        <w:sectPr w:rsidR="009D29D3" w:rsidSect="00DB78D0">
          <w:type w:val="nextPage"/>
          <w:headerReference w:type="default" r:id="rId11"/>
          <w:headerReference w:type="first" r:id="rId12"/>
          <w:pgSz w:w="16838" w:h="11906" w:orient="landscape"/>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keepNext/>
        <w:spacing w:after="0" w:line="240" w:lineRule="auto"/>
        <w:ind w:firstLine="0"/>
        <w:jc w:val="center"/>
      </w:pPr>
      <w:r>
        <w:drawing>
          <wp:inline xmlns:a="http://schemas.openxmlformats.org/drawingml/2006/main" xmlns:pic="http://schemas.openxmlformats.org/drawingml/2006/picture">
            <wp:extent cx="5400000" cy="4252656"/>
            <wp:docPr id="2" name="Picture 2"/>
            <wp:cNvGraphicFramePr>
              <a:graphicFrameLocks noChangeAspect="1"/>
            </wp:cNvGraphicFramePr>
            <a:graphic>
              <a:graphicData uri="http://schemas.openxmlformats.org/drawingml/2006/picture">
                <pic:pic>
                  <pic:nvPicPr>
                    <pic:cNvPr id="0" name="localizacao_regional.png"/>
                    <pic:cNvPicPr/>
                  </pic:nvPicPr>
                  <pic:blipFill>
                    <a:blip r:embed="rId10"/>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2</w:t>
      </w:r>
      <w:r>
        <w:fldChar w:fldCharType="end"/>
      </w:r>
      <w:r>
        <w:t xml:space="preserve">: Mapa de localização regional.</w:t>
      </w:r>
    </w:p>
    <w:p>
      <w:pPr>
        <w:spacing w:after="0" w:line="240" w:lineRule="auto"/>
        <w:ind w:firstLine="0"/>
        <w:jc w:val="center"/>
      </w:pPr>
      <w:r>
        <w:rPr>
          <w:b/>
          <w:bCs/>
          <w:sz w:val="20"/>
          <w:szCs w:val="20"/>
        </w:rPr>
        <w:t xml:space="preserve">Fonte:</w:t>
      </w:r>
      <w:r>
        <w:rPr>
          <w:sz w:val="20"/>
          <w:szCs w:val="20"/>
        </w:rPr>
        <w:t xml:space="preserve"> IBGE, 2022; elaborado pelo autor, 2026.</w:t>
      </w:r>
    </w:p>
    <w:p>
      <w:pPr/>
    </w:p>
    <w:p>
      <w:pPr>
        <w:pStyle w:val="Ttulo2"/>
      </w:pPr>
      <w:r>
        <w:t xml:space="preserve">3.4 Alternativa de Acessos ao Empreendimento</w:t>
      </w:r>
    </w:p>
    <w:p>
      <w:pPr/>
      <w:r>
        <w:t xml:space="preserve">O Paraná está inserido na Região Sul do território brasileiro, fazendo divisa, ao norte, com o estado de São Paulo, a leste, com o oceano Atlântico, ao sul, com Santa Catarina, a sudoeste e oeste, respectivamente, com a Argentina e o Paraguai, e, a noroeste, com o estado de Mato Grosso do Sul. O estado ocupa uma extensão territorial de aproximadamente 199.575 km².</w:t>
      </w:r>
    </w:p>
    <w:p>
      <w:pPr/>
      <w:r>
        <w:t xml:space="preserve">O município de General Carneiro está localizado na mesorregião Sudeste Paranaense, na Região Geográfica Imediata de União da Vitória. Possui área territorial de aproximadamente 1.071 km² e população de 11.062 habitantes (IBGE, 2022). Faz divisa com os municípios de Bituruna, Palmas e Porto Vitória.</w:t>
      </w:r>
    </w:p>
    <w:p>
      <w:pPr/>
      <w:r>
        <w:t xml:space="preserve">O município dista aproximadamente 265 km de Curitiba por via rodoviária (OSRM, 2026), sendo servido, na região do empreendimento, pelas rodovias BR-153 e PR-170 (OPENSTREETMAP, 2026). </w:t>
      </w:r>
      <w:r>
        <w:rPr>
          <w:b/>
          <w:bCs/>
          <w:highlight w:val="yellow"/>
        </w:rPr>
        <w:t xml:space="preserve">[A VERIFICAR: rodovia de acesso principal e condições de tráfego/pavimentação até as unidades.]</w:t>
      </w:r>
    </w:p>
    <w:p>
      <w:pPr/>
      <w:r>
        <w:rPr>
          <w:b/>
          <w:bCs/>
          <w:highlight w:val="yellow"/>
        </w:rPr>
        <w:t xml:space="preserve">[A VERIFICAR: alternativas de acesso a cada unidade (urbana e rural), com figuras.]</w:t>
      </w:r>
    </w:p>
    <w:p>
      <w:pPr>
        <w:pStyle w:val="Ttulo2"/>
      </w:pPr>
      <w:r>
        <w:t xml:space="preserve">3.5 Caracterização Meio Físico</w:t>
      </w:r>
    </w:p>
    <w:p>
      <w:pPr>
        <w:pStyle w:val="Ttulo3"/>
      </w:pPr>
      <w:r>
        <w:t xml:space="preserve">3.5.1 Pedologia</w:t>
      </w:r>
    </w:p>
    <w:p>
      <w:pPr/>
      <w:r>
        <w:t xml:space="preserve">De acordo com o mapeamento pedológico do IBGE, em escala 1:250.000, a área de intervenção do empreendimento abrange as seguintes classes de solo: Cambissolo Húmico Alumínico (100,0% da área de intervenção; relevo ondulado e forte ondulado; textura argilosa e muito argilosa) (IBGE, 2023). Por unidade, Jangada do Sul - General Carneiro Área do poço e tratamento e Jangada do Sul - General Carneiro Adutora assentam-se predominantemente sobre Cambissolo Húmico Alumínico.</w:t>
      </w:r>
    </w:p>
    <w:p>
      <w:pPr>
        <w:keepNext/>
        <w:spacing w:after="0" w:line="240" w:lineRule="auto"/>
        <w:ind w:firstLine="0"/>
        <w:jc w:val="center"/>
      </w:pPr>
      <w:r>
        <w:drawing>
          <wp:inline xmlns:a="http://schemas.openxmlformats.org/drawingml/2006/main" xmlns:pic="http://schemas.openxmlformats.org/drawingml/2006/picture">
            <wp:extent cx="5400000" cy="4252656"/>
            <wp:docPr id="3" name="Picture 3"/>
            <wp:cNvGraphicFramePr>
              <a:graphicFrameLocks noChangeAspect="1"/>
            </wp:cNvGraphicFramePr>
            <a:graphic>
              <a:graphicData uri="http://schemas.openxmlformats.org/drawingml/2006/picture">
                <pic:pic>
                  <pic:nvPicPr>
                    <pic:cNvPr id="0" name="solos.png"/>
                    <pic:cNvPicPr/>
                  </pic:nvPicPr>
                  <pic:blipFill>
                    <a:blip r:embed="rId13"/>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3</w:t>
      </w:r>
      <w:r>
        <w:fldChar w:fldCharType="end"/>
      </w:r>
      <w:r>
        <w:t xml:space="preserve">: Mapa de solos da área do empreendimento.</w:t>
      </w:r>
    </w:p>
    <w:p>
      <w:pPr>
        <w:spacing w:after="0" w:line="240" w:lineRule="auto"/>
        <w:ind w:firstLine="0"/>
        <w:jc w:val="center"/>
      </w:pPr>
      <w:r>
        <w:rPr>
          <w:b/>
          <w:bCs/>
          <w:sz w:val="20"/>
          <w:szCs w:val="20"/>
        </w:rPr>
        <w:t xml:space="preserve">Fonte:</w:t>
      </w:r>
      <w:r>
        <w:rPr>
          <w:sz w:val="20"/>
          <w:szCs w:val="20"/>
        </w:rPr>
        <w:t xml:space="preserve"> Embrapa; IAT; elaborado pelo autor, 2026.</w:t>
      </w:r>
    </w:p>
    <w:p>
      <w:pPr/>
    </w:p>
    <w:p>
      <w:pPr>
        <w:pStyle w:val="Ttulo4"/>
      </w:pPr>
      <w:r>
        <w:t xml:space="preserve">3.5.1.1 Uso do Solo</w:t>
      </w:r>
    </w:p>
    <w:p>
      <w:pPr/>
      <w:r>
        <w:t xml:space="preserve">Segundo o mapeamento de cobertura e uso da terra do Projeto MapBiomas (Coleção 9, ano-base 2023), a área de intervenção do empreendimento é ocupada por mosaico de usos (67,4%), formação florestal (23,7%), área urbanizada (5,3%) e rio, lago e oceano (3,5%) (PROJETO MAPBIOMAS, 2024). As formações naturais somam cerca de 23,7% da área, o restante correspondendo a usos antrópicos. O mapeamento, de resolução espacial de 30 m, caracteriza o contexto regional e deve ser confirmado em campo. O uso do solo na área do empreendimento é apresentado na Figura 4.</w:t>
      </w:r>
    </w:p>
    <w:p>
      <w:pPr>
        <w:keepNext/>
        <w:spacing w:after="0" w:line="240" w:lineRule="auto"/>
        <w:ind w:firstLine="0"/>
        <w:jc w:val="center"/>
      </w:pPr>
      <w:r>
        <w:drawing>
          <wp:inline xmlns:a="http://schemas.openxmlformats.org/drawingml/2006/main" xmlns:pic="http://schemas.openxmlformats.org/drawingml/2006/picture">
            <wp:extent cx="5400000" cy="4252656"/>
            <wp:docPr id="4" name="Picture 4"/>
            <wp:cNvGraphicFramePr>
              <a:graphicFrameLocks noChangeAspect="1"/>
            </wp:cNvGraphicFramePr>
            <a:graphic>
              <a:graphicData uri="http://schemas.openxmlformats.org/drawingml/2006/picture">
                <pic:pic>
                  <pic:nvPicPr>
                    <pic:cNvPr id="0" name="uso_solo.png"/>
                    <pic:cNvPicPr/>
                  </pic:nvPicPr>
                  <pic:blipFill>
                    <a:blip r:embed="rId14"/>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4</w:t>
      </w:r>
      <w:r>
        <w:fldChar w:fldCharType="end"/>
      </w:r>
      <w:r>
        <w:t xml:space="preserve">: Uso do solo na área do empreendimento.</w:t>
      </w:r>
    </w:p>
    <w:p>
      <w:pPr>
        <w:spacing w:after="0" w:line="240" w:lineRule="auto"/>
        <w:ind w:firstLine="0"/>
        <w:jc w:val="center"/>
      </w:pPr>
      <w:r>
        <w:rPr>
          <w:b/>
          <w:bCs/>
          <w:sz w:val="20"/>
          <w:szCs w:val="20"/>
        </w:rPr>
        <w:t xml:space="preserve">Fonte:</w:t>
      </w:r>
      <w:r>
        <w:rPr>
          <w:sz w:val="20"/>
          <w:szCs w:val="20"/>
        </w:rPr>
        <w:t xml:space="preserve"> MapBiomas, Coleção 9; elaborado pelo autor, 2026.</w:t>
      </w:r>
    </w:p>
    <w:p>
      <w:pPr/>
    </w:p>
    <w:p>
      <w:pPr>
        <w:pStyle w:val="Ttulo3"/>
      </w:pPr>
      <w:r>
        <w:t xml:space="preserve">3.5.2 Geomorfologia</w:t>
      </w:r>
    </w:p>
    <w:p>
      <w:pPr/>
      <w:r>
        <w:t xml:space="preserve">O território paranaense é constituído por três grandes unidades morfoestruturais: o Cinturão Orogênico do Atlântico, a Bacia Sedimentar do Paraná, que se estende pela porção central e ocidental do Estado, e as Bacias Sedimentares Cenozóicas e Depressões Tectônicas. Na sua configuração, predomina o relevo de planalto, sendo reconhecidos cinco compartimentos geomorfológicos (grandes unidades morfoesculturais): Litoral, Serra do Mar, Primeiro Planalto, Segundo Planalto e Terceiro Planalto Paranaense (MAACK, 1968).</w:t>
      </w:r>
    </w:p>
    <w:p>
      <w:pPr/>
      <w:r>
        <w:t xml:space="preserve">No contexto geomorfológico, o empreendimento insere-se predominantemente na unidade Planalto Dissecado Rio Iguaçu, pertencente à região Planalto das Araucárias e ao domínio das Bacias e Coberturas Sedimentares Fanerozóicas, com formas de topo aguçado (IBGE, 2023). As altitudes ao longo das unidades variam de 845 m a 876 m (EUROPEAN SPACE AGENCY, 2021). Quanto à declividade, predominam os relevos forte ondulado (61,6%), ondulado (22,4%), suave ondulado (8,9%) e plano (7,1%), segundo as classes de relevo da EMBRAPA (EMBRAPA, 1979).</w:t>
      </w:r>
    </w:p>
    <w:p>
      <w:pPr>
        <w:keepNext/>
        <w:spacing w:after="0" w:line="240" w:lineRule="auto"/>
        <w:ind w:firstLine="0"/>
        <w:jc w:val="center"/>
      </w:pPr>
      <w:r>
        <w:drawing>
          <wp:inline xmlns:a="http://schemas.openxmlformats.org/drawingml/2006/main" xmlns:pic="http://schemas.openxmlformats.org/drawingml/2006/picture">
            <wp:extent cx="5400000" cy="4252656"/>
            <wp:docPr id="5" name="Picture 5"/>
            <wp:cNvGraphicFramePr>
              <a:graphicFrameLocks noChangeAspect="1"/>
            </wp:cNvGraphicFramePr>
            <a:graphic>
              <a:graphicData uri="http://schemas.openxmlformats.org/drawingml/2006/picture">
                <pic:pic>
                  <pic:nvPicPr>
                    <pic:cNvPr id="0" name="geomorfologia.png"/>
                    <pic:cNvPicPr/>
                  </pic:nvPicPr>
                  <pic:blipFill>
                    <a:blip r:embed="rId16"/>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5</w:t>
      </w:r>
      <w:r>
        <w:fldChar w:fldCharType="end"/>
      </w:r>
      <w:r>
        <w:t xml:space="preserve">: Geomorfologia da área do empreendimento.</w:t>
      </w:r>
    </w:p>
    <w:p>
      <w:pPr>
        <w:spacing w:after="0" w:line="240" w:lineRule="auto"/>
        <w:ind w:firstLine="0"/>
        <w:jc w:val="center"/>
      </w:pPr>
      <w:r>
        <w:rPr>
          <w:b/>
          <w:bCs/>
          <w:sz w:val="20"/>
          <w:szCs w:val="20"/>
        </w:rPr>
        <w:t xml:space="preserve">Fonte:</w:t>
      </w:r>
      <w:r>
        <w:rPr>
          <w:sz w:val="20"/>
          <w:szCs w:val="20"/>
        </w:rPr>
        <w:t xml:space="preserve"> MINEROPAR/UFPR, 2006; elaborado pelo autor, 2026.</w:t>
      </w:r>
    </w:p>
    <w:p>
      <w:pPr/>
    </w:p>
    <w:p>
      <w:pPr>
        <w:keepNext/>
        <w:spacing w:after="0" w:line="240" w:lineRule="auto"/>
        <w:ind w:firstLine="0"/>
        <w:jc w:val="center"/>
      </w:pPr>
      <w:r>
        <w:drawing>
          <wp:inline xmlns:a="http://schemas.openxmlformats.org/drawingml/2006/main" xmlns:pic="http://schemas.openxmlformats.org/drawingml/2006/picture">
            <wp:extent cx="5400000" cy="4252656"/>
            <wp:docPr id="6" name="Picture 6"/>
            <wp:cNvGraphicFramePr>
              <a:graphicFrameLocks noChangeAspect="1"/>
            </wp:cNvGraphicFramePr>
            <a:graphic>
              <a:graphicData uri="http://schemas.openxmlformats.org/drawingml/2006/picture">
                <pic:pic>
                  <pic:nvPicPr>
                    <pic:cNvPr id="0" name="altimetria.png"/>
                    <pic:cNvPicPr/>
                  </pic:nvPicPr>
                  <pic:blipFill>
                    <a:blip r:embed="rId17"/>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6</w:t>
      </w:r>
      <w:r>
        <w:fldChar w:fldCharType="end"/>
      </w:r>
      <w:r>
        <w:t xml:space="preserve">: Altimetria da área do empreendimento.</w:t>
      </w:r>
    </w:p>
    <w:p>
      <w:pPr>
        <w:spacing w:after="0" w:line="240" w:lineRule="auto"/>
        <w:ind w:firstLine="0"/>
        <w:jc w:val="center"/>
      </w:pPr>
      <w:r>
        <w:rPr>
          <w:b/>
          <w:bCs/>
          <w:sz w:val="20"/>
          <w:szCs w:val="20"/>
        </w:rPr>
        <w:t xml:space="preserve">Fonte:</w:t>
      </w:r>
      <w:r>
        <w:rPr>
          <w:sz w:val="20"/>
          <w:szCs w:val="20"/>
        </w:rPr>
        <w:t xml:space="preserve"> Copernicus DEM GLO-30; elaborado pelo autor, 2026.</w:t>
      </w:r>
    </w:p>
    <w:p>
      <w:pPr/>
    </w:p>
    <w:p>
      <w:pPr>
        <w:keepNext/>
        <w:spacing w:after="0" w:line="240" w:lineRule="auto"/>
        <w:ind w:firstLine="0"/>
        <w:jc w:val="center"/>
      </w:pPr>
      <w:r>
        <w:drawing>
          <wp:inline xmlns:a="http://schemas.openxmlformats.org/drawingml/2006/main" xmlns:pic="http://schemas.openxmlformats.org/drawingml/2006/picture">
            <wp:extent cx="5400000" cy="4252656"/>
            <wp:docPr id="7" name="Picture 7"/>
            <wp:cNvGraphicFramePr>
              <a:graphicFrameLocks noChangeAspect="1"/>
            </wp:cNvGraphicFramePr>
            <a:graphic>
              <a:graphicData uri="http://schemas.openxmlformats.org/drawingml/2006/picture">
                <pic:pic>
                  <pic:nvPicPr>
                    <pic:cNvPr id="0" name="declividade.png"/>
                    <pic:cNvPicPr/>
                  </pic:nvPicPr>
                  <pic:blipFill>
                    <a:blip r:embed="rId18"/>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7</w:t>
      </w:r>
      <w:r>
        <w:fldChar w:fldCharType="end"/>
      </w:r>
      <w:r>
        <w:t xml:space="preserve">: Declividades existentes na área do empreendimento.</w:t>
      </w:r>
    </w:p>
    <w:p>
      <w:pPr>
        <w:spacing w:after="0" w:line="240" w:lineRule="auto"/>
        <w:ind w:firstLine="0"/>
        <w:jc w:val="center"/>
      </w:pPr>
      <w:r>
        <w:rPr>
          <w:b/>
          <w:bCs/>
          <w:sz w:val="20"/>
          <w:szCs w:val="20"/>
        </w:rPr>
        <w:t xml:space="preserve">Fonte:</w:t>
      </w:r>
      <w:r>
        <w:rPr>
          <w:sz w:val="20"/>
          <w:szCs w:val="20"/>
        </w:rPr>
        <w:t xml:space="preserve"> Copernicus DEM GLO-30; elaborado pelo autor, 2026.</w:t>
      </w:r>
    </w:p>
    <w:p>
      <w:pPr/>
    </w:p>
    <w:p>
      <w:pPr>
        <w:pStyle w:val="Ttulo3"/>
      </w:pPr>
      <w:r>
        <w:t xml:space="preserve">3.5.3 Hidrologia</w:t>
      </w:r>
    </w:p>
    <w:p>
      <w:pPr/>
      <w:r>
        <w:t xml:space="preserve">O Paraná possui 16 bacias hidrográficas: Bacia do Rio das Cinzas, Bacia do Rio Iguaçu, Bacia do Rio Itararé, Bacia do Rio Ivaí, Bacia Litorânea, Bacia do Paraná 1, Bacia do Paraná 2, Bacia do Paraná 3, Bacia do Paranapanema 1, Bacia do Paranapanema 2, Bacia do Paranapanema 3, Bacia do Paranapanema 4, Bacia do Rio Piquiri, Bacia do Rio Pirapó, Bacia do Rio Ribeira e Bacia do Rio Tibagi.</w:t>
      </w:r>
    </w:p>
    <w:p>
      <w:pPr/>
      <w:r>
        <w:t xml:space="preserve">A Resolução CERH/PR nº 49/2006 agrupa essas bacias em 12 unidades hidrográficas: Unidade Hidrográfica Litorânea; Unidade Hidrográfica do Alto Iguaçu, Afluentes do Rio Negro e Afluentes do Rio Ribeira; Unidade Hidrográfica do Itararé, do Cinzas, do Paranapanema 1 e do Paranapanema 2; Unidade Hidrográfica do Baixo Tibagi; Unidade Hidrográfica do Alto Tibagi; Unidade Hidrográfica do Pirapó, do Paranapanema 3 e do Paranapanema 4; Unidade Hidrográfica do Alto Ivaí; Unidade Hidrográfica do Baixo Ivaí e do Paraná 1; Unidade Hidrográfica da Bacia do Piquiri e do Paraná 2; Unidade Hidrográfica do Paraná 3; Unidade Hidrográfica dos Afluentes do Médio Iguaçu e Unidade Hidrográfica dos Afluentes do Baixo Iguaçu.</w:t>
      </w:r>
    </w:p>
    <w:p>
      <w:pPr/>
      <w:r>
        <w:t xml:space="preserve">O município de General Carneiro, onde se insere o empreendimento, está compreendido na Bacia do Rio Iguaçu. </w:t>
      </w:r>
      <w:r>
        <w:rPr>
          <w:b/>
          <w:bCs/>
          <w:highlight w:val="yellow"/>
        </w:rPr>
        <w:t xml:space="preserve">[A VERIFICAR: área de drenagem e uso do solo da bacia.]</w:t>
      </w:r>
    </w:p>
    <w:p>
      <w:pPr/>
      <w:r>
        <w:t xml:space="preserve">No âmbito local, o manancial de captação projetado é o Poço CSB-01, enquadrado na </w:t>
      </w:r>
      <w:r>
        <w:rPr>
          <w:b/>
          <w:bCs/>
          <w:highlight w:val="yellow"/>
        </w:rPr>
        <w:t xml:space="preserve">[A VERIFICAR: manancial.classe]</w:t>
      </w:r>
      <w:r>
        <w:t xml:space="preserve">. </w:t>
      </w:r>
      <w:r>
        <w:rPr>
          <w:b/>
          <w:bCs/>
          <w:highlight w:val="yellow"/>
        </w:rPr>
        <w:t xml:space="preserve">[A VERIFICAR: área da bacia de contribuição no ponto de captação e cursos d'água interceptados pelas adutoras.]</w:t>
      </w:r>
    </w:p>
    <w:p>
      <w:pPr/>
      <w:r>
        <w:t xml:space="preserve">O empreendimento situa-se na Unidade de Planejamento Hídrico Afluentes-MD-IGÇ (ANA, [20--]); o curso d'água nomeado mais próximo da unidade Jangada do Sul - General Carneiro Área do poço e tratamento é o Rio Jangada, a aproximadamente 47 m; o curso d'água nomeado mais próximo da unidade Jangada do Sul - General Carneiro Adutora é o Rio Jangada, a aproximadamente 40 m.</w:t>
      </w:r>
    </w:p>
    <w:p>
      <w:pPr>
        <w:keepNext/>
        <w:spacing w:after="0" w:line="240" w:lineRule="auto"/>
        <w:ind w:firstLine="0"/>
        <w:jc w:val="center"/>
      </w:pPr>
      <w:r>
        <w:drawing>
          <wp:inline xmlns:a="http://schemas.openxmlformats.org/drawingml/2006/main" xmlns:pic="http://schemas.openxmlformats.org/drawingml/2006/picture">
            <wp:extent cx="5400000" cy="4252656"/>
            <wp:docPr id="8" name="Picture 8"/>
            <wp:cNvGraphicFramePr>
              <a:graphicFrameLocks noChangeAspect="1"/>
            </wp:cNvGraphicFramePr>
            <a:graphic>
              <a:graphicData uri="http://schemas.openxmlformats.org/drawingml/2006/picture">
                <pic:pic>
                  <pic:nvPicPr>
                    <pic:cNvPr id="0" name="bacia.png"/>
                    <pic:cNvPicPr/>
                  </pic:nvPicPr>
                  <pic:blipFill>
                    <a:blip r:embed="rId19"/>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8</w:t>
      </w:r>
      <w:r>
        <w:fldChar w:fldCharType="end"/>
      </w:r>
      <w:r>
        <w:t xml:space="preserve">: Bacia hidrográfica do empreendimento.</w:t>
      </w:r>
    </w:p>
    <w:p>
      <w:pPr>
        <w:spacing w:after="0" w:line="240" w:lineRule="auto"/>
        <w:ind w:firstLine="0"/>
        <w:jc w:val="center"/>
      </w:pPr>
      <w:r>
        <w:rPr>
          <w:b/>
          <w:bCs/>
          <w:sz w:val="20"/>
          <w:szCs w:val="20"/>
        </w:rPr>
        <w:t xml:space="preserve">Fonte:</w:t>
      </w:r>
      <w:r>
        <w:rPr>
          <w:sz w:val="20"/>
          <w:szCs w:val="20"/>
        </w:rPr>
        <w:t xml:space="preserve"> ANA; IAT; elaborado pelo autor, 2026.</w:t>
      </w:r>
    </w:p>
    <w:p>
      <w:pPr/>
    </w:p>
    <w:p>
      <w:pPr>
        <w:pStyle w:val="Ttulo3"/>
      </w:pPr>
      <w:r>
        <w:t xml:space="preserve">3.5.4 Geologia</w:t>
      </w:r>
    </w:p>
    <w:p>
      <w:pPr/>
      <w:r>
        <w:t xml:space="preserve">Do ponto de vista geológico, as unidades do empreendimento assentam-se sobre Grupo Serra Geral (grupo do Cretáceo Mesozóico), com litotipos de andesito basáltico, arenito, arenito lítico, basalto, basalto andesítico, dacito, diabásio, diorito, gabro, riodacito, riolito, traquiandesito, traquidacito, tufito (SGB, [20--]). No mapeamento geológico do IBGE (escala 1:250.000), a área corresponde às unidades Serra Geral (IBGE, 2023).</w:t>
      </w:r>
    </w:p>
    <w:p>
      <w:pPr>
        <w:keepNext/>
        <w:spacing w:after="0" w:line="240" w:lineRule="auto"/>
        <w:ind w:firstLine="0"/>
        <w:jc w:val="center"/>
      </w:pPr>
      <w:r>
        <w:drawing>
          <wp:inline xmlns:a="http://schemas.openxmlformats.org/drawingml/2006/main" xmlns:pic="http://schemas.openxmlformats.org/drawingml/2006/picture">
            <wp:extent cx="5400000" cy="4252656"/>
            <wp:docPr id="9" name="Picture 9"/>
            <wp:cNvGraphicFramePr>
              <a:graphicFrameLocks noChangeAspect="1"/>
            </wp:cNvGraphicFramePr>
            <a:graphic>
              <a:graphicData uri="http://schemas.openxmlformats.org/drawingml/2006/picture">
                <pic:pic>
                  <pic:nvPicPr>
                    <pic:cNvPr id="0" name="geologia.png"/>
                    <pic:cNvPicPr/>
                  </pic:nvPicPr>
                  <pic:blipFill>
                    <a:blip r:embed="rId21"/>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9</w:t>
      </w:r>
      <w:r>
        <w:fldChar w:fldCharType="end"/>
      </w:r>
      <w:r>
        <w:t xml:space="preserve">: Geologia das áreas do empreendimento.</w:t>
      </w:r>
    </w:p>
    <w:p>
      <w:pPr>
        <w:spacing w:after="0" w:line="240" w:lineRule="auto"/>
        <w:ind w:firstLine="0"/>
        <w:jc w:val="center"/>
      </w:pPr>
      <w:r>
        <w:rPr>
          <w:b/>
          <w:bCs/>
          <w:sz w:val="20"/>
          <w:szCs w:val="20"/>
        </w:rPr>
        <w:t xml:space="preserve">Fonte:</w:t>
      </w:r>
      <w:r>
        <w:rPr>
          <w:sz w:val="20"/>
          <w:szCs w:val="20"/>
        </w:rPr>
        <w:t xml:space="preserve"> SGB/CPRM; elaborado pelo autor, 2026.</w:t>
      </w:r>
    </w:p>
    <w:p>
      <w:pPr/>
    </w:p>
    <w:p>
      <w:pPr>
        <w:pStyle w:val="Ttulo3"/>
      </w:pPr>
      <w:r>
        <w:t xml:space="preserve">3.5.5 Hidrogeologia</w:t>
      </w:r>
    </w:p>
    <w:p>
      <w:pPr/>
      <w:r>
        <w:t xml:space="preserve">Em termos hidrogeológicos, a área do empreendimento insere-se na unidade Serra Geral (domínio Vulcânicas, subdomínio Vulcânicas), segundo o mapa de domínios e subdomínios hidrogeológicos do Brasil (SGB, [20--]).</w:t>
      </w:r>
    </w:p>
    <w:p>
      <w:pPr>
        <w:keepNext/>
        <w:spacing w:after="0" w:line="240" w:lineRule="auto"/>
        <w:ind w:firstLine="0"/>
        <w:jc w:val="center"/>
      </w:pPr>
      <w:r>
        <w:drawing>
          <wp:inline xmlns:a="http://schemas.openxmlformats.org/drawingml/2006/main" xmlns:pic="http://schemas.openxmlformats.org/drawingml/2006/picture">
            <wp:extent cx="5400000" cy="4252656"/>
            <wp:docPr id="10" name="Picture 10"/>
            <wp:cNvGraphicFramePr>
              <a:graphicFrameLocks noChangeAspect="1"/>
            </wp:cNvGraphicFramePr>
            <a:graphic>
              <a:graphicData uri="http://schemas.openxmlformats.org/drawingml/2006/picture">
                <pic:pic>
                  <pic:nvPicPr>
                    <pic:cNvPr id="0" name="hidrogeologia.png"/>
                    <pic:cNvPicPr/>
                  </pic:nvPicPr>
                  <pic:blipFill>
                    <a:blip r:embed="rId22"/>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10</w:t>
      </w:r>
      <w:r>
        <w:fldChar w:fldCharType="end"/>
      </w:r>
      <w:r>
        <w:t xml:space="preserve">: Hidrogeologia das áreas do empreendimento.</w:t>
      </w:r>
    </w:p>
    <w:p>
      <w:pPr>
        <w:spacing w:after="0" w:line="240" w:lineRule="auto"/>
        <w:ind w:firstLine="0"/>
        <w:jc w:val="center"/>
      </w:pPr>
      <w:r>
        <w:rPr>
          <w:b/>
          <w:bCs/>
          <w:sz w:val="20"/>
          <w:szCs w:val="20"/>
        </w:rPr>
        <w:t xml:space="preserve">Fonte:</w:t>
      </w:r>
      <w:r>
        <w:rPr>
          <w:sz w:val="20"/>
          <w:szCs w:val="20"/>
        </w:rPr>
        <w:t xml:space="preserve"> SGB/CPRM; elaborado pelo autor, 2026.</w:t>
      </w:r>
    </w:p>
    <w:p>
      <w:pPr/>
    </w:p>
    <w:p>
      <w:pPr>
        <w:pStyle w:val="Ttulo2"/>
      </w:pPr>
      <w:r>
        <w:t xml:space="preserve">3.6 Caracterização Meio Biótico (Cobertura Vegetal)</w:t>
      </w:r>
    </w:p>
    <w:p>
      <w:pPr/>
      <w:r>
        <w:t xml:space="preserve">De acordo com o mapeamento de vegetação do IBGE, a região do empreendimento pertence originalmente ao domínio da Floresta Ombrófila Mista (IBGE, 2023). Atualmente, a cobertura na área de intervenção é classificada como vegetação secundária, refletindo a ocupação antrópica da paisagem. Remanescentes de formação florestal ocupam cerca de 23,7% da área de intervenção (PROJETO MAPBIOMAS, 2024). Entre os registros de ocorrência disponíveis no GBIF para o entorno, constam espécies da Lista Nacional de Espécies Ameaçadas (Portaria MMA nº 148/2022), como Calibrachoa spathulata (VU), Dicksonia sellowiana (EN), Senecio heteroschizus (EN), Deschampsia cespitosa (EN), Abatia angeliana (VU), Cuphea lindmaniana (EN), Ocotea porosa (EN) e Amazona vinacea (VU) (GBIF.ORG, 2026; BRASIL, 2022). Trata-se de registros secundários, que indicam ocorrência potencial e não substituem o levantamento de campo.</w:t>
      </w:r>
    </w:p>
    <w:p>
      <w:pPr>
        <w:keepNext/>
        <w:spacing w:after="0" w:line="240" w:lineRule="auto"/>
        <w:ind w:firstLine="0"/>
        <w:jc w:val="center"/>
      </w:pPr>
      <w:r>
        <w:drawing>
          <wp:inline xmlns:a="http://schemas.openxmlformats.org/drawingml/2006/main" xmlns:pic="http://schemas.openxmlformats.org/drawingml/2006/picture">
            <wp:extent cx="5400000" cy="4252656"/>
            <wp:docPr id="11" name="Picture 11"/>
            <wp:cNvGraphicFramePr>
              <a:graphicFrameLocks noChangeAspect="1"/>
            </wp:cNvGraphicFramePr>
            <a:graphic>
              <a:graphicData uri="http://schemas.openxmlformats.org/drawingml/2006/picture">
                <pic:pic>
                  <pic:nvPicPr>
                    <pic:cNvPr id="0" name="fitogeografia.png"/>
                    <pic:cNvPicPr/>
                  </pic:nvPicPr>
                  <pic:blipFill>
                    <a:blip r:embed="rId23"/>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11</w:t>
      </w:r>
      <w:r>
        <w:fldChar w:fldCharType="end"/>
      </w:r>
      <w:r>
        <w:t xml:space="preserve">: Enquadramento fitogeográfico da área do empreendimento.</w:t>
      </w:r>
    </w:p>
    <w:p>
      <w:pPr>
        <w:spacing w:after="0" w:line="240" w:lineRule="auto"/>
        <w:ind w:firstLine="0"/>
        <w:jc w:val="center"/>
      </w:pPr>
      <w:r>
        <w:rPr>
          <w:b/>
          <w:bCs/>
          <w:sz w:val="20"/>
          <w:szCs w:val="20"/>
        </w:rPr>
        <w:t xml:space="preserve">Fonte:</w:t>
      </w:r>
      <w:r>
        <w:rPr>
          <w:sz w:val="20"/>
          <w:szCs w:val="20"/>
        </w:rPr>
        <w:t xml:space="preserve"> Adaptado de IAT, 2023.</w:t>
      </w:r>
    </w:p>
    <w:p>
      <w:pPr/>
    </w:p>
    <w:p>
      <w:pPr>
        <w:pStyle w:val="Ttulo3"/>
      </w:pPr>
      <w:r>
        <w:t xml:space="preserve">3.6.1 Áreas de Preservação Permanente e Reserva Legal</w:t>
      </w:r>
    </w:p>
    <w:p>
      <w:pPr/>
      <w:r>
        <w:t xml:space="preserve">As áreas com vegetação nativa existentes no entorno do empreendimento desempenham importante função ecológica, atuando como corredores ecológicos que favorecem o deslocamento da fauna, promovem o fluxo gênico entre populações, contribuem para a conservação da biodiversidade, a proteção dos recursos hídricos, a estabilidade geológica, a conservação do solo e a manutenção da paisagem.</w:t>
      </w:r>
    </w:p>
    <w:p>
      <w:pPr/>
      <w:r>
        <w:t xml:space="preserve">A delimitação das Áreas de Preservação Permanente (APP) e da Reserva Legal foi realizada com base nas informações constantes no Cadastro Ambiental Rural (SICAR) e nos critérios da Lei nº 12.651/2012, sendo apresentada na Figura 12. </w:t>
      </w:r>
      <w:r>
        <w:rPr>
          <w:b/>
          <w:bCs/>
          <w:highlight w:val="yellow"/>
        </w:rPr>
        <w:t xml:space="preserve">[A VERIFICAR: ocorrência de Reserva Legal nos imóveis afetados, conforme CAR/SICAR – colocar os arquivos do CAR em dados/car/ e regenerar o mapa.]</w:t>
      </w:r>
    </w:p>
    <w:p>
      <w:pPr/>
      <w:r>
        <w:t xml:space="preserve">As Áreas de Preservação Permanente foram delimitadas conforme o art. 4º da Lei nº 12.651/2012, considerando faixa de 30 m para cursos d'água com até 10 m de largura e raio de 50 m no entorno de nascentes (BRASIL, 2012). Não foi identificada sobreposição das unidades com APP.</w:t>
      </w:r>
    </w:p>
    <w:p>
      <w:pPr>
        <w:sectPr w:rsidR="009D29D3" w:rsidSect="00DB78D0">
          <w:type w:val="nextPage"/>
          <w:headerReference w:type="default" r:id="rId11"/>
          <w:headerReference w:type="first" r:id="rId12"/>
          <w:pgSz w:w="11906" w:h="16838"/>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keepNext/>
        <w:spacing w:after="0" w:line="240" w:lineRule="auto"/>
        <w:ind w:firstLine="0"/>
        <w:jc w:val="center"/>
      </w:pPr>
      <w:r>
        <w:drawing>
          <wp:inline xmlns:a="http://schemas.openxmlformats.org/drawingml/2006/main" xmlns:pic="http://schemas.openxmlformats.org/drawingml/2006/picture">
            <wp:extent cx="7798679" cy="4680000"/>
            <wp:docPr id="12" name="Picture 12"/>
            <wp:cNvGraphicFramePr>
              <a:graphicFrameLocks noChangeAspect="1"/>
            </wp:cNvGraphicFramePr>
            <a:graphic>
              <a:graphicData uri="http://schemas.openxmlformats.org/drawingml/2006/picture">
                <pic:pic>
                  <pic:nvPicPr>
                    <pic:cNvPr id="0" name="app_rl_4f1eb42245.jpg"/>
                    <pic:cNvPicPr/>
                  </pic:nvPicPr>
                  <pic:blipFill>
                    <a:blip r:embed="rId24"/>
                    <a:stretch>
                      <a:fillRect/>
                    </a:stretch>
                  </pic:blipFill>
                  <pic:spPr>
                    <a:xfrm>
                      <a:off x="0" y="0"/>
                      <a:ext cx="7798679" cy="4680000"/>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12</w:t>
      </w:r>
      <w:r>
        <w:fldChar w:fldCharType="end"/>
      </w:r>
      <w:r>
        <w:t xml:space="preserve">: Reservas Legais e Áreas de Preservação Permanente do empreendimento.</w:t>
      </w:r>
    </w:p>
    <w:p>
      <w:pPr>
        <w:spacing w:after="0" w:line="240" w:lineRule="auto"/>
        <w:ind w:firstLine="0"/>
        <w:jc w:val="center"/>
      </w:pPr>
      <w:r>
        <w:rPr>
          <w:b/>
          <w:bCs/>
          <w:sz w:val="20"/>
          <w:szCs w:val="20"/>
        </w:rPr>
        <w:t xml:space="preserve">Fonte:</w:t>
      </w:r>
      <w:r>
        <w:rPr>
          <w:sz w:val="20"/>
          <w:szCs w:val="20"/>
        </w:rPr>
        <w:t xml:space="preserve"> SICAR; IAT; elaborado pelo autor, 2026.</w:t>
      </w:r>
    </w:p>
    <w:p>
      <w:pPr/>
    </w:p>
    <w:p>
      <w:pPr>
        <w:sectPr w:rsidR="009D29D3" w:rsidSect="00DB78D0">
          <w:type w:val="nextPage"/>
          <w:headerReference w:type="default" r:id="rId11"/>
          <w:headerReference w:type="first" r:id="rId12"/>
          <w:pgSz w:w="16838" w:h="11906" w:orient="landscape"/>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pStyle w:val="Ttulo2"/>
      </w:pPr>
      <w:r>
        <w:t xml:space="preserve">3.7 Caracterização Meio Socioeconômico</w:t>
      </w:r>
    </w:p>
    <w:p>
      <w:pPr>
        <w:pStyle w:val="Ttulo3"/>
      </w:pPr>
      <w:r>
        <w:t xml:space="preserve">3.7.1 Residências, condições do entorno</w:t>
      </w:r>
    </w:p>
    <w:p>
      <w:pPr/>
      <w:r>
        <w:t xml:space="preserve">Segundo a base colaborativa OpenStreetMap (OPENSTREETMAP, 2026), no entorno de 500 m da unidade Jangada do Sul - General Carneiro Área do poço e tratamento, constam 1 templo religioso (Capela de Nossa Senhora Aparecida); no entorno de 500 m da unidade Jangada do Sul - General Carneiro Adutora, constam 1 templo religioso (Capela de Nossa Senhora Aparecida) e 1 cemitério. A distância das unidades pontuais à área urbanizada mais próxima é de: Jangada do Sul - General Carneiro Área do poço e tratamento (207 m) (PROJETO MAPBIOMAS, 2024). As informações devem ser confirmadas e complementadas com o registro fotográfico da vistoria de campo.</w:t>
      </w:r>
    </w:p>
    <w:p>
      <w:pPr>
        <w:pStyle w:val="Ttulo1"/>
      </w:pPr>
      <w:r>
        <w:t xml:space="preserve">4 CARACTERIZAÇÃO DO EMPREENDIMENTO</w:t>
      </w:r>
    </w:p>
    <w:p>
      <w:pPr>
        <w:pStyle w:val="Ttulo2"/>
      </w:pPr>
      <w:r>
        <w:t xml:space="preserve">4.1 Tipo de Atividade do Empreendimento</w:t>
      </w:r>
    </w:p>
    <w:p>
      <w:pPr/>
      <w:r>
        <w:t xml:space="preserve">O empreendimento consiste na ampliação e melhoria do sistema de abastecimento de água do município de General Carneiro. A Sanepar é a empresa responsável pela captação, tratamento e distribuição de água potável, além da coleta e do tratamento de esgoto sanitário. CNAE 3600-6/01 (Captação, tratamento e distribuição de água).</w:t>
      </w:r>
    </w:p>
    <w:p>
      <w:pPr>
        <w:tabs>
          <w:tab w:val="left" w:pos="1069"/>
        </w:tabs>
        <w:ind w:left="1069" w:hanging="360"/>
      </w:pPr>
      <w:r>
        <w:t xml:space="preserve">–</w:t>
      </w:r>
      <w:r>
        <w:tab/>
      </w:r>
      <w:r>
        <w:t xml:space="preserve">Abastecimento de água: capta água de rios, lagos ou poços, trata em estações especializadas e distribui para residências e empresas;</w:t>
      </w:r>
    </w:p>
    <w:p>
      <w:pPr>
        <w:tabs>
          <w:tab w:val="left" w:pos="1069"/>
        </w:tabs>
        <w:ind w:left="1069" w:hanging="360"/>
      </w:pPr>
      <w:r>
        <w:t xml:space="preserve">–</w:t>
      </w:r>
      <w:r>
        <w:tab/>
      </w:r>
      <w:r>
        <w:t xml:space="preserve">Esgotamento sanitário: coleta o esgoto gerado e realiza o tratamento adequado antes de devolvê-lo ao meio ambiente;</w:t>
      </w:r>
    </w:p>
    <w:p>
      <w:pPr>
        <w:tabs>
          <w:tab w:val="left" w:pos="1069"/>
        </w:tabs>
        <w:ind w:left="1069" w:hanging="360"/>
      </w:pPr>
      <w:r>
        <w:t xml:space="preserve">–</w:t>
      </w:r>
      <w:r>
        <w:tab/>
      </w:r>
      <w:r>
        <w:t xml:space="preserve">Atuação geográfica: presta serviços em centenas de municípios no estado do Paraná e em Porto União, em Santa Catarina.</w:t>
      </w:r>
    </w:p>
    <w:p>
      <w:pPr>
        <w:pStyle w:val="Ttulo2"/>
      </w:pPr>
      <w:r>
        <w:t xml:space="preserve">4.2 Descritivo da Obra a ser Implantada e Descrição das Intervenções Necessárias</w:t>
      </w:r>
    </w:p>
    <w:p>
      <w:pPr/>
      <w:r>
        <w:t xml:space="preserve">Segundo o Censo Demográfico 2022, 79,0% dos domicílios particulares permanentes de General Carneiro têm na rede geral de distribuição a forma principal de abastecimento de água (IBGE, 2023). O projeto de ampliação e melhorias do SAA de General Carneiro, no distrito de Jangada do Sul, adotou horizonte de 20 anos (2026 a 2045). Com a implantação do novo pátio de tratamento, a água tratada do sistema passará a ser proveniente apenas da nova captação subterrânea (poço CSB-01), sendo prevista a desativação da captação e do tratamento da mina existente. </w:t>
      </w:r>
      <w:r>
        <w:rPr>
          <w:b/>
          <w:bCs/>
          <w:highlight w:val="yellow"/>
        </w:rPr>
        <w:t xml:space="preserve">[A VERIFICAR: capacidade e déficit do sistema existente (mina), a confirmar com a Sanepar.]</w:t>
      </w:r>
    </w:p>
    <w:p>
      <w:pPr/>
      <w:r>
        <w:t xml:space="preserve">O sistema projetado compreende a captação subterrânea CSB-01 com a elevatória de água bruta EEB-01; o pátio de tratamento, com casa de química para cloração e fluoração (SCF-01); o reservatório apoiado RAP-02, de 30 m³; a elevatória de água tratada EET-01; a adutora de água tratada AAT-01, em PEAD DE90, com cerca de 393 m de extensão; e a readequação da rede de distribuição, com a implantação de 3.027 m de novas tubulações e uma válvula redutora de pressão (VRP-01), conforme o Plano de Operação do projeto básico hidráulico elaborado para a Sanepar (agosto de 2023).</w:t>
      </w:r>
    </w:p>
    <w:p>
      <w:pPr/>
      <w:r>
        <w:t xml:space="preserve">A implantação do empreendimento demandará as seguintes intervenções:</w:t>
      </w:r>
    </w:p>
    <w:p>
      <w:pPr>
        <w:tabs>
          <w:tab w:val="left" w:pos="1069"/>
        </w:tabs>
        <w:ind w:left="1069" w:hanging="360"/>
      </w:pPr>
      <w:r>
        <w:t xml:space="preserve">–</w:t>
      </w:r>
      <w:r>
        <w:tab/>
      </w:r>
      <w:r>
        <w:t xml:space="preserve">Supressão de vegetação: Estimativa preliminar de vegetação natural na área de intervenção (faixa de 30 m nas unidades lineares e área total nas pontuais), obtida do mapeamento MapBiomas (PROJETO MAPBIOMAS, 2024): Jangada do Sul - General Carneiro Área do poço e tratamento (0,16 ha) e Jangada do Sul - General Carneiro Adutora (0,32 ha), totalizando cerca de 0,47 ha. O valor é indicativo e deve ser substituído pelo levantamento/inventário florestal da área efetivamente suprimida.;</w:t>
      </w:r>
    </w:p>
    <w:p>
      <w:pPr>
        <w:tabs>
          <w:tab w:val="left" w:pos="1069"/>
        </w:tabs>
        <w:ind w:left="1069" w:hanging="360"/>
      </w:pPr>
      <w:r>
        <w:t xml:space="preserve">–</w:t>
      </w:r>
      <w:r>
        <w:tab/>
      </w:r>
      <w:r>
        <w:t xml:space="preserve">Servidão de acesso e área do poço: as unidades localizadas situam-se no imóvel de matrícula 5.744 do 1º Cartório de Registro de Imóveis de União da Vitória (Comarca de Jangada do Sul; código INCRA 724.041.003.778-1; área de 440.550,00 m²), de propriedade de Felipe Chabatura e outros. Estão previstas a legalização da faixa de servidão de acesso à área do poço, com 212,13 m² e perímetro de 71,32 m, e a legalização da área do poço CSB-01, com 494,00 m² e perímetro de 90,00 m (ART nº 1720231599408);</w:t>
      </w:r>
    </w:p>
    <w:p>
      <w:pPr>
        <w:tabs>
          <w:tab w:val="left" w:pos="1069"/>
        </w:tabs>
        <w:ind w:left="1069" w:hanging="360"/>
      </w:pPr>
      <w:r>
        <w:t xml:space="preserve">–</w:t>
      </w:r>
      <w:r>
        <w:tab/>
      </w:r>
      <w:r>
        <w:rPr>
          <w:b/>
          <w:bCs/>
          <w:highlight w:val="yellow"/>
        </w:rPr>
        <w:t xml:space="preserve">[A VERIFICAR: demais intervenções – escavações, travessias, estradas de acesso, interligações]</w:t>
      </w:r>
      <w:r>
        <w:t xml:space="preserve">.</w:t>
      </w:r>
    </w:p>
    <w:p>
      <w:pPr>
        <w:pStyle w:val="Ttulo2"/>
      </w:pPr>
      <w:r>
        <w:t xml:space="preserve">4.3 Descrição do Empreendimento e Apresentação de suas Características Técnicas</w:t>
      </w:r>
    </w:p>
    <w:p>
      <w:pPr>
        <w:pStyle w:val="Ttulo3"/>
      </w:pPr>
      <w:r>
        <w:t xml:space="preserve">4.3.1 População Atendida</w:t>
      </w:r>
    </w:p>
    <w:p>
      <w:pPr/>
      <w:r>
        <w:t xml:space="preserve">O sistema atenderá, em início de plano (2026), cerca de </w:t>
      </w:r>
      <w:r>
        <w:rPr>
          <w:b/>
          <w:bCs/>
          <w:highlight w:val="yellow"/>
        </w:rPr>
        <w:t xml:space="preserve">[A VERIFICAR: populacao.inicio_plano_hab]</w:t>
      </w:r>
      <w:r>
        <w:t xml:space="preserve"> habitantes e, em final de plano (2045), cerca de 294 habitantes, com demanda de produção de aproximadamente 52,8 m³/dia. O horizonte de projeto adotado é de 20 anos. </w:t>
      </w:r>
      <w:r>
        <w:rPr>
          <w:b/>
          <w:bCs/>
          <w:highlight w:val="yellow"/>
        </w:rPr>
        <w:t xml:space="preserve">[A VERIFICAR: taxa de ocupação, taxa de crescimento, per capita e coeficientes K1/K2, que não constam do Plano de Operação.]</w:t>
      </w:r>
    </w:p>
    <w:p>
      <w:pPr>
        <w:pStyle w:val="Ttulo3"/>
      </w:pPr>
      <w:r>
        <w:t xml:space="preserve">4.3.2 Capacidade Nominal e Máxima da Estação de Tratamento de Água</w:t>
      </w:r>
    </w:p>
    <w:p>
      <w:pPr/>
      <w:r>
        <w:t xml:space="preserve">A capacidade nominal da Estação de Tratamento de Água é de 1,94 L/s e a capacidade máxima é de 2,78 L/s, com regime de operação previsto de 8 horas por dia. A capacidade nominal corresponde à vazão de operação normal do poço (7 m³/h) e a capacidade máxima, à vazão de projeto do sistema de tratamento, igual à capacidade de exploração testada do poço (10 m³/h em regime de 20 horas diárias).</w:t>
      </w:r>
    </w:p>
    <w:p>
      <w:pPr>
        <w:pStyle w:val="Ttulo3"/>
      </w:pPr>
      <w:r>
        <w:t xml:space="preserve">4.3.3 Manancial de Abastecimento</w:t>
      </w:r>
    </w:p>
    <w:p>
      <w:pPr/>
      <w:r>
        <w:t xml:space="preserve">O manancial de abastecimento do sistema projetado é o Poço CSB-01 (subterrânea (poço profundo, 120 m de profundidade)), pertencente à Bacia do Rio Iguaçu e enquadrado na </w:t>
      </w:r>
      <w:r>
        <w:rPr>
          <w:b/>
          <w:bCs/>
          <w:highlight w:val="yellow"/>
        </w:rPr>
        <w:t xml:space="preserve">[A VERIFICAR: manancial.classe]</w:t>
      </w:r>
      <w:r>
        <w:t xml:space="preserve">. A captação é objeto da Portaria de Outorga </w:t>
      </w:r>
      <w:r>
        <w:rPr>
          <w:b/>
          <w:bCs/>
          <w:highlight w:val="yellow"/>
        </w:rPr>
        <w:t xml:space="preserve">[A VERIFICAR: manancial.outorga_captacao]</w:t>
      </w:r>
      <w:r>
        <w:t xml:space="preserve">.</w:t>
      </w:r>
    </w:p>
    <w:p>
      <w:pPr>
        <w:pStyle w:val="Ttulo3"/>
      </w:pPr>
      <w:r>
        <w:t xml:space="preserve">4.3.4 Lançamento de Efluentes</w:t>
      </w:r>
    </w:p>
    <w:p>
      <w:pPr/>
      <w:r>
        <w:t xml:space="preserve">O tratamento restringe-se à cloração e à fluoração da água do poço, sem unidades de decantação ou filtração; portanto, não há geração de água de lavagem de filtros nem de lodo. A casa de química dispõe de contenção em concreto para o estoque e para os tanques de solução, interligadas e drenadas para uma caixa externa com registro, de onde eventual vazamento será coletado em bombonas e receberá destinação adequada conforme as normas pertinentes. </w:t>
      </w:r>
      <w:r>
        <w:rPr>
          <w:b/>
          <w:bCs/>
          <w:highlight w:val="yellow"/>
        </w:rPr>
        <w:t xml:space="preserve">[A VERIFICAR: confirmar com a Sanepar a inexistência de lançamento de efluentes.]</w:t>
      </w:r>
      <w:r>
        <w:t xml:space="preserve"> Portaria de outorga de lançamento: </w:t>
      </w:r>
      <w:r>
        <w:rPr>
          <w:b/>
          <w:bCs/>
          <w:highlight w:val="yellow"/>
        </w:rPr>
        <w:t xml:space="preserve">[A VERIFICAR: outorga_lancamento]</w:t>
      </w:r>
      <w:r>
        <w:t xml:space="preserve">.</w:t>
      </w:r>
    </w:p>
    <w:p>
      <w:pPr>
        <w:pStyle w:val="Ttulo3"/>
      </w:pPr>
      <w:r>
        <w:t xml:space="preserve">4.3.5 Descrição das Unidades que Compõem o Sistema</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5</w:t>
      </w:r>
      <w:r>
        <w:fldChar w:fldCharType="end"/>
      </w:r>
      <w:r>
        <w:t xml:space="preserve">: Descrição das unidades que compõem o sistema.</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4247"/>
        <w:gridCol w:w="4247"/>
      </w:tblGrid>
      <w:tr>
        <w:trPr>
          <w:tblHeader/>
        </w:trPr>
        <w:tc>
          <w:tcPr>
            <w:tcW w:w="2500"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w:t>
            </w:r>
          </w:p>
        </w:tc>
        <w:tc>
          <w:tcPr>
            <w:tcW w:w="2500"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Características principais</w:t>
            </w:r>
          </w:p>
        </w:tc>
      </w:tr>
      <w:tr>
        <w:tc>
          <w:tcPr>
            <w:tcW w:w="250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Jangada do Sul - General Carneiro Área do poço e tratamento</w:t>
            </w:r>
          </w:p>
        </w:tc>
        <w:tc>
          <w:tcPr>
            <w:tcW w:w="250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Área aproximada de 1.556 m². Poço profundo CSB-01 (120 m; 10 m³/h testados, operação em 7 m³/h); elevatória de água bruta EEB-01 (7,0 m³/h; Hm 63 mca; tubo edutor em aço carbono galvanizado Ø 2"); casa de química (31,70 m²); reservatório RAP-02 (30 m³, PRFV apoiado em base de concreto); elevatória de água tratada EET-01 (7,0 m³/h; Hm 55 mca; poço falso com bomba submersa, adução DN150). </w:t>
            </w:r>
            <w:r>
              <w:rPr>
                <w:rFonts w:ascii="Calibri" w:hAnsi="Calibri" w:cs="Calibri" w:eastAsia="Calibri"/>
                <w:b/>
                <w:bCs/>
                <w:highlight w:val="yellow"/>
                <w:sz w:val="20"/>
                <w:szCs w:val="20"/>
              </w:rPr>
              <w:t xml:space="preserve">[A VERIFICAR: potências dos conjuntos motobomba.]</w:t>
            </w:r>
          </w:p>
        </w:tc>
      </w:tr>
      <w:tr>
        <w:tc>
          <w:tcPr>
            <w:tcW w:w="250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Jangada do Sul - General Carneiro Adutora</w:t>
            </w:r>
          </w:p>
        </w:tc>
        <w:tc>
          <w:tcPr>
            <w:tcW w:w="250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Extensão aproximada de 594 m no traçado do KMZ. Adutora de água tratada AAT-01 em PEAD DE90, com cerca de 393 m segundo o Plano de Operação, com ventosa e descargas. </w:t>
            </w:r>
            <w:r>
              <w:rPr>
                <w:rFonts w:ascii="Calibri" w:hAnsi="Calibri" w:cs="Calibri" w:eastAsia="Calibri"/>
                <w:b/>
                <w:bCs/>
                <w:highlight w:val="yellow"/>
                <w:sz w:val="20"/>
                <w:szCs w:val="20"/>
              </w:rPr>
              <w:t xml:space="preserve">[A VERIFICAR: divergência de extensão entre o KMZ (594 m) e o memorial (393 m).]</w:t>
            </w:r>
          </w:p>
        </w:tc>
      </w:tr>
    </w:tbl>
    <w:p>
      <w:pPr>
        <w:spacing w:after="0" w:line="240" w:lineRule="auto"/>
        <w:ind w:firstLine="0"/>
        <w:jc w:val="center"/>
      </w:pPr>
      <w:r>
        <w:rPr>
          <w:b/>
          <w:bCs/>
          <w:sz w:val="20"/>
          <w:szCs w:val="20"/>
        </w:rPr>
        <w:t xml:space="preserve">Fonte:</w:t>
      </w:r>
      <w:r>
        <w:rPr>
          <w:sz w:val="20"/>
          <w:szCs w:val="20"/>
        </w:rPr>
        <w:t xml:space="preserve"> Sanepar, 2026.</w:t>
      </w:r>
    </w:p>
    <w:p>
      <w:pPr/>
    </w:p>
    <w:p>
      <w:pPr>
        <w:pStyle w:val="Ttulo3"/>
      </w:pPr>
      <w:r>
        <w:t xml:space="preserve">4.3.6 Descrição do Sistema de Tratamento Adotado</w:t>
      </w:r>
    </w:p>
    <w:p>
      <w:pPr/>
      <w:r>
        <w:t xml:space="preserve">O tratamento da água do poço CSB-01 consiste em desinfecção por cloração e fluoração, realizadas no novo pátio, onde está localizado o poço, na casa de química do sistema de simples cloração e fluoração (SCF-01). Os produtos são fornecidos em bombonas de 25 kg e armazenados na casa de química, edificação térrea de 31,70 m² que abriga também os tanques de solução, as bombas dosadoras, o chuveiro lava-olhos, a bancada com pia e a sala de quadros elétricos.</w:t>
      </w:r>
    </w:p>
    <w:p>
      <w:pPr>
        <w:tabs>
          <w:tab w:val="left" w:pos="1069"/>
        </w:tabs>
        <w:ind w:left="1069" w:hanging="360"/>
      </w:pPr>
      <w:r>
        <w:t xml:space="preserve">a)</w:t>
      </w:r>
      <w:r>
        <w:tab/>
      </w:r>
      <w:r>
        <w:rPr>
          <w:b/>
          <w:bCs/>
        </w:rPr>
        <w:t xml:space="preserve">Água bruta:</w:t>
      </w:r>
      <w:r>
        <w:t xml:space="preserve"> a água do poço é recalcada pela EEB-01 até o reservatório RAP-02;</w:t>
      </w:r>
    </w:p>
    <w:p>
      <w:pPr>
        <w:tabs>
          <w:tab w:val="left" w:pos="1069"/>
        </w:tabs>
        <w:ind w:left="1069" w:hanging="360"/>
      </w:pPr>
      <w:r>
        <w:t xml:space="preserve">b)</w:t>
      </w:r>
      <w:r>
        <w:tab/>
      </w:r>
      <w:r>
        <w:rPr>
          <w:b/>
          <w:bCs/>
        </w:rPr>
        <w:t xml:space="preserve">Cloração:</w:t>
      </w:r>
      <w:r>
        <w:t xml:space="preserve"> utiliza-se hipoclorito de sódio (10%), em solução preparada em tanque de 500 L (concentração aproximada de 2,80%, suficiente para 10 dias), aplicada na tubulação de entrada de água bruta no RAP-02 por duas bombas dosadoras de até 12,0 L/h, sendo uma reserva;</w:t>
      </w:r>
    </w:p>
    <w:p>
      <w:pPr>
        <w:tabs>
          <w:tab w:val="left" w:pos="1069"/>
        </w:tabs>
        <w:ind w:left="1069" w:hanging="360"/>
      </w:pPr>
      <w:r>
        <w:t xml:space="preserve">c)</w:t>
      </w:r>
      <w:r>
        <w:tab/>
      </w:r>
      <w:r>
        <w:rPr>
          <w:b/>
          <w:bCs/>
        </w:rPr>
        <w:t xml:space="preserve">Fluoração:</w:t>
      </w:r>
      <w:r>
        <w:t xml:space="preserve"> utiliza-se ácido fluossilícico, em solução preparada em tanque de 500 L (concentração aproximada de 0,48%, suficiente para 10 dias), aplicada no mesmo ponto por duas bombas dosadoras de até 7,0 L/h, sendo uma reserva;</w:t>
      </w:r>
    </w:p>
    <w:p>
      <w:pPr>
        <w:tabs>
          <w:tab w:val="left" w:pos="1069"/>
        </w:tabs>
        <w:ind w:left="1069" w:hanging="360"/>
      </w:pPr>
      <w:r>
        <w:t xml:space="preserve">d)</w:t>
      </w:r>
      <w:r>
        <w:tab/>
      </w:r>
      <w:r>
        <w:rPr>
          <w:b/>
          <w:bCs/>
        </w:rPr>
        <w:t xml:space="preserve">Contato e reservação:</w:t>
      </w:r>
      <w:r>
        <w:t xml:space="preserve"> o RAP-02, de 30 m³, funciona como câmara de contato, com tempo mínimo de 30 minutos (volume mínimo de contato de 3,5 m³ para 7 m³/h), reserva de 8 horas e poço de sucção da EET-01;</w:t>
      </w:r>
    </w:p>
    <w:p>
      <w:pPr>
        <w:tabs>
          <w:tab w:val="left" w:pos="1069"/>
        </w:tabs>
        <w:ind w:left="1069" w:hanging="360"/>
      </w:pPr>
      <w:r>
        <w:t xml:space="preserve">e)</w:t>
      </w:r>
      <w:r>
        <w:tab/>
      </w:r>
      <w:r>
        <w:rPr>
          <w:b/>
          <w:bCs/>
        </w:rPr>
        <w:t xml:space="preserve">Distribuição:</w:t>
      </w:r>
      <w:r>
        <w:t xml:space="preserve"> a EET-01 recalca a água tratada, pela adutora AAT-01, para a rede de distribuição, com redução de pressão pela VRP-01.</w:t>
      </w:r>
    </w:p>
    <w:p>
      <w:pPr/>
      <w:r>
        <w:t xml:space="preserve">Recomenda-se a conferência diária da quantidade de produto nos tanques e dos teores de cloro residual e de flúor na água tratada, conforme as normas pertinentes.</w:t>
      </w:r>
    </w:p>
    <w:p>
      <w:pPr>
        <w:pStyle w:val="Ttulo3"/>
      </w:pPr>
      <w:r>
        <w:t xml:space="preserve">4.3.7 Projetos das Unidades que Compõem o Sistema</w:t>
      </w:r>
    </w:p>
    <w:p>
      <w:pPr/>
      <w:r>
        <w:t xml:space="preserve">A localização e a disposição das unidades que integram o empreendimento são apresentadas nas plantas constantes dos Anexos, conforme relação apresentada no Quadro 6.</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6</w:t>
      </w:r>
      <w:r>
        <w:fldChar w:fldCharType="end"/>
      </w:r>
      <w:r>
        <w:t xml:space="preserve">: Relação das unidades que compõem o empreendimento e respectivos anexos.</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6443"/>
        <w:gridCol w:w="2050"/>
      </w:tblGrid>
      <w:tr>
        <w:trPr>
          <w:tblHeader/>
        </w:trPr>
        <w:tc>
          <w:tcPr>
            <w:tcW w:w="3793"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Unidade/ponto</w:t>
            </w:r>
          </w:p>
        </w:tc>
        <w:tc>
          <w:tcPr>
            <w:tcW w:w="120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Projeto</w:t>
            </w:r>
          </w:p>
        </w:tc>
      </w:tr>
      <w:tr>
        <w:tc>
          <w:tcPr>
            <w:tcW w:w="3793"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Jangada do Sul - General Carneiro Área do poço e tratamento</w:t>
            </w:r>
          </w:p>
        </w:tc>
        <w:tc>
          <w:tcPr>
            <w:tcW w:w="12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I</w:t>
            </w:r>
          </w:p>
        </w:tc>
      </w:tr>
      <w:tr>
        <w:tc>
          <w:tcPr>
            <w:tcW w:w="3793"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Jangada do Sul - General Carneiro Adutora</w:t>
            </w:r>
          </w:p>
        </w:tc>
        <w:tc>
          <w:tcPr>
            <w:tcW w:w="12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II</w:t>
            </w:r>
          </w:p>
        </w:tc>
      </w:tr>
    </w:tbl>
    <w:p>
      <w:pPr>
        <w:spacing w:after="0" w:line="240" w:lineRule="auto"/>
        <w:ind w:firstLine="0"/>
        <w:jc w:val="center"/>
      </w:pPr>
      <w:r>
        <w:rPr>
          <w:b/>
          <w:bCs/>
          <w:sz w:val="20"/>
          <w:szCs w:val="20"/>
        </w:rPr>
        <w:t xml:space="preserve">Fonte:</w:t>
      </w:r>
      <w:r>
        <w:rPr>
          <w:sz w:val="20"/>
          <w:szCs w:val="20"/>
        </w:rPr>
        <w:t xml:space="preserve"> Sanepar, 2026.</w:t>
      </w:r>
    </w:p>
    <w:p>
      <w:pPr/>
    </w:p>
    <w:p>
      <w:pPr>
        <w:pStyle w:val="Ttulo1"/>
      </w:pPr>
      <w:r>
        <w:t xml:space="preserve">5 REFERÊNCIAS BIBLIOGRÁFICAS</w:t>
      </w:r>
    </w:p>
    <w:p>
      <w:pPr>
        <w:spacing w:after="0" w:line="240" w:lineRule="auto"/>
        <w:ind w:firstLine="0"/>
        <w:jc w:val="left"/>
      </w:pPr>
      <w:r>
        <w:t xml:space="preserve">ALVARES, Clayton Alcarde et al. Köppen's climate classification map for Brazil. Meteorologische Zeitschrift, v. 22, n. 6, p. 711-728, 2013. DOI: 10.1127/0941-2948/2013/0507. Disponível em: https://doi.org/10.1127/0941-2948/2013/0507. Acesso em: 15 out. 2026.</w:t>
      </w:r>
    </w:p>
    <w:p>
      <w:pPr>
        <w:spacing w:after="0" w:line="240" w:lineRule="auto"/>
        <w:ind w:firstLine="0"/>
      </w:pPr>
    </w:p>
    <w:p>
      <w:pPr>
        <w:spacing w:after="0" w:line="240" w:lineRule="auto"/>
        <w:ind w:firstLine="0"/>
        <w:jc w:val="left"/>
      </w:pPr>
      <w:r>
        <w:t xml:space="preserve">ANA – AGÊNCIA NACIONAL DE ÁGUAS E SANEAMENTO BÁSICO. Base Hidrográfica Ottocodificada – hidrografia nível 5. Brasília: ANA, [20--]. Disponível em: https://metadados.snirh.gov.br. Acesso em: 15 out. 2026.</w:t>
      </w:r>
    </w:p>
    <w:p>
      <w:pPr>
        <w:spacing w:after="0" w:line="240" w:lineRule="auto"/>
        <w:ind w:firstLine="0"/>
      </w:pPr>
    </w:p>
    <w:p>
      <w:pPr>
        <w:spacing w:after="0" w:line="240" w:lineRule="auto"/>
        <w:ind w:firstLine="0"/>
        <w:jc w:val="left"/>
      </w:pPr>
      <w:r>
        <w:t xml:space="preserve">ANA – AGÊNCIA NACIONAL DE ÁGUAS E SANEAMENTO BÁSICO. Unidades de Planejamento Hídrico (UPH). Brasília: ANA, [20--]. Disponível em: https://metadados.snirh.gov.br. Acesso em: 15 out. 2026.</w:t>
      </w:r>
    </w:p>
    <w:p>
      <w:pPr>
        <w:spacing w:after="0" w:line="240" w:lineRule="auto"/>
        <w:ind w:firstLine="0"/>
      </w:pPr>
    </w:p>
    <w:p>
      <w:pPr>
        <w:spacing w:after="0" w:line="240" w:lineRule="auto"/>
        <w:ind w:firstLine="0"/>
        <w:jc w:val="left"/>
      </w:pPr>
      <w:r>
        <w:t xml:space="preserve">BRASIL. Conselho Nacional do Meio Ambiente. Resolução CONAMA nº 357, de 17 de março de 2005. Dispõe sobre a classificação dos corpos de água e diretrizes ambientais para o seu enquadramento, bem como estabelece as condições e padrões de lançamento de efluentes, e dá outras providências. Brasília, DF, 2005.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BRASIL. Lei nº 11.428, de 22 de dezembro de 2006. Dispõe sobre a utilização e proteção da vegetação nativa do Bioma Mata Atlântica, e dá outras providências. Brasília, DF: Presidência da República, [2006]. Disponível em: https://www.planalto.gov.br/ccivil_03/_ato2004-2006/2006/lei/l11428.htm. Acesso em: 15 out. 2026.</w:t>
      </w:r>
    </w:p>
    <w:p>
      <w:pPr>
        <w:spacing w:after="0" w:line="240" w:lineRule="auto"/>
        <w:ind w:firstLine="0"/>
      </w:pPr>
    </w:p>
    <w:p>
      <w:pPr>
        <w:spacing w:after="0" w:line="240" w:lineRule="auto"/>
        <w:ind w:firstLine="0"/>
        <w:jc w:val="left"/>
      </w:pPr>
      <w:r>
        <w:t xml:space="preserve">BRASIL. Lei nº 12.651, de 25 de maio de 2012. Dispõe sobre a proteção da vegetação nativa; altera as Leis nºs 6.938, de 31 de agosto de 1981, 9.393, de 19 de dezembro de 1996, e 11.428, de 22 de dezembro de 2006; revoga as Leis nºs 4.771, de 15 de setembro de 1965, e 7.754, de 14 de abril de 1989, e a Medida Provisória nº 2.166-67, de 24 de agosto de 2001; e dá outras providências. Brasília, DF: Presidência da República, [2012]. Disponível em: https://www.planalto.gov.br/ccivil_03/_ato2011-2014/2012/lei/l12651.htm. Acesso em: 15 out. 2026.</w:t>
      </w:r>
    </w:p>
    <w:p>
      <w:pPr>
        <w:spacing w:after="0" w:line="240" w:lineRule="auto"/>
        <w:ind w:firstLine="0"/>
      </w:pPr>
    </w:p>
    <w:p>
      <w:pPr>
        <w:spacing w:after="0" w:line="240" w:lineRule="auto"/>
        <w:ind w:firstLine="0"/>
        <w:jc w:val="left"/>
      </w:pPr>
      <w:r>
        <w:t xml:space="preserve">BRASIL. Lei nº 9.433, de 8 de janeiro de 1997. Institui a Política Nacional de Recursos Hídricos, cria o Sistema Nacional de Gerenciamento de Recursos Hídricos, regulamenta o inciso XIX do art. 21 da Constituição Federal, e altera o art. 1º da Lei nº 8.001, de 13 de março de 1990, que modificou a Lei nº 7.990, de 28 de dezembro de 1989. Brasília, DF: Presidência da República, [1997]. Disponível em: https://www.planalto.gov.br/ccivil_03/leis/l9433.htm. Acesso em: 15 out. 2026.</w:t>
      </w:r>
    </w:p>
    <w:p>
      <w:pPr>
        <w:spacing w:after="0" w:line="240" w:lineRule="auto"/>
        <w:ind w:firstLine="0"/>
      </w:pPr>
    </w:p>
    <w:p>
      <w:pPr>
        <w:spacing w:after="0" w:line="240" w:lineRule="auto"/>
        <w:ind w:firstLine="0"/>
        <w:jc w:val="left"/>
      </w:pPr>
      <w:r>
        <w:t xml:space="preserve">BRASIL. Ministério da Saúde. Cadastro Nacional de Estabelecimentos de Saúde (CNES): API de dados abertos. Brasília, DF: Ministério da Saúde. Disponível em: https://apidadosabertos.saude.gov.br. Acesso em: 15 out. 2026.</w:t>
      </w:r>
    </w:p>
    <w:p>
      <w:pPr>
        <w:spacing w:after="0" w:line="240" w:lineRule="auto"/>
        <w:ind w:firstLine="0"/>
      </w:pPr>
    </w:p>
    <w:p>
      <w:pPr>
        <w:spacing w:after="0" w:line="240" w:lineRule="auto"/>
        <w:ind w:firstLine="0"/>
        <w:jc w:val="left"/>
      </w:pPr>
      <w:r>
        <w:t xml:space="preserve">BRASIL. Ministério do Meio Ambiente. Portaria MMA nº 148, de 7 de junho de 2022. Altera os Anexos da Portaria nº 443, de 17 de dezembro de 2014, da Portaria nº 444, de 17 de dezembro de 2014, e da Portaria nº 445, de 17 de dezembro de 2014, referentes à atualização da Lista Nacional de Espécies Ameaçadas de Extinção. Disponível em: https://www.in.gov.br/en/web/dou/-/portaria-mma-n-148-de-7-de-junho-de-2022-406272733. Acesso em: 15 out. 2026.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EMBRAPA. Serviço Nacional de Levantamento e Conservação de Solos. Súmula da 10ª Reunião Técnica de Levantamento de Solos. Rio de Janeiro: EMBRAPA-SNLCS, 1979. 83 p.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EUROPEAN SPACE AGENCY. Copernicus Global Digital Elevation Model (GLO-30). Distribuído por OpenTopography/AWS, 2021. DOI: 10.5069/G9028PQB. Acesso em: 15 out. 2026.</w:t>
      </w:r>
    </w:p>
    <w:p>
      <w:pPr>
        <w:spacing w:after="0" w:line="240" w:lineRule="auto"/>
        <w:ind w:firstLine="0"/>
      </w:pPr>
    </w:p>
    <w:p>
      <w:pPr>
        <w:spacing w:after="0" w:line="240" w:lineRule="auto"/>
        <w:ind w:firstLine="0"/>
        <w:jc w:val="left"/>
      </w:pPr>
      <w:r>
        <w:t xml:space="preserve">FLORA E FUNGA DO BRASIL. Jardim Botânico do Rio de Janeiro. Disponível em: http://floradobrasil.jbrj.gov.br/. Acesso em: 15 out. 2026.</w:t>
      </w:r>
    </w:p>
    <w:p>
      <w:pPr>
        <w:spacing w:after="0" w:line="240" w:lineRule="auto"/>
        <w:ind w:firstLine="0"/>
      </w:pPr>
    </w:p>
    <w:p>
      <w:pPr>
        <w:spacing w:after="0" w:line="240" w:lineRule="auto"/>
        <w:ind w:firstLine="0"/>
        <w:jc w:val="left"/>
      </w:pPr>
      <w:r>
        <w:t xml:space="preserve">FUNAI – FUNDAÇÃO NACIONAL DOS POVOS INDÍGENAS. Terras indígenas (polígonos): serviço WFS. Brasília, DF: FUNAI. Disponível em: https://geoserver.funai.gov.br. Acesso em: 15 out. 2026.</w:t>
      </w:r>
    </w:p>
    <w:p>
      <w:pPr>
        <w:spacing w:after="0" w:line="240" w:lineRule="auto"/>
        <w:ind w:firstLine="0"/>
      </w:pPr>
    </w:p>
    <w:p>
      <w:pPr>
        <w:spacing w:after="0" w:line="240" w:lineRule="auto"/>
        <w:ind w:firstLine="0"/>
        <w:jc w:val="left"/>
      </w:pPr>
      <w:r>
        <w:t xml:space="preserve">GBIF.ORG. GBIF Occurrence Search: ocorrências de Animalia em raio de 10 km do empreendimento em General Carneiro/PR. Copenhague: GBIF Secretariat, 2026. Disponível em: https://www.gbif.org/occurrence/search. Acesso em: 15 out. 2026.</w:t>
      </w:r>
    </w:p>
    <w:p>
      <w:pPr>
        <w:spacing w:after="0" w:line="240" w:lineRule="auto"/>
        <w:ind w:firstLine="0"/>
      </w:pPr>
    </w:p>
    <w:p>
      <w:pPr>
        <w:spacing w:after="0" w:line="240" w:lineRule="auto"/>
        <w:ind w:firstLine="0"/>
        <w:jc w:val="left"/>
      </w:pPr>
      <w:r>
        <w:t xml:space="preserve">GBIF.ORG. GBIF Occurrence Search: ocorrências de Plantae em raio de 10 km do empreendimento em General Carneiro/PR. Copenhague: GBIF Secretariat, 2026. Disponível em: https://www.gbif.org/occurrence/search.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Geologia 1:250.000. Rio de Janeiro: IBGE, 2023. Disponível em: https://bdiaweb.ibge.gov.br.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Geomorfologia 1:250.000. Rio de Janeiro: IBGE, 2023. Disponível em: https://bdiaweb.ibge.gov.br.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Pedologia 1:250.000. Rio de Janeiro: IBGE, 2023. Disponível em: https://bdiaweb.ibge.gov.br.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Vegetação 1:250.000. Rio de Janeiro: IBGE, 2023. Disponível em: https://bdiaweb.ibge.gov.br. Acesso em: 15 out. 2026.</w:t>
      </w:r>
    </w:p>
    <w:p>
      <w:pPr>
        <w:spacing w:after="0" w:line="240" w:lineRule="auto"/>
        <w:ind w:firstLine="0"/>
      </w:pPr>
    </w:p>
    <w:p>
      <w:pPr>
        <w:spacing w:after="0" w:line="240" w:lineRule="auto"/>
        <w:ind w:firstLine="0"/>
        <w:jc w:val="left"/>
      </w:pPr>
      <w:r>
        <w:t xml:space="preserve">IBGE – INSTITUTO BRASILEIRO DE GEOGRAFIA E ESTATÍSTICA. Base Cartográfica Contínua do Brasil, escala 1:250.000 – BC250, versão 2023. Rio de Janeiro: IBGE, 2023.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Tabela 6803: Domicílios particulares permanentes ocupados, por existência de ligação à rede geral de distribuição de água e principal forma de abastecimento de água. Rio de Janeiro: IBGE, 2023. Disponível em: https://sidra.ibge.gov.br/tabela/6803.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Tabela 6805: Domicílios particulares permanentes ocupados, por tipo de esgotamento sanitário. Rio de Janeiro: IBGE, 2023. Disponível em: https://sidra.ibge.gov.br/tabela/6805.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Tabela 6892: Domicílios particulares permanentes ocupados, por destino do lixo. Rio de Janeiro: IBGE, 2023. Disponível em: https://sidra.ibge.gov.br/tabela/6892.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população e domicílios. Rio de Janeiro: IBGE, 2023. Tabela 4714. Disponível em: https://sidra.ibge.gov.br/tabela/4714.</w:t>
      </w:r>
    </w:p>
    <w:p>
      <w:pPr>
        <w:spacing w:after="0" w:line="240" w:lineRule="auto"/>
        <w:ind w:firstLine="0"/>
      </w:pPr>
    </w:p>
    <w:p>
      <w:pPr>
        <w:spacing w:after="0" w:line="240" w:lineRule="auto"/>
        <w:ind w:firstLine="0"/>
        <w:jc w:val="left"/>
      </w:pPr>
      <w:r>
        <w:t xml:space="preserve">IBGE – INSTITUTO BRASILEIRO DE GEOGRAFIA E ESTATÍSTICA. Malha Municipal Digital do Brasil. Rio de Janeiro: IBGE. Disponível em: https://servicodados.ibge.gov.br/api/docs/malhas. Acesso em: 15 out. 2026.</w:t>
      </w:r>
    </w:p>
    <w:p>
      <w:pPr>
        <w:spacing w:after="0" w:line="240" w:lineRule="auto"/>
        <w:ind w:firstLine="0"/>
      </w:pPr>
    </w:p>
    <w:p>
      <w:pPr>
        <w:spacing w:after="0" w:line="240" w:lineRule="auto"/>
        <w:ind w:firstLine="0"/>
        <w:jc w:val="left"/>
      </w:pPr>
      <w:r>
        <w:t xml:space="preserve">IBGE – INSTITUTO BRASILEIRO DE GEOGRAFIA E ESTATÍSTICA. Manual Técnico da Vegetação Brasileira. 2. ed. Rio de Janeiro: IBGE, 2012.</w:t>
      </w:r>
    </w:p>
    <w:p>
      <w:pPr>
        <w:spacing w:after="0" w:line="240" w:lineRule="auto"/>
        <w:ind w:firstLine="0"/>
      </w:pPr>
    </w:p>
    <w:p>
      <w:pPr>
        <w:spacing w:after="0" w:line="240" w:lineRule="auto"/>
        <w:ind w:firstLine="0"/>
        <w:jc w:val="left"/>
      </w:pPr>
      <w:r>
        <w:t xml:space="preserve">IBGE – INSTITUTO BRASILEIRO DE GEOGRAFIA E ESTATÍSTICA. Produto Interno Bruto dos Municípios. Tabela 5938. Rio de Janeiro: IBGE, 2025. Disponível em: https://sidra.ibge.gov.br/tabela/5938. Acesso em: 15 out. 2026.</w:t>
      </w:r>
    </w:p>
    <w:p>
      <w:pPr>
        <w:spacing w:after="0" w:line="240" w:lineRule="auto"/>
        <w:ind w:firstLine="0"/>
      </w:pPr>
    </w:p>
    <w:p>
      <w:pPr>
        <w:spacing w:after="0" w:line="240" w:lineRule="auto"/>
        <w:ind w:firstLine="0"/>
        <w:jc w:val="left"/>
      </w:pPr>
      <w:r>
        <w:t xml:space="preserve">IUCN. The IUCN Red List of Threatened Species. Disponível em: https://www.iucnredlist.org. Acesso em: 15 out. 2026.</w:t>
      </w:r>
    </w:p>
    <w:p>
      <w:pPr>
        <w:spacing w:after="0" w:line="240" w:lineRule="auto"/>
        <w:ind w:firstLine="0"/>
      </w:pPr>
    </w:p>
    <w:p>
      <w:pPr>
        <w:spacing w:after="0" w:line="240" w:lineRule="auto"/>
        <w:ind w:firstLine="0"/>
        <w:jc w:val="left"/>
      </w:pPr>
      <w:r>
        <w:t xml:space="preserve">MAACK, R. Geografia Física do Estado do Paraná. Curitiba: Banco de Desenvolvimento do Estado do Paraná, Universidade Federal do Paraná e Instituto de Geologia e Pesquisas Tecnológicas, 1968.</w:t>
      </w:r>
    </w:p>
    <w:p>
      <w:pPr>
        <w:spacing w:after="0" w:line="240" w:lineRule="auto"/>
        <w:ind w:firstLine="0"/>
      </w:pPr>
    </w:p>
    <w:p>
      <w:pPr>
        <w:spacing w:after="0" w:line="240" w:lineRule="auto"/>
        <w:ind w:firstLine="0"/>
        <w:jc w:val="left"/>
      </w:pPr>
      <w:r>
        <w:t xml:space="preserve">MENDES, Ester A. A. et al. Mananciais subterrâneos no Estado do Paraná. In: CONGRESSO BRASILEIRO DE ÁGUAS SUBTERRÂNEAS, 12., 2002, Florianópolis. Anais [...]. São Paulo: ABAS, 2002. Disponível em: https://aguassubterraneas.abas.org/asubterraneas/article/download/22845/14995/82630.</w:t>
      </w:r>
    </w:p>
    <w:p>
      <w:pPr>
        <w:spacing w:after="0" w:line="240" w:lineRule="auto"/>
        <w:ind w:firstLine="0"/>
      </w:pPr>
    </w:p>
    <w:p>
      <w:pPr>
        <w:spacing w:after="0" w:line="240" w:lineRule="auto"/>
        <w:ind w:firstLine="0"/>
        <w:jc w:val="left"/>
      </w:pPr>
      <w:r>
        <w:t xml:space="preserve">NASA – NATIONAL AERONAUTICS AND SPACE ADMINISTRATION. Prediction Of Worldwide Energy Resources (POWER): climatologia mensal (1991-2020) no ponto -26.3724, -51.2573. Hampton: NASA Langley Research Center. Disponível em: https://power.larc.nasa.gov. Acesso em: 15 out. 2026.</w:t>
      </w:r>
    </w:p>
    <w:p>
      <w:pPr>
        <w:spacing w:after="0" w:line="240" w:lineRule="auto"/>
        <w:ind w:firstLine="0"/>
      </w:pPr>
    </w:p>
    <w:p>
      <w:pPr>
        <w:spacing w:after="0" w:line="240" w:lineRule="auto"/>
        <w:ind w:firstLine="0"/>
        <w:jc w:val="left"/>
      </w:pPr>
      <w:r>
        <w:t xml:space="preserve">OKA-FIORI, C. et al. Atlas geomorfológico do estado do Paraná: escala base 1:250.000, modelos reduzidos 1:500.000. Curitiba: Minerais do Paraná – MINEROPAR; Universidade Federal do Paraná, 2006. 59 p.</w:t>
      </w:r>
    </w:p>
    <w:p>
      <w:pPr>
        <w:spacing w:after="0" w:line="240" w:lineRule="auto"/>
        <w:ind w:firstLine="0"/>
      </w:pPr>
    </w:p>
    <w:p>
      <w:pPr>
        <w:spacing w:after="0" w:line="240" w:lineRule="auto"/>
        <w:ind w:firstLine="0"/>
        <w:jc w:val="left"/>
      </w:pPr>
      <w:r>
        <w:t xml:space="preserve">OPENSTREETMAP CONTRIBUTORS. OpenStreetMap. Cambridge: OpenStreetMap Foundation, 2026. Disponível em: https://www.openstreetmap.org. Acesso em: 15 out. 2026.</w:t>
      </w:r>
    </w:p>
    <w:p>
      <w:pPr>
        <w:spacing w:after="0" w:line="240" w:lineRule="auto"/>
        <w:ind w:firstLine="0"/>
      </w:pPr>
    </w:p>
    <w:p>
      <w:pPr>
        <w:spacing w:after="0" w:line="240" w:lineRule="auto"/>
        <w:ind w:firstLine="0"/>
        <w:jc w:val="left"/>
      </w:pPr>
      <w:r>
        <w:t xml:space="preserve">OSRM – OPEN SOURCE ROUTING MACHINE. Rota rodoviária entre o empreendimento e Curitiba/PR. [S.l.]: Project OSRM, 2026. Disponível em: https://project-osrm.org. Acesso em: 15 out. 2026.</w:t>
      </w:r>
    </w:p>
    <w:p>
      <w:pPr>
        <w:spacing w:after="0" w:line="240" w:lineRule="auto"/>
        <w:ind w:firstLine="0"/>
      </w:pPr>
    </w:p>
    <w:p>
      <w:pPr>
        <w:spacing w:after="0" w:line="240" w:lineRule="auto"/>
        <w:ind w:firstLine="0"/>
        <w:jc w:val="left"/>
      </w:pPr>
      <w:r>
        <w:t xml:space="preserve">PARANÁ. Conselho Estadual de Recursos Hídricos. Resolução CERH/PR nº 49, de 20 de dezembro de 2006. Dispõe sobre a instituição de Regiões Hidrográficas, Bacias Hidrográficas e Unidades Hidrográficas de Gerenciamento de Recursos Hídricos do Estado do Paraná. Curitiba, 2006.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PARANÁ. Instituto Água e Terra. Instrução Normativa nº 37, de 28 de abril de 2025. Estabelece critérios e procedimentos para o licenciamento ambiental de empreendimentos de saneamento. Curitiba: IAT, 2025.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PROJETO MAPBIOMAS. Coleção 9 da Série Anual de Mapas de Cobertura e Uso da Terra do Brasil. [S.l.]: MapBiomas, 2024. Disponível em: https://brasil.mapbiomas.org. Acesso em: 15 out. 2026.</w:t>
      </w:r>
    </w:p>
    <w:p>
      <w:pPr>
        <w:spacing w:after="0" w:line="240" w:lineRule="auto"/>
        <w:ind w:firstLine="0"/>
      </w:pPr>
    </w:p>
    <w:p>
      <w:pPr>
        <w:spacing w:after="0" w:line="240" w:lineRule="auto"/>
        <w:ind w:firstLine="0"/>
        <w:jc w:val="left"/>
      </w:pPr>
      <w:r>
        <w:t xml:space="preserve">SGB – SERVIÇO GEOLÓGICO DO BRASIL. Domínios e subdomínios hidrogeológicos do Brasil, escala 1:2.500.000. Brasília: SGB/CPRM, [20--]. Disponível em: https://geosgb.sgb.gov.br. Acesso em: 15 out. 2026.</w:t>
      </w:r>
    </w:p>
    <w:p>
      <w:pPr>
        <w:spacing w:after="0" w:line="240" w:lineRule="auto"/>
        <w:ind w:firstLine="0"/>
      </w:pPr>
    </w:p>
    <w:p>
      <w:pPr>
        <w:spacing w:after="0" w:line="240" w:lineRule="auto"/>
        <w:ind w:firstLine="0"/>
        <w:jc w:val="left"/>
      </w:pPr>
      <w:r>
        <w:t xml:space="preserve">SGB – SERVIÇO GEOLÓGICO DO BRASIL. Litoestratigrafia 1:1.000.000 (GeoSGB). Brasília: SGB/CPRM, [20--]. Disponível em: https://geosgb.sgb.gov.br. Acesso em: 15 out. 2026.</w:t>
      </w:r>
    </w:p>
    <w:p>
      <w:pPr>
        <w:spacing w:after="0" w:line="240" w:lineRule="auto"/>
        <w:ind w:firstLine="0"/>
      </w:pPr>
    </w:p>
    <w:p>
      <w:pPr>
        <w:pStyle w:val="Ttulo1"/>
      </w:pPr>
      <w:r>
        <w:t xml:space="preserve">6 IDENTIFICAÇÃO EMPRESA RESPONSÁVEL PELO DOCUMENTO</w:t>
      </w:r>
    </w:p>
    <w:p>
      <w:pPr/>
      <w:r>
        <w:rPr>
          <w:b/>
          <w:bCs/>
        </w:rPr>
        <w:t xml:space="preserve">Razão Social:</w:t>
      </w:r>
      <w:r>
        <w:t xml:space="preserve"> VGBL Energy Ltda</w:t>
      </w:r>
    </w:p>
    <w:p>
      <w:pPr/>
      <w:r>
        <w:rPr>
          <w:b/>
          <w:bCs/>
        </w:rPr>
        <w:t xml:space="preserve">Nome Fantasia:</w:t>
      </w:r>
      <w:r>
        <w:t xml:space="preserve"> Biocerne Ambiental</w:t>
      </w:r>
    </w:p>
    <w:p>
      <w:pPr/>
      <w:r>
        <w:rPr>
          <w:b/>
          <w:bCs/>
        </w:rPr>
        <w:t xml:space="preserve">CNPJ:</w:t>
      </w:r>
      <w:r>
        <w:t xml:space="preserve"> 49.648.599/0001-63</w:t>
      </w:r>
    </w:p>
    <w:p>
      <w:pPr/>
      <w:r>
        <w:rPr>
          <w:b/>
          <w:bCs/>
        </w:rPr>
        <w:t xml:space="preserve">Endereço:</w:t>
      </w:r>
      <w:r>
        <w:t xml:space="preserve"> Av. Fernando Machado, 703D, Sala 02, Centro, CEP 89802-111</w:t>
      </w:r>
    </w:p>
    <w:p>
      <w:pPr/>
      <w:r>
        <w:rPr>
          <w:b/>
          <w:bCs/>
        </w:rPr>
        <w:t xml:space="preserve">Município:</w:t>
      </w:r>
      <w:r>
        <w:t xml:space="preserve"> Chapecó – SC</w:t>
      </w:r>
    </w:p>
    <w:p>
      <w:pPr/>
      <w:r>
        <w:rPr>
          <w:b/>
          <w:bCs/>
        </w:rPr>
        <w:t xml:space="preserve">E-mail:</w:t>
      </w:r>
      <w:r>
        <w:t xml:space="preserve"> vgblenergy@gmail.com</w:t>
      </w:r>
    </w:p>
    <w:p>
      <w:pPr/>
      <w:r>
        <w:rPr>
          <w:b/>
          <w:bCs/>
        </w:rPr>
        <w:t xml:space="preserve">Contato:</w:t>
      </w:r>
      <w:r>
        <w:t xml:space="preserve"> (49) 99997-9063</w:t>
      </w:r>
    </w:p>
    <w:p>
      <w:pPr/>
      <w:r>
        <w:rPr>
          <w:b/>
          <w:bCs/>
        </w:rPr>
        <w:t xml:space="preserve">Responsável técnico:</w:t>
      </w:r>
      <w:r>
        <w:t xml:space="preserve"> </w:t>
      </w:r>
      <w:r>
        <w:rPr>
          <w:b/>
          <w:bCs/>
          <w:highlight w:val="yellow"/>
        </w:rPr>
        <w:t xml:space="preserve">[A VERIFICAR: responsavel_tecnico.nome]</w:t>
      </w:r>
      <w:r>
        <w:t xml:space="preserve"> – </w:t>
      </w:r>
      <w:r>
        <w:rPr>
          <w:b/>
          <w:bCs/>
          <w:highlight w:val="yellow"/>
        </w:rPr>
        <w:t xml:space="preserve">[A VERIFICAR: responsavel_tecnico.registro]</w:t>
      </w:r>
      <w:r>
        <w:t xml:space="preserve"> – ART nº </w:t>
      </w:r>
      <w:r>
        <w:rPr>
          <w:b/>
          <w:bCs/>
          <w:highlight w:val="yellow"/>
        </w:rPr>
        <w:t xml:space="preserve">[A VERIFICAR: responsavel_tecnico.art]</w:t>
      </w:r>
    </w:p>
    <w:p>
      <w:r>
        <w:br w:type="page"/>
      </w:r>
    </w:p>
    <w:p>
      <w:pPr>
        <w:pStyle w:val="Ttulo1"/>
      </w:pPr>
      <w:r>
        <w:t xml:space="preserve">ANEXOS</w:t>
      </w:r>
    </w:p>
    <w:p>
      <w:pPr>
        <w:pStyle w:val="Ttulo1"/>
      </w:pPr>
      <w:r>
        <w:t xml:space="preserve">ANEXO I – JANGADA DO SUL - GENERAL CARNEIRO ÁREA DO POÇO E TRATAMENTO</w:t>
      </w:r>
    </w:p>
    <w:p>
      <w:pPr/>
      <w:r>
        <w:rPr>
          <w:b/>
          <w:bCs/>
          <w:highlight w:val="yellow"/>
        </w:rPr>
        <w:t xml:space="preserve">[A VERIFICAR: inserir planta/projeto da unidade em PDF]</w:t>
      </w:r>
    </w:p>
    <w:p>
      <w:r>
        <w:br w:type="page"/>
      </w:r>
    </w:p>
    <w:p>
      <w:pPr>
        <w:pStyle w:val="Ttulo1"/>
      </w:pPr>
      <w:r>
        <w:t xml:space="preserve">ANEXO II – JANGADA DO SUL - GENERAL CARNEIRO ADUTORA</w:t>
      </w:r>
    </w:p>
    <w:p>
      <w:pPr/>
      <w:r>
        <w:rPr>
          <w:b/>
          <w:bCs/>
          <w:highlight w:val="yellow"/>
        </w:rPr>
        <w:t xml:space="preserve">[A VERIFICAR: inserir planta/projeto da unidade em PDF]</w:t>
      </w:r>
    </w:p>
    <w:p>
      <w:r>
        <w:br w:type="page"/>
      </w:r>
    </w:p>
    <w:p>
      <w:pPr>
        <w:pStyle w:val="Ttulo1"/>
      </w:pPr>
      <w:r>
        <w:t xml:space="preserve">ANEXO III – ART</w:t>
      </w:r>
    </w:p>
    <w:p>
      <w:pPr/>
      <w:r>
        <w:rPr>
          <w:b/>
          <w:bCs/>
          <w:highlight w:val="yellow"/>
        </w:rPr>
        <w:t xml:space="preserve">[A VERIFICAR: inserir ART do responsável técnico]</w:t>
      </w:r>
    </w:p>
    <w:sectPr w:rsidR="009D29D3" w:rsidSect="00DB78D0">
      <w:type w:val="nextPage"/>
      <w:headerReference w:type="default" r:id="rId11"/>
      <w:headerReference w:type="first" r:id="rId12"/>
      <w:pgSz w:w="11906" w:h="16838"/>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AB5E0" w14:textId="77777777" w:rsidR="000242CF" w:rsidRDefault="000242CF" w:rsidP="00256A78">
      <w:pPr>
        <w:spacing w:after="0" w:line="240" w:lineRule="auto"/>
      </w:pPr>
      <w:r>
        <w:separator/>
      </w:r>
    </w:p>
  </w:endnote>
  <w:endnote w:type="continuationSeparator" w:id="0">
    <w:p w14:paraId="6C61B5DA" w14:textId="77777777" w:rsidR="000242CF" w:rsidRDefault="000242CF" w:rsidP="00256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umanst531 B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3FCBF" w14:textId="77777777" w:rsidR="000242CF" w:rsidRDefault="000242CF" w:rsidP="00256A78">
      <w:pPr>
        <w:spacing w:after="0" w:line="240" w:lineRule="auto"/>
      </w:pPr>
      <w:r>
        <w:separator/>
      </w:r>
    </w:p>
  </w:footnote>
  <w:footnote w:type="continuationSeparator" w:id="0">
    <w:p w14:paraId="3FF2F243" w14:textId="77777777" w:rsidR="000242CF" w:rsidRDefault="000242CF" w:rsidP="00256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48AA1" w14:textId="77777777" w:rsidR="00D8412A" w:rsidRDefault="00D8412A">
    <w:pPr>
      <w:pStyle w:val="Cabealho"/>
    </w:pPr>
    <w:r>
      <w:rPr>
        <w:noProof/>
      </w:rPr>
      <w:drawing>
        <wp:anchor distT="0" distB="0" distL="114300" distR="114300" simplePos="0" relativeHeight="251700224" behindDoc="0" locked="0" layoutInCell="1" allowOverlap="1" wp14:anchorId="40783830" wp14:editId="19197B4B">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a:extLst xmlns:a="http://schemas.openxmlformats.org/drawingml/2006/main">
              <a:ext uri="{FF2B5EF4-FFF2-40B4-BE49-F238E27FC236}">
                <a16:creationId xmlns:a16="http://schemas.microsoft.com/office/drawing/2014/main" id="{287FB0FC-7E11-4278-ABA8-9A7C4BCA0B74}"/>
              </a:ext>
            </a:extLst>
          </wp:docPr>
          <wp:cNvGraphicFramePr/>
          <a:graphic xmlns:a="http://schemas.openxmlformats.org/drawingml/2006/main">
            <a:graphicData uri="http://schemas.openxmlformats.org/drawingml/2006/picture">
              <pic:pic xmlns:pic="http://schemas.openxmlformats.org/drawingml/2006/picture">
                <pic:nvPicPr>
                  <pic:cNvPr id="2" name="image1.jpg" descr="Desenho com traços pretos em fundo branco e letras pretas&#10;&#10;Descrição gerada automaticamente com confiança média" title="Imagem">
                    <a:extLst>
                      <a:ext uri="{FF2B5EF4-FFF2-40B4-BE49-F238E27FC236}">
                        <a16:creationId xmlns:a16="http://schemas.microsoft.com/office/drawing/2014/main" id="{287FB0FC-7E11-4278-ABA8-9A7C4BCA0B74}"/>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9200" behindDoc="0" locked="0" layoutInCell="1" allowOverlap="1" wp14:anchorId="148957C7" wp14:editId="73F91920">
          <wp:simplePos x="0" y="0"/>
          <wp:positionH relativeFrom="column">
            <wp:posOffset>-3810</wp:posOffset>
          </wp:positionH>
          <wp:positionV relativeFrom="paragraph">
            <wp:posOffset>130810</wp:posOffset>
          </wp:positionV>
          <wp:extent cx="1685925" cy="415521"/>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DAB6" w14:textId="77777777" w:rsidR="00D8412A" w:rsidRDefault="00D8412A">
    <w:pPr>
      <w:pStyle w:val="Cabealho"/>
    </w:pPr>
    <w:r>
      <w:rPr>
        <w:noProof/>
      </w:rPr>
      <w:drawing>
        <wp:anchor distT="0" distB="0" distL="114300" distR="114300" simplePos="0" relativeHeight="251701248" behindDoc="0" locked="0" layoutInCell="1" allowOverlap="1" wp14:anchorId="3645C46E" wp14:editId="2D8D87B4">
          <wp:simplePos x="0" y="0"/>
          <wp:positionH relativeFrom="column">
            <wp:posOffset>937</wp:posOffset>
          </wp:positionH>
          <wp:positionV relativeFrom="paragraph">
            <wp:posOffset>94368</wp:posOffset>
          </wp:positionV>
          <wp:extent cx="1685925" cy="415521"/>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1">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299BD2C4" wp14:editId="59F182E4">
          <wp:simplePos x="0" y="0"/>
          <wp:positionH relativeFrom="margin">
            <wp:align>right</wp:align>
          </wp:positionH>
          <wp:positionV relativeFrom="paragraph">
            <wp:posOffset>94367</wp:posOffset>
          </wp:positionV>
          <wp:extent cx="1485265" cy="366426"/>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6324"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5265" cy="3664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9F424" w14:textId="77777777" w:rsidR="00D8412A" w:rsidRDefault="00D8412A">
    <w:pPr>
      <w:pStyle w:val="Cabealho"/>
    </w:pPr>
    <w:r>
      <w:rPr>
        <w:noProof/>
      </w:rPr>
      <w:drawing>
        <wp:anchor distT="0" distB="0" distL="114300" distR="114300" simplePos="0" relativeHeight="251704320" behindDoc="0" locked="0" layoutInCell="1" allowOverlap="1" wp14:anchorId="6237E6F6" wp14:editId="10B1875D">
          <wp:simplePos x="0" y="0"/>
          <wp:positionH relativeFrom="column">
            <wp:posOffset>6871276</wp:posOffset>
          </wp:positionH>
          <wp:positionV relativeFrom="paragraph">
            <wp:posOffset>57017</wp:posOffset>
          </wp:positionV>
          <wp:extent cx="1390650" cy="396240"/>
          <wp:effectExtent l="0" t="0" r="0" b="3810"/>
          <wp:wrapNone/>
          <wp:docPr id="42" name="image1.jpg" descr="Desenho com traços pretos em fundo branco e letras pretas&#10;&#10;Descrição gerada automaticamente com confiança média" title="Imagem">
            <a:extLst xmlns:a="http://schemas.openxmlformats.org/drawingml/2006/main">
              <a:ext uri="{FF2B5EF4-FFF2-40B4-BE49-F238E27FC236}">
                <a16:creationId xmlns:a16="http://schemas.microsoft.com/office/drawing/2014/main" id="{287FB0FC-7E11-4278-ABA8-9A7C4BCA0B74}"/>
              </a:ext>
            </a:extLst>
          </wp:docPr>
          <wp:cNvGraphicFramePr/>
          <a:graphic xmlns:a="http://schemas.openxmlformats.org/drawingml/2006/main">
            <a:graphicData uri="http://schemas.openxmlformats.org/drawingml/2006/picture">
              <pic:pic xmlns:pic="http://schemas.openxmlformats.org/drawingml/2006/picture">
                <pic:nvPicPr>
                  <pic:cNvPr id="2" name="image1.jpg" descr="Desenho com traços pretos em fundo branco e letras pretas&#10;&#10;Descrição gerada automaticamente com confiança média" title="Imagem">
                    <a:extLst>
                      <a:ext uri="{FF2B5EF4-FFF2-40B4-BE49-F238E27FC236}">
                        <a16:creationId xmlns:a16="http://schemas.microsoft.com/office/drawing/2014/main" id="{287FB0FC-7E11-4278-ABA8-9A7C4BCA0B74}"/>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5D6C8C7B" wp14:editId="28562D24">
          <wp:simplePos x="0" y="0"/>
          <wp:positionH relativeFrom="column">
            <wp:posOffset>-3810</wp:posOffset>
          </wp:positionH>
          <wp:positionV relativeFrom="paragraph">
            <wp:posOffset>130810</wp:posOffset>
          </wp:positionV>
          <wp:extent cx="1685925" cy="415521"/>
          <wp:effectExtent l="0" t="0" r="0" b="381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C226C" w14:textId="77777777" w:rsidR="00D8412A" w:rsidRDefault="00D8412A">
    <w:pPr>
      <w:pStyle w:val="Cabealho"/>
    </w:pPr>
    <w:r>
      <w:rPr>
        <w:noProof/>
      </w:rPr>
      <w:drawing>
        <wp:anchor distT="0" distB="0" distL="114300" distR="114300" simplePos="0" relativeHeight="251707392" behindDoc="0" locked="0" layoutInCell="1" allowOverlap="1" wp14:anchorId="5F618EC1" wp14:editId="3E7AB463">
          <wp:simplePos x="0" y="0"/>
          <wp:positionH relativeFrom="column">
            <wp:posOffset>3597305</wp:posOffset>
          </wp:positionH>
          <wp:positionV relativeFrom="paragraph">
            <wp:posOffset>56515</wp:posOffset>
          </wp:positionV>
          <wp:extent cx="1390650" cy="396240"/>
          <wp:effectExtent l="0" t="0" r="0" b="3810"/>
          <wp:wrapNone/>
          <wp:docPr id="44" name="image1.jpg" descr="Desenho com traços pretos em fundo branco e letras pretas&#10;&#10;Descrição gerada automaticamente com confiança média" title="Imagem">
            <a:extLst xmlns:a="http://schemas.openxmlformats.org/drawingml/2006/main">
              <a:ext uri="{FF2B5EF4-FFF2-40B4-BE49-F238E27FC236}">
                <a16:creationId xmlns:a16="http://schemas.microsoft.com/office/drawing/2014/main" id="{287FB0FC-7E11-4278-ABA8-9A7C4BCA0B74}"/>
              </a:ext>
            </a:extLst>
          </wp:docPr>
          <wp:cNvGraphicFramePr/>
          <a:graphic xmlns:a="http://schemas.openxmlformats.org/drawingml/2006/main">
            <a:graphicData uri="http://schemas.openxmlformats.org/drawingml/2006/picture">
              <pic:pic xmlns:pic="http://schemas.openxmlformats.org/drawingml/2006/picture">
                <pic:nvPicPr>
                  <pic:cNvPr id="2" name="image1.jpg" descr="Desenho com traços pretos em fundo branco e letras pretas&#10;&#10;Descrição gerada automaticamente com confiança média" title="Imagem">
                    <a:extLst>
                      <a:ext uri="{FF2B5EF4-FFF2-40B4-BE49-F238E27FC236}">
                        <a16:creationId xmlns:a16="http://schemas.microsoft.com/office/drawing/2014/main" id="{287FB0FC-7E11-4278-ABA8-9A7C4BCA0B74}"/>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0BFE43CB" wp14:editId="347B7CF7">
          <wp:simplePos x="0" y="0"/>
          <wp:positionH relativeFrom="column">
            <wp:posOffset>-3810</wp:posOffset>
          </wp:positionH>
          <wp:positionV relativeFrom="paragraph">
            <wp:posOffset>130810</wp:posOffset>
          </wp:positionV>
          <wp:extent cx="1685925" cy="415521"/>
          <wp:effectExtent l="0" t="0" r="0" b="381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5C8D" w14:textId="4E72534F" w:rsidR="00D8412A" w:rsidRDefault="00D8412A">
    <w:pPr>
      <w:pStyle w:val="Cabealho"/>
    </w:pPr>
    <w:r>
      <w:tab/>
    </w:r>
    <w:r>
      <w:tab/>
    </w:r>
    <w:r>
      <w:rPr>
        <w:noProof/>
      </w:rPr>
      <w:drawing>
        <wp:inline distT="0" distB="0" distL="0" distR="0" wp14:anchorId="221375B1" wp14:editId="4D61C179">
          <wp:extent cx="1897200" cy="468000"/>
          <wp:effectExtent l="0" t="0" r="8255" b="8255"/>
          <wp:docPr id="1078041225" name="Imagem 107804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41225" name="BIOCERNE_Horizontal-removebg.png"/>
                  <pic:cNvPicPr/>
                </pic:nvPicPr>
                <pic:blipFill>
                  <a:blip r:embed="rId1">
                    <a:extLst>
                      <a:ext uri="{28A0092B-C50C-407E-A947-70E740481C1C}">
                        <a14:useLocalDpi xmlns:a14="http://schemas.microsoft.com/office/drawing/2010/main" val="0"/>
                      </a:ext>
                    </a:extLst>
                  </a:blip>
                  <a:stretch>
                    <a:fillRect/>
                  </a:stretch>
                </pic:blipFill>
                <pic:spPr>
                  <a:xfrm>
                    <a:off x="0" y="0"/>
                    <a:ext cx="1897200" cy="468000"/>
                  </a:xfrm>
                  <a:prstGeom prst="rect">
                    <a:avLst/>
                  </a:prstGeom>
                </pic:spPr>
              </pic:pic>
            </a:graphicData>
          </a:graphic>
        </wp:inline>
      </w:drawing>
    </w:r>
    <w:r>
      <w:rPr>
        <w:noProof/>
      </w:rPr>
      <w:drawing>
        <wp:anchor distT="0" distB="0" distL="114300" distR="114300" simplePos="0" relativeHeight="251687936" behindDoc="0" locked="0" layoutInCell="1" allowOverlap="1" wp14:anchorId="47543542" wp14:editId="47725DF6">
          <wp:simplePos x="0" y="0"/>
          <wp:positionH relativeFrom="column">
            <wp:posOffset>-3810</wp:posOffset>
          </wp:positionH>
          <wp:positionV relativeFrom="paragraph">
            <wp:posOffset>130810</wp:posOffset>
          </wp:positionV>
          <wp:extent cx="1900800" cy="468000"/>
          <wp:effectExtent l="0" t="0" r="4445" b="825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900800" cy="46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25A5" w14:textId="34AC1342" w:rsidR="00D8412A" w:rsidRDefault="00D8412A">
    <w:pPr>
      <w:pStyle w:val="Cabealho"/>
    </w:pPr>
    <w:r>
      <w:rPr>
        <w:noProof/>
      </w:rPr>
      <w:drawing>
        <wp:anchor distT="0" distB="0" distL="114300" distR="114300" simplePos="0" relativeHeight="251696128" behindDoc="0" locked="0" layoutInCell="1" allowOverlap="1" wp14:anchorId="486BAAA9" wp14:editId="22DE0B2E">
          <wp:simplePos x="0" y="0"/>
          <wp:positionH relativeFrom="column">
            <wp:posOffset>0</wp:posOffset>
          </wp:positionH>
          <wp:positionV relativeFrom="paragraph">
            <wp:posOffset>94368</wp:posOffset>
          </wp:positionV>
          <wp:extent cx="1685925" cy="415521"/>
          <wp:effectExtent l="0" t="0" r="0" b="381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1">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80FD4AE" wp14:editId="51A150F8">
          <wp:simplePos x="0" y="0"/>
          <wp:positionH relativeFrom="margin">
            <wp:align>right</wp:align>
          </wp:positionH>
          <wp:positionV relativeFrom="paragraph">
            <wp:posOffset>94367</wp:posOffset>
          </wp:positionV>
          <wp:extent cx="1485265" cy="366426"/>
          <wp:effectExtent l="0" t="0" r="635" b="0"/>
          <wp:wrapNone/>
          <wp:docPr id="25"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6324"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5265" cy="3664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F2C024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B66734"/>
    <w:multiLevelType w:val="multilevel"/>
    <w:tmpl w:val="0CC684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3435A32"/>
    <w:multiLevelType w:val="hybridMultilevel"/>
    <w:tmpl w:val="DA26A640"/>
    <w:lvl w:ilvl="0" w:tplc="E660A900">
      <w:start w:val="790"/>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A36122"/>
    <w:multiLevelType w:val="multilevel"/>
    <w:tmpl w:val="4E6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7CBF"/>
    <w:multiLevelType w:val="multilevel"/>
    <w:tmpl w:val="E91A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3318"/>
    <w:multiLevelType w:val="hybridMultilevel"/>
    <w:tmpl w:val="0F3006F8"/>
    <w:lvl w:ilvl="0" w:tplc="EC24CE82">
      <w:start w:val="1"/>
      <w:numFmt w:val="upp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9CF3EFA"/>
    <w:multiLevelType w:val="hybridMultilevel"/>
    <w:tmpl w:val="8AB0E44C"/>
    <w:lvl w:ilvl="0" w:tplc="1C7C26CA">
      <w:start w:val="1"/>
      <w:numFmt w:val="lowerLetter"/>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7" w15:restartNumberingAfterBreak="0">
    <w:nsid w:val="1ECE769B"/>
    <w:multiLevelType w:val="multilevel"/>
    <w:tmpl w:val="D9BC983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202062"/>
    <w:multiLevelType w:val="hybridMultilevel"/>
    <w:tmpl w:val="ED84701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242B4A23"/>
    <w:multiLevelType w:val="multilevel"/>
    <w:tmpl w:val="E2207AD0"/>
    <w:lvl w:ilvl="0">
      <w:start w:val="6"/>
      <w:numFmt w:val="decimal"/>
      <w:lvlText w:val="%1"/>
      <w:lvlJc w:val="left"/>
      <w:pPr>
        <w:ind w:left="660" w:hanging="660"/>
      </w:pPr>
      <w:rPr>
        <w:rFonts w:ascii="Calibri" w:hAnsi="Calibri" w:hint="default"/>
      </w:rPr>
    </w:lvl>
    <w:lvl w:ilvl="1">
      <w:start w:val="3"/>
      <w:numFmt w:val="decimal"/>
      <w:lvlText w:val="%1.%2"/>
      <w:lvlJc w:val="left"/>
      <w:pPr>
        <w:ind w:left="660" w:hanging="660"/>
      </w:pPr>
      <w:rPr>
        <w:rFonts w:ascii="Calibri" w:hAnsi="Calibri" w:hint="default"/>
      </w:rPr>
    </w:lvl>
    <w:lvl w:ilvl="2">
      <w:start w:val="2"/>
      <w:numFmt w:val="decimal"/>
      <w:lvlText w:val="%1.%2.%3"/>
      <w:lvlJc w:val="left"/>
      <w:pPr>
        <w:ind w:left="720" w:hanging="720"/>
      </w:pPr>
      <w:rPr>
        <w:rFonts w:ascii="Calibri" w:hAnsi="Calibri" w:hint="default"/>
      </w:rPr>
    </w:lvl>
    <w:lvl w:ilvl="3">
      <w:start w:val="2"/>
      <w:numFmt w:val="decimal"/>
      <w:lvlText w:val="%1.%2.%3.%4"/>
      <w:lvlJc w:val="left"/>
      <w:pPr>
        <w:ind w:left="720" w:hanging="720"/>
      </w:pPr>
      <w:rPr>
        <w:rFonts w:ascii="Calibri" w:hAnsi="Calibri" w:hint="default"/>
      </w:rPr>
    </w:lvl>
    <w:lvl w:ilvl="4">
      <w:start w:val="1"/>
      <w:numFmt w:val="decimal"/>
      <w:lvlText w:val="%1.%2.%3.%4.%5"/>
      <w:lvlJc w:val="left"/>
      <w:pPr>
        <w:ind w:left="1080" w:hanging="1080"/>
      </w:pPr>
      <w:rPr>
        <w:rFonts w:ascii="Calibri" w:hAnsi="Calibri" w:hint="default"/>
      </w:rPr>
    </w:lvl>
    <w:lvl w:ilvl="5">
      <w:start w:val="1"/>
      <w:numFmt w:val="decimal"/>
      <w:lvlText w:val="%1.%2.%3.%4.%5.%6"/>
      <w:lvlJc w:val="left"/>
      <w:pPr>
        <w:ind w:left="1080" w:hanging="1080"/>
      </w:pPr>
      <w:rPr>
        <w:rFonts w:ascii="Calibri" w:hAnsi="Calibri" w:hint="default"/>
      </w:rPr>
    </w:lvl>
    <w:lvl w:ilvl="6">
      <w:start w:val="1"/>
      <w:numFmt w:val="decimal"/>
      <w:lvlText w:val="%1.%2.%3.%4.%5.%6.%7"/>
      <w:lvlJc w:val="left"/>
      <w:pPr>
        <w:ind w:left="1440" w:hanging="1440"/>
      </w:pPr>
      <w:rPr>
        <w:rFonts w:ascii="Calibri" w:hAnsi="Calibri" w:hint="default"/>
      </w:rPr>
    </w:lvl>
    <w:lvl w:ilvl="7">
      <w:start w:val="1"/>
      <w:numFmt w:val="decimal"/>
      <w:lvlText w:val="%1.%2.%3.%4.%5.%6.%7.%8"/>
      <w:lvlJc w:val="left"/>
      <w:pPr>
        <w:ind w:left="1440" w:hanging="1440"/>
      </w:pPr>
      <w:rPr>
        <w:rFonts w:ascii="Calibri" w:hAnsi="Calibri" w:hint="default"/>
      </w:rPr>
    </w:lvl>
    <w:lvl w:ilvl="8">
      <w:start w:val="1"/>
      <w:numFmt w:val="decimal"/>
      <w:lvlText w:val="%1.%2.%3.%4.%5.%6.%7.%8.%9"/>
      <w:lvlJc w:val="left"/>
      <w:pPr>
        <w:ind w:left="1800" w:hanging="1800"/>
      </w:pPr>
      <w:rPr>
        <w:rFonts w:ascii="Calibri" w:hAnsi="Calibri" w:hint="default"/>
      </w:rPr>
    </w:lvl>
  </w:abstractNum>
  <w:abstractNum w:abstractNumId="10" w15:restartNumberingAfterBreak="0">
    <w:nsid w:val="274B280F"/>
    <w:multiLevelType w:val="multilevel"/>
    <w:tmpl w:val="6E82EC02"/>
    <w:lvl w:ilvl="0">
      <w:start w:val="1"/>
      <w:numFmt w:val="decimal"/>
      <w:lvlText w:val="%1"/>
      <w:lvlJc w:val="left"/>
      <w:pPr>
        <w:ind w:left="720" w:hanging="360"/>
      </w:pPr>
      <w:rPr>
        <w:rFonts w:asciiTheme="minorHAnsi" w:eastAsiaTheme="majorEastAsia" w:hAnsiTheme="minorHAnsi"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0AD0F60"/>
    <w:multiLevelType w:val="hybridMultilevel"/>
    <w:tmpl w:val="C47EA344"/>
    <w:lvl w:ilvl="0" w:tplc="04160001">
      <w:start w:val="1"/>
      <w:numFmt w:val="bullet"/>
      <w:lvlText w:val=""/>
      <w:lvlJc w:val="left"/>
      <w:pPr>
        <w:ind w:left="1140" w:hanging="360"/>
      </w:pPr>
      <w:rPr>
        <w:rFonts w:ascii="Symbol" w:hAnsi="Symbol" w:hint="default"/>
      </w:rPr>
    </w:lvl>
    <w:lvl w:ilvl="1" w:tplc="04160003">
      <w:start w:val="1"/>
      <w:numFmt w:val="bullet"/>
      <w:lvlText w:val="o"/>
      <w:lvlJc w:val="left"/>
      <w:pPr>
        <w:ind w:left="1860" w:hanging="360"/>
      </w:pPr>
      <w:rPr>
        <w:rFonts w:ascii="Courier New" w:hAnsi="Courier New" w:cs="Courier New" w:hint="default"/>
      </w:rPr>
    </w:lvl>
    <w:lvl w:ilvl="2" w:tplc="04160005">
      <w:start w:val="1"/>
      <w:numFmt w:val="bullet"/>
      <w:lvlText w:val=""/>
      <w:lvlJc w:val="left"/>
      <w:pPr>
        <w:ind w:left="2580" w:hanging="360"/>
      </w:pPr>
      <w:rPr>
        <w:rFonts w:ascii="Wingdings" w:hAnsi="Wingdings" w:hint="default"/>
      </w:rPr>
    </w:lvl>
    <w:lvl w:ilvl="3" w:tplc="04160001" w:tentative="1">
      <w:start w:val="1"/>
      <w:numFmt w:val="bullet"/>
      <w:lvlText w:val=""/>
      <w:lvlJc w:val="left"/>
      <w:pPr>
        <w:ind w:left="3300" w:hanging="360"/>
      </w:pPr>
      <w:rPr>
        <w:rFonts w:ascii="Symbol" w:hAnsi="Symbol" w:hint="default"/>
      </w:rPr>
    </w:lvl>
    <w:lvl w:ilvl="4" w:tplc="04160003" w:tentative="1">
      <w:start w:val="1"/>
      <w:numFmt w:val="bullet"/>
      <w:lvlText w:val="o"/>
      <w:lvlJc w:val="left"/>
      <w:pPr>
        <w:ind w:left="4020" w:hanging="360"/>
      </w:pPr>
      <w:rPr>
        <w:rFonts w:ascii="Courier New" w:hAnsi="Courier New" w:cs="Courier New" w:hint="default"/>
      </w:rPr>
    </w:lvl>
    <w:lvl w:ilvl="5" w:tplc="04160005" w:tentative="1">
      <w:start w:val="1"/>
      <w:numFmt w:val="bullet"/>
      <w:lvlText w:val=""/>
      <w:lvlJc w:val="left"/>
      <w:pPr>
        <w:ind w:left="4740" w:hanging="360"/>
      </w:pPr>
      <w:rPr>
        <w:rFonts w:ascii="Wingdings" w:hAnsi="Wingdings" w:hint="default"/>
      </w:rPr>
    </w:lvl>
    <w:lvl w:ilvl="6" w:tplc="04160001" w:tentative="1">
      <w:start w:val="1"/>
      <w:numFmt w:val="bullet"/>
      <w:lvlText w:val=""/>
      <w:lvlJc w:val="left"/>
      <w:pPr>
        <w:ind w:left="5460" w:hanging="360"/>
      </w:pPr>
      <w:rPr>
        <w:rFonts w:ascii="Symbol" w:hAnsi="Symbol" w:hint="default"/>
      </w:rPr>
    </w:lvl>
    <w:lvl w:ilvl="7" w:tplc="04160003" w:tentative="1">
      <w:start w:val="1"/>
      <w:numFmt w:val="bullet"/>
      <w:lvlText w:val="o"/>
      <w:lvlJc w:val="left"/>
      <w:pPr>
        <w:ind w:left="6180" w:hanging="360"/>
      </w:pPr>
      <w:rPr>
        <w:rFonts w:ascii="Courier New" w:hAnsi="Courier New" w:cs="Courier New" w:hint="default"/>
      </w:rPr>
    </w:lvl>
    <w:lvl w:ilvl="8" w:tplc="04160005" w:tentative="1">
      <w:start w:val="1"/>
      <w:numFmt w:val="bullet"/>
      <w:lvlText w:val=""/>
      <w:lvlJc w:val="left"/>
      <w:pPr>
        <w:ind w:left="6900" w:hanging="360"/>
      </w:pPr>
      <w:rPr>
        <w:rFonts w:ascii="Wingdings" w:hAnsi="Wingdings" w:hint="default"/>
      </w:rPr>
    </w:lvl>
  </w:abstractNum>
  <w:abstractNum w:abstractNumId="12" w15:restartNumberingAfterBreak="0">
    <w:nsid w:val="329A7BCC"/>
    <w:multiLevelType w:val="hybridMultilevel"/>
    <w:tmpl w:val="0ED213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02C19D1"/>
    <w:multiLevelType w:val="multilevel"/>
    <w:tmpl w:val="30B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32F9D"/>
    <w:multiLevelType w:val="multilevel"/>
    <w:tmpl w:val="A23426DA"/>
    <w:lvl w:ilvl="0">
      <w:start w:val="1"/>
      <w:numFmt w:val="decimal"/>
      <w:lvlText w:val="%1."/>
      <w:lvlJc w:val="right"/>
      <w:pPr>
        <w:tabs>
          <w:tab w:val="num" w:pos="-85"/>
        </w:tabs>
        <w:ind w:left="635" w:hanging="493"/>
      </w:pPr>
      <w:rPr>
        <w:rFonts w:cs="Times New Roman" w:hint="default"/>
      </w:rPr>
    </w:lvl>
    <w:lvl w:ilvl="1">
      <w:start w:val="1"/>
      <w:numFmt w:val="decimal"/>
      <w:isLgl/>
      <w:lvlText w:val="%1.%2."/>
      <w:lvlJc w:val="left"/>
      <w:pPr>
        <w:tabs>
          <w:tab w:val="num" w:pos="-566"/>
        </w:tabs>
        <w:ind w:left="862" w:hanging="720"/>
      </w:pPr>
      <w:rPr>
        <w:rFonts w:cs="Times New Roman" w:hint="default"/>
      </w:rPr>
    </w:lvl>
    <w:lvl w:ilvl="2">
      <w:start w:val="1"/>
      <w:numFmt w:val="decimal"/>
      <w:isLgl/>
      <w:lvlText w:val="%1.%2.%3."/>
      <w:lvlJc w:val="left"/>
      <w:pPr>
        <w:tabs>
          <w:tab w:val="num" w:pos="0"/>
        </w:tabs>
        <w:ind w:left="1776" w:hanging="720"/>
      </w:pPr>
      <w:rPr>
        <w:rFonts w:cs="Times New Roman" w:hint="default"/>
      </w:rPr>
    </w:lvl>
    <w:lvl w:ilvl="3">
      <w:start w:val="1"/>
      <w:numFmt w:val="decimal"/>
      <w:isLgl/>
      <w:lvlText w:val="%1.%2.%3.%4."/>
      <w:lvlJc w:val="left"/>
      <w:pPr>
        <w:tabs>
          <w:tab w:val="num" w:pos="0"/>
        </w:tabs>
        <w:ind w:left="2484" w:hanging="1080"/>
      </w:pPr>
      <w:rPr>
        <w:rFonts w:cs="Times New Roman" w:hint="default"/>
      </w:rPr>
    </w:lvl>
    <w:lvl w:ilvl="4">
      <w:start w:val="1"/>
      <w:numFmt w:val="decimal"/>
      <w:isLgl/>
      <w:lvlText w:val="%1.%2.%3.%4.%5."/>
      <w:lvlJc w:val="left"/>
      <w:pPr>
        <w:tabs>
          <w:tab w:val="num" w:pos="0"/>
        </w:tabs>
        <w:ind w:left="2832" w:hanging="1080"/>
      </w:pPr>
      <w:rPr>
        <w:rFonts w:cs="Times New Roman" w:hint="default"/>
      </w:rPr>
    </w:lvl>
    <w:lvl w:ilvl="5">
      <w:start w:val="1"/>
      <w:numFmt w:val="decimal"/>
      <w:isLgl/>
      <w:lvlText w:val="%1.%2.%3.%4.%5.%6."/>
      <w:lvlJc w:val="left"/>
      <w:pPr>
        <w:tabs>
          <w:tab w:val="num" w:pos="0"/>
        </w:tabs>
        <w:ind w:left="3540" w:hanging="1440"/>
      </w:pPr>
      <w:rPr>
        <w:rFonts w:cs="Times New Roman" w:hint="default"/>
      </w:rPr>
    </w:lvl>
    <w:lvl w:ilvl="6">
      <w:start w:val="1"/>
      <w:numFmt w:val="decimal"/>
      <w:isLgl/>
      <w:lvlText w:val="%1.%2.%3.%4.%5.%6.%7."/>
      <w:lvlJc w:val="left"/>
      <w:pPr>
        <w:tabs>
          <w:tab w:val="num" w:pos="0"/>
        </w:tabs>
        <w:ind w:left="3888" w:hanging="1440"/>
      </w:pPr>
      <w:rPr>
        <w:rFonts w:cs="Times New Roman" w:hint="default"/>
      </w:rPr>
    </w:lvl>
    <w:lvl w:ilvl="7">
      <w:start w:val="1"/>
      <w:numFmt w:val="decimal"/>
      <w:isLgl/>
      <w:lvlText w:val="%1.%2.%3.%4.%5.%6.%7.%8."/>
      <w:lvlJc w:val="left"/>
      <w:pPr>
        <w:tabs>
          <w:tab w:val="num" w:pos="0"/>
        </w:tabs>
        <w:ind w:left="4596" w:hanging="1800"/>
      </w:pPr>
      <w:rPr>
        <w:rFonts w:cs="Times New Roman" w:hint="default"/>
      </w:rPr>
    </w:lvl>
    <w:lvl w:ilvl="8">
      <w:start w:val="1"/>
      <w:numFmt w:val="decimal"/>
      <w:isLgl/>
      <w:lvlText w:val="%1.%2.%3.%4.%5.%6.%7.%8.%9."/>
      <w:lvlJc w:val="left"/>
      <w:pPr>
        <w:tabs>
          <w:tab w:val="num" w:pos="0"/>
        </w:tabs>
        <w:ind w:left="4944" w:hanging="1800"/>
      </w:pPr>
      <w:rPr>
        <w:rFonts w:cs="Times New Roman" w:hint="default"/>
      </w:rPr>
    </w:lvl>
  </w:abstractNum>
  <w:abstractNum w:abstractNumId="15" w15:restartNumberingAfterBreak="0">
    <w:nsid w:val="4D073C84"/>
    <w:multiLevelType w:val="multilevel"/>
    <w:tmpl w:val="A7D8AB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362D9D"/>
    <w:multiLevelType w:val="multilevel"/>
    <w:tmpl w:val="3898B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63016B"/>
    <w:multiLevelType w:val="hybridMultilevel"/>
    <w:tmpl w:val="4536BB9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6E394FB0"/>
    <w:multiLevelType w:val="hybridMultilevel"/>
    <w:tmpl w:val="D1E826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6E162AB"/>
    <w:multiLevelType w:val="hybridMultilevel"/>
    <w:tmpl w:val="1F7403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91A3666"/>
    <w:multiLevelType w:val="hybridMultilevel"/>
    <w:tmpl w:val="5CA6D3E4"/>
    <w:lvl w:ilvl="0" w:tplc="1C7C26CA">
      <w:start w:val="1"/>
      <w:numFmt w:val="lowerLetter"/>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21" w15:restartNumberingAfterBreak="0">
    <w:nsid w:val="794E77FD"/>
    <w:multiLevelType w:val="hybridMultilevel"/>
    <w:tmpl w:val="995CC538"/>
    <w:lvl w:ilvl="0" w:tplc="E368911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BE71725"/>
    <w:multiLevelType w:val="multilevel"/>
    <w:tmpl w:val="188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A05C8"/>
    <w:multiLevelType w:val="multilevel"/>
    <w:tmpl w:val="ED546E92"/>
    <w:lvl w:ilvl="0">
      <w:start w:val="2"/>
      <w:numFmt w:val="decimal"/>
      <w:lvlText w:val="%1"/>
      <w:lvlJc w:val="left"/>
      <w:pPr>
        <w:ind w:left="360" w:hanging="360"/>
      </w:pPr>
      <w:rPr>
        <w:rFonts w:ascii="Calibri" w:hAnsi="Calibri" w:hint="default"/>
      </w:rPr>
    </w:lvl>
    <w:lvl w:ilvl="1">
      <w:start w:val="1"/>
      <w:numFmt w:val="decimal"/>
      <w:lvlText w:val="%1.%2"/>
      <w:lvlJc w:val="left"/>
      <w:pPr>
        <w:ind w:left="644" w:hanging="360"/>
      </w:pPr>
      <w:rPr>
        <w:rFonts w:ascii="Calibri" w:hAnsi="Calibri" w:hint="default"/>
      </w:rPr>
    </w:lvl>
    <w:lvl w:ilvl="2">
      <w:start w:val="1"/>
      <w:numFmt w:val="decimal"/>
      <w:lvlText w:val="%1.%2.%3"/>
      <w:lvlJc w:val="left"/>
      <w:pPr>
        <w:ind w:left="2160" w:hanging="720"/>
      </w:pPr>
      <w:rPr>
        <w:rFonts w:ascii="Calibri" w:hAnsi="Calibri" w:hint="default"/>
      </w:rPr>
    </w:lvl>
    <w:lvl w:ilvl="3">
      <w:start w:val="1"/>
      <w:numFmt w:val="decimal"/>
      <w:lvlText w:val="%1.%2.%3.%4"/>
      <w:lvlJc w:val="left"/>
      <w:pPr>
        <w:ind w:left="2880" w:hanging="720"/>
      </w:pPr>
      <w:rPr>
        <w:rFonts w:ascii="Calibri" w:hAnsi="Calibri" w:hint="default"/>
      </w:rPr>
    </w:lvl>
    <w:lvl w:ilvl="4">
      <w:start w:val="1"/>
      <w:numFmt w:val="decimal"/>
      <w:lvlText w:val="%1.%2.%3.%4.%5"/>
      <w:lvlJc w:val="left"/>
      <w:pPr>
        <w:ind w:left="3960" w:hanging="1080"/>
      </w:pPr>
      <w:rPr>
        <w:rFonts w:ascii="Calibri" w:hAnsi="Calibri" w:hint="default"/>
      </w:rPr>
    </w:lvl>
    <w:lvl w:ilvl="5">
      <w:start w:val="1"/>
      <w:numFmt w:val="decimal"/>
      <w:lvlText w:val="%1.%2.%3.%4.%5.%6"/>
      <w:lvlJc w:val="left"/>
      <w:pPr>
        <w:ind w:left="4680" w:hanging="1080"/>
      </w:pPr>
      <w:rPr>
        <w:rFonts w:ascii="Calibri" w:hAnsi="Calibri" w:hint="default"/>
      </w:rPr>
    </w:lvl>
    <w:lvl w:ilvl="6">
      <w:start w:val="1"/>
      <w:numFmt w:val="decimal"/>
      <w:lvlText w:val="%1.%2.%3.%4.%5.%6.%7"/>
      <w:lvlJc w:val="left"/>
      <w:pPr>
        <w:ind w:left="5760" w:hanging="1440"/>
      </w:pPr>
      <w:rPr>
        <w:rFonts w:ascii="Calibri" w:hAnsi="Calibri" w:hint="default"/>
      </w:rPr>
    </w:lvl>
    <w:lvl w:ilvl="7">
      <w:start w:val="1"/>
      <w:numFmt w:val="decimal"/>
      <w:lvlText w:val="%1.%2.%3.%4.%5.%6.%7.%8"/>
      <w:lvlJc w:val="left"/>
      <w:pPr>
        <w:ind w:left="6480" w:hanging="1440"/>
      </w:pPr>
      <w:rPr>
        <w:rFonts w:ascii="Calibri" w:hAnsi="Calibri" w:hint="default"/>
      </w:rPr>
    </w:lvl>
    <w:lvl w:ilvl="8">
      <w:start w:val="1"/>
      <w:numFmt w:val="decimal"/>
      <w:lvlText w:val="%1.%2.%3.%4.%5.%6.%7.%8.%9"/>
      <w:lvlJc w:val="left"/>
      <w:pPr>
        <w:ind w:left="7560" w:hanging="1800"/>
      </w:pPr>
      <w:rPr>
        <w:rFonts w:ascii="Calibri" w:hAnsi="Calibri" w:hint="default"/>
      </w:rPr>
    </w:lvl>
  </w:abstractNum>
  <w:num w:numId="1">
    <w:abstractNumId w:val="16"/>
  </w:num>
  <w:num w:numId="2">
    <w:abstractNumId w:val="4"/>
  </w:num>
  <w:num w:numId="3">
    <w:abstractNumId w:val="15"/>
  </w:num>
  <w:num w:numId="4">
    <w:abstractNumId w:val="14"/>
  </w:num>
  <w:num w:numId="5">
    <w:abstractNumId w:val="19"/>
  </w:num>
  <w:num w:numId="6">
    <w:abstractNumId w:val="7"/>
  </w:num>
  <w:num w:numId="7">
    <w:abstractNumId w:val="6"/>
  </w:num>
  <w:num w:numId="8">
    <w:abstractNumId w:val="20"/>
  </w:num>
  <w:num w:numId="9">
    <w:abstractNumId w:val="2"/>
  </w:num>
  <w:num w:numId="10">
    <w:abstractNumId w:val="11"/>
  </w:num>
  <w:num w:numId="11">
    <w:abstractNumId w:val="23"/>
  </w:num>
  <w:num w:numId="12">
    <w:abstractNumId w:val="17"/>
  </w:num>
  <w:num w:numId="13">
    <w:abstractNumId w:val="21"/>
  </w:num>
  <w:num w:numId="14">
    <w:abstractNumId w:val="9"/>
  </w:num>
  <w:num w:numId="15">
    <w:abstractNumId w:val="8"/>
  </w:num>
  <w:num w:numId="16">
    <w:abstractNumId w:val="12"/>
  </w:num>
  <w:num w:numId="17">
    <w:abstractNumId w:val="0"/>
  </w:num>
  <w:num w:numId="18">
    <w:abstractNumId w:val="10"/>
  </w:num>
  <w:num w:numId="19">
    <w:abstractNumId w:val="5"/>
  </w:num>
  <w:num w:numId="20">
    <w:abstractNumId w:val="22"/>
  </w:num>
  <w:num w:numId="21">
    <w:abstractNumId w:val="3"/>
  </w:num>
  <w:num w:numId="22">
    <w:abstractNumId w:val="1"/>
  </w:num>
  <w:num w:numId="23">
    <w:abstractNumId w:val="13"/>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CE"/>
    <w:rsid w:val="00001438"/>
    <w:rsid w:val="000016F5"/>
    <w:rsid w:val="000029FE"/>
    <w:rsid w:val="00002F5B"/>
    <w:rsid w:val="00005219"/>
    <w:rsid w:val="000056B9"/>
    <w:rsid w:val="000057F3"/>
    <w:rsid w:val="00005F20"/>
    <w:rsid w:val="000061C1"/>
    <w:rsid w:val="0000655F"/>
    <w:rsid w:val="000076BA"/>
    <w:rsid w:val="00007E2D"/>
    <w:rsid w:val="00010025"/>
    <w:rsid w:val="00010C68"/>
    <w:rsid w:val="00010F5A"/>
    <w:rsid w:val="000111B4"/>
    <w:rsid w:val="00011BB0"/>
    <w:rsid w:val="0001204E"/>
    <w:rsid w:val="00012295"/>
    <w:rsid w:val="000124DF"/>
    <w:rsid w:val="00012B11"/>
    <w:rsid w:val="000134F2"/>
    <w:rsid w:val="000134F9"/>
    <w:rsid w:val="0001359F"/>
    <w:rsid w:val="00015076"/>
    <w:rsid w:val="000152AE"/>
    <w:rsid w:val="000177E5"/>
    <w:rsid w:val="00017B1F"/>
    <w:rsid w:val="00022A3B"/>
    <w:rsid w:val="00022D1D"/>
    <w:rsid w:val="000237F4"/>
    <w:rsid w:val="0002400A"/>
    <w:rsid w:val="000242CF"/>
    <w:rsid w:val="000252FD"/>
    <w:rsid w:val="0002687E"/>
    <w:rsid w:val="000279C6"/>
    <w:rsid w:val="000309F3"/>
    <w:rsid w:val="00031DC3"/>
    <w:rsid w:val="0003233A"/>
    <w:rsid w:val="00032BE7"/>
    <w:rsid w:val="00033FD7"/>
    <w:rsid w:val="000340AB"/>
    <w:rsid w:val="00034A45"/>
    <w:rsid w:val="00034E8D"/>
    <w:rsid w:val="00035E35"/>
    <w:rsid w:val="0003612F"/>
    <w:rsid w:val="0003648A"/>
    <w:rsid w:val="00037090"/>
    <w:rsid w:val="000376B8"/>
    <w:rsid w:val="00040242"/>
    <w:rsid w:val="00040850"/>
    <w:rsid w:val="000408EC"/>
    <w:rsid w:val="00040F0E"/>
    <w:rsid w:val="00041FA0"/>
    <w:rsid w:val="000424F5"/>
    <w:rsid w:val="00044575"/>
    <w:rsid w:val="0004544F"/>
    <w:rsid w:val="0004571D"/>
    <w:rsid w:val="00050F0E"/>
    <w:rsid w:val="00051995"/>
    <w:rsid w:val="00053916"/>
    <w:rsid w:val="00053B11"/>
    <w:rsid w:val="00054630"/>
    <w:rsid w:val="00055B98"/>
    <w:rsid w:val="000569EC"/>
    <w:rsid w:val="00057D4F"/>
    <w:rsid w:val="00060585"/>
    <w:rsid w:val="00060B82"/>
    <w:rsid w:val="00061893"/>
    <w:rsid w:val="00061B63"/>
    <w:rsid w:val="00061BCA"/>
    <w:rsid w:val="00062770"/>
    <w:rsid w:val="00062ECD"/>
    <w:rsid w:val="00063277"/>
    <w:rsid w:val="0006470E"/>
    <w:rsid w:val="00065339"/>
    <w:rsid w:val="000662DC"/>
    <w:rsid w:val="00066AA8"/>
    <w:rsid w:val="00070229"/>
    <w:rsid w:val="0007043E"/>
    <w:rsid w:val="00070508"/>
    <w:rsid w:val="00070B54"/>
    <w:rsid w:val="00070BE8"/>
    <w:rsid w:val="00072950"/>
    <w:rsid w:val="00072CA1"/>
    <w:rsid w:val="000736D3"/>
    <w:rsid w:val="000756FB"/>
    <w:rsid w:val="00075939"/>
    <w:rsid w:val="00075D36"/>
    <w:rsid w:val="00076021"/>
    <w:rsid w:val="00076AD6"/>
    <w:rsid w:val="0007710D"/>
    <w:rsid w:val="000772BB"/>
    <w:rsid w:val="000814CA"/>
    <w:rsid w:val="00083272"/>
    <w:rsid w:val="0008370E"/>
    <w:rsid w:val="00083822"/>
    <w:rsid w:val="00083895"/>
    <w:rsid w:val="00084337"/>
    <w:rsid w:val="00084920"/>
    <w:rsid w:val="000851E1"/>
    <w:rsid w:val="00086043"/>
    <w:rsid w:val="000862A0"/>
    <w:rsid w:val="00087BCE"/>
    <w:rsid w:val="00087C47"/>
    <w:rsid w:val="00090B7E"/>
    <w:rsid w:val="00091062"/>
    <w:rsid w:val="00091AA5"/>
    <w:rsid w:val="00091BC8"/>
    <w:rsid w:val="00092844"/>
    <w:rsid w:val="000932EE"/>
    <w:rsid w:val="000939A8"/>
    <w:rsid w:val="00093FC0"/>
    <w:rsid w:val="00094935"/>
    <w:rsid w:val="00095D9B"/>
    <w:rsid w:val="00097854"/>
    <w:rsid w:val="000A1100"/>
    <w:rsid w:val="000A2D55"/>
    <w:rsid w:val="000A3892"/>
    <w:rsid w:val="000A3D69"/>
    <w:rsid w:val="000A473C"/>
    <w:rsid w:val="000A4757"/>
    <w:rsid w:val="000A4B70"/>
    <w:rsid w:val="000A50A6"/>
    <w:rsid w:val="000A7271"/>
    <w:rsid w:val="000B0E3B"/>
    <w:rsid w:val="000B350A"/>
    <w:rsid w:val="000B66CC"/>
    <w:rsid w:val="000B7929"/>
    <w:rsid w:val="000B7AF2"/>
    <w:rsid w:val="000C01A3"/>
    <w:rsid w:val="000C06E1"/>
    <w:rsid w:val="000C0929"/>
    <w:rsid w:val="000C0A6F"/>
    <w:rsid w:val="000C1110"/>
    <w:rsid w:val="000C243E"/>
    <w:rsid w:val="000C268F"/>
    <w:rsid w:val="000C4A01"/>
    <w:rsid w:val="000C4C37"/>
    <w:rsid w:val="000C72FB"/>
    <w:rsid w:val="000D1551"/>
    <w:rsid w:val="000D1BEA"/>
    <w:rsid w:val="000D1D23"/>
    <w:rsid w:val="000D2284"/>
    <w:rsid w:val="000D26E5"/>
    <w:rsid w:val="000D2F6F"/>
    <w:rsid w:val="000D39A1"/>
    <w:rsid w:val="000D3DED"/>
    <w:rsid w:val="000D4584"/>
    <w:rsid w:val="000D4683"/>
    <w:rsid w:val="000D4764"/>
    <w:rsid w:val="000D4835"/>
    <w:rsid w:val="000D4DD3"/>
    <w:rsid w:val="000D5D82"/>
    <w:rsid w:val="000D6212"/>
    <w:rsid w:val="000D6E06"/>
    <w:rsid w:val="000D730C"/>
    <w:rsid w:val="000D7DAC"/>
    <w:rsid w:val="000D7EA5"/>
    <w:rsid w:val="000E1846"/>
    <w:rsid w:val="000E2726"/>
    <w:rsid w:val="000E4FF6"/>
    <w:rsid w:val="000E5230"/>
    <w:rsid w:val="000E5A64"/>
    <w:rsid w:val="000E5E12"/>
    <w:rsid w:val="000E6A80"/>
    <w:rsid w:val="000E6E0C"/>
    <w:rsid w:val="000F2230"/>
    <w:rsid w:val="000F380C"/>
    <w:rsid w:val="000F384A"/>
    <w:rsid w:val="000F3DCD"/>
    <w:rsid w:val="000F54B2"/>
    <w:rsid w:val="000F54B9"/>
    <w:rsid w:val="000F5536"/>
    <w:rsid w:val="000F6457"/>
    <w:rsid w:val="000F7643"/>
    <w:rsid w:val="00100802"/>
    <w:rsid w:val="00101C7A"/>
    <w:rsid w:val="00102EF6"/>
    <w:rsid w:val="001030E5"/>
    <w:rsid w:val="0010489D"/>
    <w:rsid w:val="00104FCE"/>
    <w:rsid w:val="001053BD"/>
    <w:rsid w:val="00106DB2"/>
    <w:rsid w:val="0010792A"/>
    <w:rsid w:val="001100B1"/>
    <w:rsid w:val="00112E46"/>
    <w:rsid w:val="00112ECD"/>
    <w:rsid w:val="001132CB"/>
    <w:rsid w:val="00113C32"/>
    <w:rsid w:val="00114435"/>
    <w:rsid w:val="00114627"/>
    <w:rsid w:val="00114E3C"/>
    <w:rsid w:val="001177DB"/>
    <w:rsid w:val="00120A97"/>
    <w:rsid w:val="00121C31"/>
    <w:rsid w:val="00122AA1"/>
    <w:rsid w:val="00123013"/>
    <w:rsid w:val="00124EE8"/>
    <w:rsid w:val="00125059"/>
    <w:rsid w:val="00125D1E"/>
    <w:rsid w:val="00126C1C"/>
    <w:rsid w:val="0013073F"/>
    <w:rsid w:val="00130DE1"/>
    <w:rsid w:val="00130E17"/>
    <w:rsid w:val="00131719"/>
    <w:rsid w:val="00132BF8"/>
    <w:rsid w:val="00133037"/>
    <w:rsid w:val="00133A0E"/>
    <w:rsid w:val="00134617"/>
    <w:rsid w:val="001362F6"/>
    <w:rsid w:val="001363F9"/>
    <w:rsid w:val="00136D2C"/>
    <w:rsid w:val="00137303"/>
    <w:rsid w:val="00137C9A"/>
    <w:rsid w:val="00137E88"/>
    <w:rsid w:val="001413C5"/>
    <w:rsid w:val="00141D4C"/>
    <w:rsid w:val="00142DE4"/>
    <w:rsid w:val="001439B2"/>
    <w:rsid w:val="0014486E"/>
    <w:rsid w:val="001448FD"/>
    <w:rsid w:val="00144D2E"/>
    <w:rsid w:val="00145400"/>
    <w:rsid w:val="0014606E"/>
    <w:rsid w:val="00150A91"/>
    <w:rsid w:val="00150DA8"/>
    <w:rsid w:val="00151009"/>
    <w:rsid w:val="00152B32"/>
    <w:rsid w:val="00153FA3"/>
    <w:rsid w:val="00155154"/>
    <w:rsid w:val="00156DBA"/>
    <w:rsid w:val="00157304"/>
    <w:rsid w:val="00157887"/>
    <w:rsid w:val="00157DEC"/>
    <w:rsid w:val="00161EC3"/>
    <w:rsid w:val="001629B9"/>
    <w:rsid w:val="00162C84"/>
    <w:rsid w:val="00162D5F"/>
    <w:rsid w:val="00164FC1"/>
    <w:rsid w:val="001659F0"/>
    <w:rsid w:val="00166C99"/>
    <w:rsid w:val="001702C6"/>
    <w:rsid w:val="001708AB"/>
    <w:rsid w:val="00171018"/>
    <w:rsid w:val="0017118F"/>
    <w:rsid w:val="00172DEA"/>
    <w:rsid w:val="00173DCC"/>
    <w:rsid w:val="0017544D"/>
    <w:rsid w:val="00175491"/>
    <w:rsid w:val="00176CEC"/>
    <w:rsid w:val="001772CA"/>
    <w:rsid w:val="00177443"/>
    <w:rsid w:val="00180259"/>
    <w:rsid w:val="00180672"/>
    <w:rsid w:val="00182589"/>
    <w:rsid w:val="00183CBF"/>
    <w:rsid w:val="00184CA9"/>
    <w:rsid w:val="00184D9E"/>
    <w:rsid w:val="0018590E"/>
    <w:rsid w:val="00185EF3"/>
    <w:rsid w:val="00186441"/>
    <w:rsid w:val="00186897"/>
    <w:rsid w:val="001874DE"/>
    <w:rsid w:val="00187D34"/>
    <w:rsid w:val="00190CE3"/>
    <w:rsid w:val="00191DAF"/>
    <w:rsid w:val="001926B0"/>
    <w:rsid w:val="00192EAA"/>
    <w:rsid w:val="001931C4"/>
    <w:rsid w:val="00193F2D"/>
    <w:rsid w:val="00194A4D"/>
    <w:rsid w:val="00195084"/>
    <w:rsid w:val="001965FC"/>
    <w:rsid w:val="001A002F"/>
    <w:rsid w:val="001A5135"/>
    <w:rsid w:val="001A54E1"/>
    <w:rsid w:val="001A786A"/>
    <w:rsid w:val="001A7C3E"/>
    <w:rsid w:val="001B14B5"/>
    <w:rsid w:val="001B2396"/>
    <w:rsid w:val="001B3176"/>
    <w:rsid w:val="001B38AB"/>
    <w:rsid w:val="001B4109"/>
    <w:rsid w:val="001B4CB2"/>
    <w:rsid w:val="001C0B0E"/>
    <w:rsid w:val="001C1BE7"/>
    <w:rsid w:val="001C2391"/>
    <w:rsid w:val="001C2463"/>
    <w:rsid w:val="001C26F3"/>
    <w:rsid w:val="001C2A6B"/>
    <w:rsid w:val="001C4E6A"/>
    <w:rsid w:val="001C5A30"/>
    <w:rsid w:val="001C5D72"/>
    <w:rsid w:val="001C6326"/>
    <w:rsid w:val="001C7906"/>
    <w:rsid w:val="001C7C32"/>
    <w:rsid w:val="001C7FAF"/>
    <w:rsid w:val="001D0788"/>
    <w:rsid w:val="001D2623"/>
    <w:rsid w:val="001D2B86"/>
    <w:rsid w:val="001D307E"/>
    <w:rsid w:val="001D3243"/>
    <w:rsid w:val="001D44D4"/>
    <w:rsid w:val="001D4A4B"/>
    <w:rsid w:val="001D65ED"/>
    <w:rsid w:val="001E2564"/>
    <w:rsid w:val="001E257E"/>
    <w:rsid w:val="001E3E5B"/>
    <w:rsid w:val="001E405B"/>
    <w:rsid w:val="001E46F2"/>
    <w:rsid w:val="001E4B81"/>
    <w:rsid w:val="001E4DF0"/>
    <w:rsid w:val="001E60A9"/>
    <w:rsid w:val="001F0750"/>
    <w:rsid w:val="001F14A7"/>
    <w:rsid w:val="001F1A1C"/>
    <w:rsid w:val="001F1FEC"/>
    <w:rsid w:val="001F2FFF"/>
    <w:rsid w:val="001F3322"/>
    <w:rsid w:val="001F438E"/>
    <w:rsid w:val="001F4480"/>
    <w:rsid w:val="001F4FBD"/>
    <w:rsid w:val="001F5D3A"/>
    <w:rsid w:val="001F63F6"/>
    <w:rsid w:val="001F678F"/>
    <w:rsid w:val="001F704F"/>
    <w:rsid w:val="001F752F"/>
    <w:rsid w:val="0020065B"/>
    <w:rsid w:val="00200B45"/>
    <w:rsid w:val="00200E27"/>
    <w:rsid w:val="00201849"/>
    <w:rsid w:val="00201B44"/>
    <w:rsid w:val="002023DD"/>
    <w:rsid w:val="00202C3F"/>
    <w:rsid w:val="00203223"/>
    <w:rsid w:val="00204480"/>
    <w:rsid w:val="0020497F"/>
    <w:rsid w:val="00205132"/>
    <w:rsid w:val="00205141"/>
    <w:rsid w:val="00205FA4"/>
    <w:rsid w:val="002076B7"/>
    <w:rsid w:val="00207830"/>
    <w:rsid w:val="00211305"/>
    <w:rsid w:val="00211C44"/>
    <w:rsid w:val="00211CDB"/>
    <w:rsid w:val="00211E0F"/>
    <w:rsid w:val="00212343"/>
    <w:rsid w:val="002139CF"/>
    <w:rsid w:val="00213F9C"/>
    <w:rsid w:val="00214B20"/>
    <w:rsid w:val="00214C7E"/>
    <w:rsid w:val="00215565"/>
    <w:rsid w:val="00215CB6"/>
    <w:rsid w:val="002169FE"/>
    <w:rsid w:val="002171FC"/>
    <w:rsid w:val="0022074E"/>
    <w:rsid w:val="00220DFA"/>
    <w:rsid w:val="002210D4"/>
    <w:rsid w:val="0022170C"/>
    <w:rsid w:val="00221DB0"/>
    <w:rsid w:val="00222A5E"/>
    <w:rsid w:val="00222CB1"/>
    <w:rsid w:val="002237DB"/>
    <w:rsid w:val="00224E8A"/>
    <w:rsid w:val="002250B0"/>
    <w:rsid w:val="0022574D"/>
    <w:rsid w:val="00227041"/>
    <w:rsid w:val="002270F2"/>
    <w:rsid w:val="00230281"/>
    <w:rsid w:val="00230BE4"/>
    <w:rsid w:val="00230E8D"/>
    <w:rsid w:val="00231E8D"/>
    <w:rsid w:val="00232517"/>
    <w:rsid w:val="00232ADE"/>
    <w:rsid w:val="00233E30"/>
    <w:rsid w:val="002346CC"/>
    <w:rsid w:val="00234945"/>
    <w:rsid w:val="00235F1F"/>
    <w:rsid w:val="00237C89"/>
    <w:rsid w:val="002404CF"/>
    <w:rsid w:val="0024265C"/>
    <w:rsid w:val="00243AB3"/>
    <w:rsid w:val="0024419C"/>
    <w:rsid w:val="0024437B"/>
    <w:rsid w:val="0024528A"/>
    <w:rsid w:val="00245393"/>
    <w:rsid w:val="0024571E"/>
    <w:rsid w:val="00245755"/>
    <w:rsid w:val="00245E3E"/>
    <w:rsid w:val="00250799"/>
    <w:rsid w:val="00250CE7"/>
    <w:rsid w:val="00250F5D"/>
    <w:rsid w:val="00250FBD"/>
    <w:rsid w:val="00251C57"/>
    <w:rsid w:val="002522C1"/>
    <w:rsid w:val="0025264C"/>
    <w:rsid w:val="00252E97"/>
    <w:rsid w:val="002539FA"/>
    <w:rsid w:val="00253EA9"/>
    <w:rsid w:val="00253FF8"/>
    <w:rsid w:val="00254B31"/>
    <w:rsid w:val="00255836"/>
    <w:rsid w:val="00255E2E"/>
    <w:rsid w:val="00256A78"/>
    <w:rsid w:val="00260B36"/>
    <w:rsid w:val="00260F3C"/>
    <w:rsid w:val="00261A1F"/>
    <w:rsid w:val="00263062"/>
    <w:rsid w:val="00263D19"/>
    <w:rsid w:val="00264D02"/>
    <w:rsid w:val="002651C6"/>
    <w:rsid w:val="00265DD9"/>
    <w:rsid w:val="002672F5"/>
    <w:rsid w:val="00271EBF"/>
    <w:rsid w:val="002720DA"/>
    <w:rsid w:val="002722D5"/>
    <w:rsid w:val="00273669"/>
    <w:rsid w:val="00273FF1"/>
    <w:rsid w:val="00274713"/>
    <w:rsid w:val="00274949"/>
    <w:rsid w:val="0027557A"/>
    <w:rsid w:val="00276969"/>
    <w:rsid w:val="00277783"/>
    <w:rsid w:val="002814F2"/>
    <w:rsid w:val="00282552"/>
    <w:rsid w:val="00282C4C"/>
    <w:rsid w:val="002834E2"/>
    <w:rsid w:val="00283855"/>
    <w:rsid w:val="00283A51"/>
    <w:rsid w:val="00283E01"/>
    <w:rsid w:val="00284339"/>
    <w:rsid w:val="002844FF"/>
    <w:rsid w:val="00285B6D"/>
    <w:rsid w:val="0028649F"/>
    <w:rsid w:val="002871F5"/>
    <w:rsid w:val="00290442"/>
    <w:rsid w:val="00290D5B"/>
    <w:rsid w:val="002914A8"/>
    <w:rsid w:val="00291E2D"/>
    <w:rsid w:val="00291FA9"/>
    <w:rsid w:val="00292BD1"/>
    <w:rsid w:val="00292C90"/>
    <w:rsid w:val="00293364"/>
    <w:rsid w:val="00293C77"/>
    <w:rsid w:val="00295269"/>
    <w:rsid w:val="0029658C"/>
    <w:rsid w:val="00296983"/>
    <w:rsid w:val="00297961"/>
    <w:rsid w:val="002A0061"/>
    <w:rsid w:val="002A006C"/>
    <w:rsid w:val="002A08A1"/>
    <w:rsid w:val="002A0D42"/>
    <w:rsid w:val="002A12A9"/>
    <w:rsid w:val="002A1A20"/>
    <w:rsid w:val="002A2944"/>
    <w:rsid w:val="002A3759"/>
    <w:rsid w:val="002A3A14"/>
    <w:rsid w:val="002A40E0"/>
    <w:rsid w:val="002A567D"/>
    <w:rsid w:val="002A7D3A"/>
    <w:rsid w:val="002B038B"/>
    <w:rsid w:val="002B0A56"/>
    <w:rsid w:val="002B0F9E"/>
    <w:rsid w:val="002B17DF"/>
    <w:rsid w:val="002B50ED"/>
    <w:rsid w:val="002B522A"/>
    <w:rsid w:val="002B574F"/>
    <w:rsid w:val="002B61E2"/>
    <w:rsid w:val="002B64D8"/>
    <w:rsid w:val="002B756F"/>
    <w:rsid w:val="002B78D0"/>
    <w:rsid w:val="002C0FF6"/>
    <w:rsid w:val="002C1A8D"/>
    <w:rsid w:val="002C22D4"/>
    <w:rsid w:val="002C2AEA"/>
    <w:rsid w:val="002C3510"/>
    <w:rsid w:val="002C5589"/>
    <w:rsid w:val="002C5971"/>
    <w:rsid w:val="002C5A75"/>
    <w:rsid w:val="002C684E"/>
    <w:rsid w:val="002C6DED"/>
    <w:rsid w:val="002C6E17"/>
    <w:rsid w:val="002C71BE"/>
    <w:rsid w:val="002C76F0"/>
    <w:rsid w:val="002D0F53"/>
    <w:rsid w:val="002D1842"/>
    <w:rsid w:val="002D1B90"/>
    <w:rsid w:val="002D1BA4"/>
    <w:rsid w:val="002D2C00"/>
    <w:rsid w:val="002D390D"/>
    <w:rsid w:val="002D3C55"/>
    <w:rsid w:val="002D5102"/>
    <w:rsid w:val="002D7517"/>
    <w:rsid w:val="002D7D06"/>
    <w:rsid w:val="002E1530"/>
    <w:rsid w:val="002E1FC6"/>
    <w:rsid w:val="002E25E9"/>
    <w:rsid w:val="002E3A87"/>
    <w:rsid w:val="002E5E8E"/>
    <w:rsid w:val="002E78D3"/>
    <w:rsid w:val="002E799E"/>
    <w:rsid w:val="002E79A6"/>
    <w:rsid w:val="002F0C24"/>
    <w:rsid w:val="002F0FBC"/>
    <w:rsid w:val="002F1950"/>
    <w:rsid w:val="002F2F29"/>
    <w:rsid w:val="002F3170"/>
    <w:rsid w:val="002F3D41"/>
    <w:rsid w:val="002F54DF"/>
    <w:rsid w:val="002F70C7"/>
    <w:rsid w:val="002F70C8"/>
    <w:rsid w:val="002F7BDD"/>
    <w:rsid w:val="002F7F21"/>
    <w:rsid w:val="00300CD9"/>
    <w:rsid w:val="003019FF"/>
    <w:rsid w:val="003020F6"/>
    <w:rsid w:val="00303339"/>
    <w:rsid w:val="0030352A"/>
    <w:rsid w:val="0030458F"/>
    <w:rsid w:val="00304D5E"/>
    <w:rsid w:val="003072E9"/>
    <w:rsid w:val="00312C96"/>
    <w:rsid w:val="003131D1"/>
    <w:rsid w:val="003134F1"/>
    <w:rsid w:val="00313C26"/>
    <w:rsid w:val="0031422F"/>
    <w:rsid w:val="003142B0"/>
    <w:rsid w:val="00314CD4"/>
    <w:rsid w:val="00314DC3"/>
    <w:rsid w:val="0031510B"/>
    <w:rsid w:val="00315270"/>
    <w:rsid w:val="00315E77"/>
    <w:rsid w:val="00316975"/>
    <w:rsid w:val="003205BC"/>
    <w:rsid w:val="00320ABA"/>
    <w:rsid w:val="003265B5"/>
    <w:rsid w:val="0032697F"/>
    <w:rsid w:val="00326BB7"/>
    <w:rsid w:val="00330096"/>
    <w:rsid w:val="00330A72"/>
    <w:rsid w:val="00330B9B"/>
    <w:rsid w:val="00331068"/>
    <w:rsid w:val="00332025"/>
    <w:rsid w:val="00333C40"/>
    <w:rsid w:val="003349CC"/>
    <w:rsid w:val="00334EE5"/>
    <w:rsid w:val="003357AF"/>
    <w:rsid w:val="00336DE4"/>
    <w:rsid w:val="00337BAB"/>
    <w:rsid w:val="00341B28"/>
    <w:rsid w:val="00341E35"/>
    <w:rsid w:val="003427ED"/>
    <w:rsid w:val="00342DBF"/>
    <w:rsid w:val="003433A3"/>
    <w:rsid w:val="00343AFC"/>
    <w:rsid w:val="003446FF"/>
    <w:rsid w:val="003448F0"/>
    <w:rsid w:val="00344E18"/>
    <w:rsid w:val="003460F1"/>
    <w:rsid w:val="003465EC"/>
    <w:rsid w:val="00346702"/>
    <w:rsid w:val="003468A7"/>
    <w:rsid w:val="00347766"/>
    <w:rsid w:val="00350AEE"/>
    <w:rsid w:val="00351A09"/>
    <w:rsid w:val="003538F8"/>
    <w:rsid w:val="00355580"/>
    <w:rsid w:val="00355C4E"/>
    <w:rsid w:val="00356572"/>
    <w:rsid w:val="00357444"/>
    <w:rsid w:val="00357551"/>
    <w:rsid w:val="003577E8"/>
    <w:rsid w:val="00357CE3"/>
    <w:rsid w:val="003605B5"/>
    <w:rsid w:val="003611D4"/>
    <w:rsid w:val="00361BCD"/>
    <w:rsid w:val="003626AB"/>
    <w:rsid w:val="00364A05"/>
    <w:rsid w:val="003650B4"/>
    <w:rsid w:val="003653C7"/>
    <w:rsid w:val="00366348"/>
    <w:rsid w:val="00367DFE"/>
    <w:rsid w:val="00370B37"/>
    <w:rsid w:val="0037165E"/>
    <w:rsid w:val="00371EAF"/>
    <w:rsid w:val="0037234C"/>
    <w:rsid w:val="00372960"/>
    <w:rsid w:val="00372EC3"/>
    <w:rsid w:val="00373D41"/>
    <w:rsid w:val="003763D2"/>
    <w:rsid w:val="00381762"/>
    <w:rsid w:val="00381E7F"/>
    <w:rsid w:val="00382D74"/>
    <w:rsid w:val="00387AB8"/>
    <w:rsid w:val="003901F9"/>
    <w:rsid w:val="003904B1"/>
    <w:rsid w:val="00390E82"/>
    <w:rsid w:val="0039119B"/>
    <w:rsid w:val="0039188C"/>
    <w:rsid w:val="00391A4B"/>
    <w:rsid w:val="003932A4"/>
    <w:rsid w:val="00393F86"/>
    <w:rsid w:val="00394C9C"/>
    <w:rsid w:val="0039625A"/>
    <w:rsid w:val="003A00A8"/>
    <w:rsid w:val="003A100D"/>
    <w:rsid w:val="003A171E"/>
    <w:rsid w:val="003A26C7"/>
    <w:rsid w:val="003A2FBA"/>
    <w:rsid w:val="003A4178"/>
    <w:rsid w:val="003A4FEA"/>
    <w:rsid w:val="003A5083"/>
    <w:rsid w:val="003A5B63"/>
    <w:rsid w:val="003A6475"/>
    <w:rsid w:val="003B066F"/>
    <w:rsid w:val="003B0838"/>
    <w:rsid w:val="003B3BBF"/>
    <w:rsid w:val="003B4592"/>
    <w:rsid w:val="003B6531"/>
    <w:rsid w:val="003B67FA"/>
    <w:rsid w:val="003B6CD2"/>
    <w:rsid w:val="003B7616"/>
    <w:rsid w:val="003C10F4"/>
    <w:rsid w:val="003C33ED"/>
    <w:rsid w:val="003C366F"/>
    <w:rsid w:val="003C37E0"/>
    <w:rsid w:val="003C3919"/>
    <w:rsid w:val="003C6A48"/>
    <w:rsid w:val="003C7A8B"/>
    <w:rsid w:val="003C7C8A"/>
    <w:rsid w:val="003D0157"/>
    <w:rsid w:val="003D083A"/>
    <w:rsid w:val="003D1FF8"/>
    <w:rsid w:val="003D4C6B"/>
    <w:rsid w:val="003D4F48"/>
    <w:rsid w:val="003D5456"/>
    <w:rsid w:val="003D555C"/>
    <w:rsid w:val="003D5FDC"/>
    <w:rsid w:val="003D6054"/>
    <w:rsid w:val="003D77C7"/>
    <w:rsid w:val="003E001F"/>
    <w:rsid w:val="003E06CD"/>
    <w:rsid w:val="003E11D5"/>
    <w:rsid w:val="003E223F"/>
    <w:rsid w:val="003E2A60"/>
    <w:rsid w:val="003E325E"/>
    <w:rsid w:val="003E3D27"/>
    <w:rsid w:val="003E44BC"/>
    <w:rsid w:val="003E4C76"/>
    <w:rsid w:val="003E5A51"/>
    <w:rsid w:val="003F0C8E"/>
    <w:rsid w:val="003F1084"/>
    <w:rsid w:val="003F1E35"/>
    <w:rsid w:val="003F2D1C"/>
    <w:rsid w:val="003F2FEC"/>
    <w:rsid w:val="003F32F2"/>
    <w:rsid w:val="003F36A5"/>
    <w:rsid w:val="003F537E"/>
    <w:rsid w:val="003F595D"/>
    <w:rsid w:val="003F6083"/>
    <w:rsid w:val="003F69F7"/>
    <w:rsid w:val="004009E1"/>
    <w:rsid w:val="00400EF9"/>
    <w:rsid w:val="00400F39"/>
    <w:rsid w:val="00403ACC"/>
    <w:rsid w:val="004042B3"/>
    <w:rsid w:val="00406259"/>
    <w:rsid w:val="00406C22"/>
    <w:rsid w:val="004076A1"/>
    <w:rsid w:val="00407BCB"/>
    <w:rsid w:val="004103EE"/>
    <w:rsid w:val="004107D0"/>
    <w:rsid w:val="00410B19"/>
    <w:rsid w:val="004115AA"/>
    <w:rsid w:val="00413839"/>
    <w:rsid w:val="00413D14"/>
    <w:rsid w:val="004159B2"/>
    <w:rsid w:val="00415A57"/>
    <w:rsid w:val="00415E2C"/>
    <w:rsid w:val="00415F0D"/>
    <w:rsid w:val="00416670"/>
    <w:rsid w:val="004168AB"/>
    <w:rsid w:val="004173EF"/>
    <w:rsid w:val="004175DD"/>
    <w:rsid w:val="00420119"/>
    <w:rsid w:val="00420D16"/>
    <w:rsid w:val="00421F74"/>
    <w:rsid w:val="00422A1B"/>
    <w:rsid w:val="004252B2"/>
    <w:rsid w:val="004263C6"/>
    <w:rsid w:val="00426D86"/>
    <w:rsid w:val="00427766"/>
    <w:rsid w:val="0043031F"/>
    <w:rsid w:val="00430720"/>
    <w:rsid w:val="004310B9"/>
    <w:rsid w:val="00431B7C"/>
    <w:rsid w:val="004324C7"/>
    <w:rsid w:val="00432D07"/>
    <w:rsid w:val="00433E81"/>
    <w:rsid w:val="004340F0"/>
    <w:rsid w:val="00434171"/>
    <w:rsid w:val="00435DFB"/>
    <w:rsid w:val="00437DD9"/>
    <w:rsid w:val="004401AB"/>
    <w:rsid w:val="004405CA"/>
    <w:rsid w:val="004413AE"/>
    <w:rsid w:val="004419A6"/>
    <w:rsid w:val="00441AE0"/>
    <w:rsid w:val="00442076"/>
    <w:rsid w:val="00443418"/>
    <w:rsid w:val="004434C1"/>
    <w:rsid w:val="004439AA"/>
    <w:rsid w:val="00444336"/>
    <w:rsid w:val="0044462D"/>
    <w:rsid w:val="004449A3"/>
    <w:rsid w:val="00445328"/>
    <w:rsid w:val="004453FC"/>
    <w:rsid w:val="00445E63"/>
    <w:rsid w:val="00446504"/>
    <w:rsid w:val="004466E2"/>
    <w:rsid w:val="00446701"/>
    <w:rsid w:val="004477DD"/>
    <w:rsid w:val="0045076B"/>
    <w:rsid w:val="00451143"/>
    <w:rsid w:val="0045262E"/>
    <w:rsid w:val="00452997"/>
    <w:rsid w:val="004529E6"/>
    <w:rsid w:val="00453464"/>
    <w:rsid w:val="004546C9"/>
    <w:rsid w:val="00461051"/>
    <w:rsid w:val="004610DA"/>
    <w:rsid w:val="0046112E"/>
    <w:rsid w:val="004633E4"/>
    <w:rsid w:val="004634E9"/>
    <w:rsid w:val="00464F4A"/>
    <w:rsid w:val="00465C4C"/>
    <w:rsid w:val="00465FEB"/>
    <w:rsid w:val="00466412"/>
    <w:rsid w:val="0046691B"/>
    <w:rsid w:val="00466ABB"/>
    <w:rsid w:val="00466BEC"/>
    <w:rsid w:val="004675A2"/>
    <w:rsid w:val="004675A7"/>
    <w:rsid w:val="00470165"/>
    <w:rsid w:val="004707E8"/>
    <w:rsid w:val="00471C8B"/>
    <w:rsid w:val="00473031"/>
    <w:rsid w:val="00473CCF"/>
    <w:rsid w:val="00475634"/>
    <w:rsid w:val="004826F2"/>
    <w:rsid w:val="00482F44"/>
    <w:rsid w:val="00483B9C"/>
    <w:rsid w:val="004857D8"/>
    <w:rsid w:val="00485B54"/>
    <w:rsid w:val="00485E6A"/>
    <w:rsid w:val="00486F41"/>
    <w:rsid w:val="004876E8"/>
    <w:rsid w:val="004912EF"/>
    <w:rsid w:val="00491F83"/>
    <w:rsid w:val="00492DC8"/>
    <w:rsid w:val="004947C5"/>
    <w:rsid w:val="004950AB"/>
    <w:rsid w:val="0049568E"/>
    <w:rsid w:val="00495A50"/>
    <w:rsid w:val="004967F6"/>
    <w:rsid w:val="00497394"/>
    <w:rsid w:val="004A0183"/>
    <w:rsid w:val="004A059D"/>
    <w:rsid w:val="004A1FFD"/>
    <w:rsid w:val="004A3305"/>
    <w:rsid w:val="004A3C38"/>
    <w:rsid w:val="004A4943"/>
    <w:rsid w:val="004A6C86"/>
    <w:rsid w:val="004A7AF8"/>
    <w:rsid w:val="004B0A51"/>
    <w:rsid w:val="004B26CC"/>
    <w:rsid w:val="004B2891"/>
    <w:rsid w:val="004B3566"/>
    <w:rsid w:val="004B3901"/>
    <w:rsid w:val="004B3A02"/>
    <w:rsid w:val="004B46F8"/>
    <w:rsid w:val="004B6297"/>
    <w:rsid w:val="004C1258"/>
    <w:rsid w:val="004C2620"/>
    <w:rsid w:val="004C3695"/>
    <w:rsid w:val="004C4D12"/>
    <w:rsid w:val="004C5022"/>
    <w:rsid w:val="004C5875"/>
    <w:rsid w:val="004D02AA"/>
    <w:rsid w:val="004D0B45"/>
    <w:rsid w:val="004D10DF"/>
    <w:rsid w:val="004D1379"/>
    <w:rsid w:val="004D39E1"/>
    <w:rsid w:val="004D3A6B"/>
    <w:rsid w:val="004D3D1F"/>
    <w:rsid w:val="004D439B"/>
    <w:rsid w:val="004D5251"/>
    <w:rsid w:val="004D6595"/>
    <w:rsid w:val="004D78F3"/>
    <w:rsid w:val="004E01AC"/>
    <w:rsid w:val="004E0A00"/>
    <w:rsid w:val="004E40D0"/>
    <w:rsid w:val="004E47ED"/>
    <w:rsid w:val="004E4E9C"/>
    <w:rsid w:val="004E5523"/>
    <w:rsid w:val="004E6927"/>
    <w:rsid w:val="004F0B7F"/>
    <w:rsid w:val="004F20B4"/>
    <w:rsid w:val="004F22CB"/>
    <w:rsid w:val="004F23E2"/>
    <w:rsid w:val="004F2E3D"/>
    <w:rsid w:val="004F412F"/>
    <w:rsid w:val="004F4F3B"/>
    <w:rsid w:val="004F58DD"/>
    <w:rsid w:val="004F762D"/>
    <w:rsid w:val="004F7949"/>
    <w:rsid w:val="00500C46"/>
    <w:rsid w:val="00500E60"/>
    <w:rsid w:val="005030C8"/>
    <w:rsid w:val="0050331E"/>
    <w:rsid w:val="0050411D"/>
    <w:rsid w:val="005047BE"/>
    <w:rsid w:val="00504C7D"/>
    <w:rsid w:val="00504C84"/>
    <w:rsid w:val="005074BF"/>
    <w:rsid w:val="00507797"/>
    <w:rsid w:val="00507D40"/>
    <w:rsid w:val="0051036D"/>
    <w:rsid w:val="00510CA7"/>
    <w:rsid w:val="005116E0"/>
    <w:rsid w:val="005116F1"/>
    <w:rsid w:val="00511815"/>
    <w:rsid w:val="005126BB"/>
    <w:rsid w:val="00513789"/>
    <w:rsid w:val="005138C4"/>
    <w:rsid w:val="005138D7"/>
    <w:rsid w:val="005141CB"/>
    <w:rsid w:val="00514241"/>
    <w:rsid w:val="00515351"/>
    <w:rsid w:val="00516FBE"/>
    <w:rsid w:val="00517F05"/>
    <w:rsid w:val="00520625"/>
    <w:rsid w:val="00523308"/>
    <w:rsid w:val="005240BE"/>
    <w:rsid w:val="00524705"/>
    <w:rsid w:val="00526FFB"/>
    <w:rsid w:val="0052712E"/>
    <w:rsid w:val="00527560"/>
    <w:rsid w:val="0052790A"/>
    <w:rsid w:val="005301DC"/>
    <w:rsid w:val="00532D50"/>
    <w:rsid w:val="00533613"/>
    <w:rsid w:val="005338E7"/>
    <w:rsid w:val="0053496D"/>
    <w:rsid w:val="00534B5A"/>
    <w:rsid w:val="00540209"/>
    <w:rsid w:val="00540A22"/>
    <w:rsid w:val="00540A8D"/>
    <w:rsid w:val="005412DB"/>
    <w:rsid w:val="00541EE0"/>
    <w:rsid w:val="00542FA5"/>
    <w:rsid w:val="005433FC"/>
    <w:rsid w:val="005437EE"/>
    <w:rsid w:val="00544CC6"/>
    <w:rsid w:val="0054550E"/>
    <w:rsid w:val="005472FC"/>
    <w:rsid w:val="00547F01"/>
    <w:rsid w:val="00547FFA"/>
    <w:rsid w:val="00552363"/>
    <w:rsid w:val="00553449"/>
    <w:rsid w:val="00554FB5"/>
    <w:rsid w:val="0055593C"/>
    <w:rsid w:val="00555940"/>
    <w:rsid w:val="00555A07"/>
    <w:rsid w:val="00555A67"/>
    <w:rsid w:val="00555D0A"/>
    <w:rsid w:val="0055616E"/>
    <w:rsid w:val="005603F4"/>
    <w:rsid w:val="00561709"/>
    <w:rsid w:val="0056220B"/>
    <w:rsid w:val="00562BBB"/>
    <w:rsid w:val="00563754"/>
    <w:rsid w:val="00563EAA"/>
    <w:rsid w:val="0056427A"/>
    <w:rsid w:val="005645C7"/>
    <w:rsid w:val="00565E11"/>
    <w:rsid w:val="005670E8"/>
    <w:rsid w:val="00567666"/>
    <w:rsid w:val="00567DA1"/>
    <w:rsid w:val="005720C8"/>
    <w:rsid w:val="005720DD"/>
    <w:rsid w:val="00572DA4"/>
    <w:rsid w:val="00576CF9"/>
    <w:rsid w:val="005773AC"/>
    <w:rsid w:val="00577B27"/>
    <w:rsid w:val="005805D4"/>
    <w:rsid w:val="0058193E"/>
    <w:rsid w:val="00581C2A"/>
    <w:rsid w:val="00581FF7"/>
    <w:rsid w:val="00582301"/>
    <w:rsid w:val="00582CFB"/>
    <w:rsid w:val="005834DD"/>
    <w:rsid w:val="0058376E"/>
    <w:rsid w:val="0058417B"/>
    <w:rsid w:val="00584B98"/>
    <w:rsid w:val="0058538B"/>
    <w:rsid w:val="0058539D"/>
    <w:rsid w:val="005860CE"/>
    <w:rsid w:val="00586418"/>
    <w:rsid w:val="005867BC"/>
    <w:rsid w:val="00586923"/>
    <w:rsid w:val="0059185C"/>
    <w:rsid w:val="00592596"/>
    <w:rsid w:val="0059304A"/>
    <w:rsid w:val="00593398"/>
    <w:rsid w:val="00593584"/>
    <w:rsid w:val="0059409C"/>
    <w:rsid w:val="00594B37"/>
    <w:rsid w:val="0059538A"/>
    <w:rsid w:val="00595A1D"/>
    <w:rsid w:val="00595C9A"/>
    <w:rsid w:val="00597596"/>
    <w:rsid w:val="005976A2"/>
    <w:rsid w:val="005A0980"/>
    <w:rsid w:val="005A17FD"/>
    <w:rsid w:val="005A1B5E"/>
    <w:rsid w:val="005A2102"/>
    <w:rsid w:val="005A3CF7"/>
    <w:rsid w:val="005A5FB4"/>
    <w:rsid w:val="005A6F1B"/>
    <w:rsid w:val="005A7479"/>
    <w:rsid w:val="005B01C1"/>
    <w:rsid w:val="005B171E"/>
    <w:rsid w:val="005B1FD1"/>
    <w:rsid w:val="005B2784"/>
    <w:rsid w:val="005B2B9A"/>
    <w:rsid w:val="005B35FF"/>
    <w:rsid w:val="005B3BBB"/>
    <w:rsid w:val="005B4B34"/>
    <w:rsid w:val="005B4B40"/>
    <w:rsid w:val="005B518B"/>
    <w:rsid w:val="005B6537"/>
    <w:rsid w:val="005B7691"/>
    <w:rsid w:val="005B7693"/>
    <w:rsid w:val="005B7CDA"/>
    <w:rsid w:val="005C0AA9"/>
    <w:rsid w:val="005C0FAE"/>
    <w:rsid w:val="005C24DD"/>
    <w:rsid w:val="005C2BF7"/>
    <w:rsid w:val="005C6853"/>
    <w:rsid w:val="005C68ED"/>
    <w:rsid w:val="005C6AE0"/>
    <w:rsid w:val="005C6AF4"/>
    <w:rsid w:val="005C712D"/>
    <w:rsid w:val="005C719A"/>
    <w:rsid w:val="005C7682"/>
    <w:rsid w:val="005D07AD"/>
    <w:rsid w:val="005D23C8"/>
    <w:rsid w:val="005D2527"/>
    <w:rsid w:val="005D4525"/>
    <w:rsid w:val="005D46A1"/>
    <w:rsid w:val="005D50DF"/>
    <w:rsid w:val="005D5CC0"/>
    <w:rsid w:val="005D6E66"/>
    <w:rsid w:val="005E2021"/>
    <w:rsid w:val="005E2444"/>
    <w:rsid w:val="005E3D2E"/>
    <w:rsid w:val="005E6902"/>
    <w:rsid w:val="005E6D4C"/>
    <w:rsid w:val="005E7336"/>
    <w:rsid w:val="005E7959"/>
    <w:rsid w:val="005F077A"/>
    <w:rsid w:val="005F0F80"/>
    <w:rsid w:val="005F13ED"/>
    <w:rsid w:val="005F151C"/>
    <w:rsid w:val="005F164A"/>
    <w:rsid w:val="005F167A"/>
    <w:rsid w:val="005F1DE3"/>
    <w:rsid w:val="005F439D"/>
    <w:rsid w:val="005F4E6B"/>
    <w:rsid w:val="005F5E3B"/>
    <w:rsid w:val="005F5F9D"/>
    <w:rsid w:val="005F6AED"/>
    <w:rsid w:val="005F75B6"/>
    <w:rsid w:val="005F7D59"/>
    <w:rsid w:val="0060011B"/>
    <w:rsid w:val="00600257"/>
    <w:rsid w:val="00600989"/>
    <w:rsid w:val="0060573F"/>
    <w:rsid w:val="00607597"/>
    <w:rsid w:val="00607D6D"/>
    <w:rsid w:val="0061088F"/>
    <w:rsid w:val="00610D41"/>
    <w:rsid w:val="00610DEA"/>
    <w:rsid w:val="00610E8A"/>
    <w:rsid w:val="00611261"/>
    <w:rsid w:val="0061179B"/>
    <w:rsid w:val="00611BBB"/>
    <w:rsid w:val="006126F4"/>
    <w:rsid w:val="00615AB7"/>
    <w:rsid w:val="006166B5"/>
    <w:rsid w:val="00616F96"/>
    <w:rsid w:val="00617470"/>
    <w:rsid w:val="00620CE3"/>
    <w:rsid w:val="00622E33"/>
    <w:rsid w:val="006234DB"/>
    <w:rsid w:val="006239D3"/>
    <w:rsid w:val="00623C7B"/>
    <w:rsid w:val="006245CC"/>
    <w:rsid w:val="00625A2B"/>
    <w:rsid w:val="00627662"/>
    <w:rsid w:val="00627F03"/>
    <w:rsid w:val="00631191"/>
    <w:rsid w:val="006321E2"/>
    <w:rsid w:val="00632868"/>
    <w:rsid w:val="0063360C"/>
    <w:rsid w:val="00633A0D"/>
    <w:rsid w:val="00633A66"/>
    <w:rsid w:val="00634035"/>
    <w:rsid w:val="006341E5"/>
    <w:rsid w:val="0063512B"/>
    <w:rsid w:val="006356D9"/>
    <w:rsid w:val="00637753"/>
    <w:rsid w:val="00641B6F"/>
    <w:rsid w:val="00641D16"/>
    <w:rsid w:val="006423C7"/>
    <w:rsid w:val="00642520"/>
    <w:rsid w:val="00646685"/>
    <w:rsid w:val="00646B4B"/>
    <w:rsid w:val="00646BCE"/>
    <w:rsid w:val="00646FDF"/>
    <w:rsid w:val="006512AC"/>
    <w:rsid w:val="00651678"/>
    <w:rsid w:val="00651FBF"/>
    <w:rsid w:val="00652308"/>
    <w:rsid w:val="006524E0"/>
    <w:rsid w:val="00654221"/>
    <w:rsid w:val="006546A5"/>
    <w:rsid w:val="00656F72"/>
    <w:rsid w:val="00660313"/>
    <w:rsid w:val="006603F1"/>
    <w:rsid w:val="00662F5E"/>
    <w:rsid w:val="006632D3"/>
    <w:rsid w:val="00664643"/>
    <w:rsid w:val="00664847"/>
    <w:rsid w:val="006669AD"/>
    <w:rsid w:val="00667111"/>
    <w:rsid w:val="00667202"/>
    <w:rsid w:val="00667A61"/>
    <w:rsid w:val="00670C0F"/>
    <w:rsid w:val="006710BE"/>
    <w:rsid w:val="006726FF"/>
    <w:rsid w:val="006732F0"/>
    <w:rsid w:val="00674229"/>
    <w:rsid w:val="0067473A"/>
    <w:rsid w:val="006753AB"/>
    <w:rsid w:val="00675A5B"/>
    <w:rsid w:val="00676051"/>
    <w:rsid w:val="00676918"/>
    <w:rsid w:val="00681917"/>
    <w:rsid w:val="00681F56"/>
    <w:rsid w:val="006821DA"/>
    <w:rsid w:val="00683F9D"/>
    <w:rsid w:val="00684179"/>
    <w:rsid w:val="006846CF"/>
    <w:rsid w:val="006857E8"/>
    <w:rsid w:val="00686896"/>
    <w:rsid w:val="006869BF"/>
    <w:rsid w:val="006874C7"/>
    <w:rsid w:val="006906E7"/>
    <w:rsid w:val="00692000"/>
    <w:rsid w:val="00692912"/>
    <w:rsid w:val="0069313E"/>
    <w:rsid w:val="006931EF"/>
    <w:rsid w:val="0069359C"/>
    <w:rsid w:val="00693784"/>
    <w:rsid w:val="0069396F"/>
    <w:rsid w:val="00694E33"/>
    <w:rsid w:val="00696F18"/>
    <w:rsid w:val="006976BE"/>
    <w:rsid w:val="00697866"/>
    <w:rsid w:val="00697DC3"/>
    <w:rsid w:val="006A010C"/>
    <w:rsid w:val="006A0E6D"/>
    <w:rsid w:val="006A5865"/>
    <w:rsid w:val="006A7F88"/>
    <w:rsid w:val="006B0D2E"/>
    <w:rsid w:val="006B1582"/>
    <w:rsid w:val="006B1F69"/>
    <w:rsid w:val="006B2BEA"/>
    <w:rsid w:val="006B2CE9"/>
    <w:rsid w:val="006B2F00"/>
    <w:rsid w:val="006B3BC2"/>
    <w:rsid w:val="006B3D78"/>
    <w:rsid w:val="006B4BCB"/>
    <w:rsid w:val="006B4F40"/>
    <w:rsid w:val="006B72B4"/>
    <w:rsid w:val="006B768F"/>
    <w:rsid w:val="006C037D"/>
    <w:rsid w:val="006C0488"/>
    <w:rsid w:val="006C0DBA"/>
    <w:rsid w:val="006C25FD"/>
    <w:rsid w:val="006C40CD"/>
    <w:rsid w:val="006C41B2"/>
    <w:rsid w:val="006C45F9"/>
    <w:rsid w:val="006C5527"/>
    <w:rsid w:val="006C5F9A"/>
    <w:rsid w:val="006C5FFF"/>
    <w:rsid w:val="006D083B"/>
    <w:rsid w:val="006D1EBB"/>
    <w:rsid w:val="006D2061"/>
    <w:rsid w:val="006D221B"/>
    <w:rsid w:val="006D40CE"/>
    <w:rsid w:val="006D4939"/>
    <w:rsid w:val="006D4D59"/>
    <w:rsid w:val="006D6A13"/>
    <w:rsid w:val="006E013A"/>
    <w:rsid w:val="006E2F39"/>
    <w:rsid w:val="006E4983"/>
    <w:rsid w:val="006E51C9"/>
    <w:rsid w:val="006E5D28"/>
    <w:rsid w:val="006E71C8"/>
    <w:rsid w:val="006E7833"/>
    <w:rsid w:val="006E7E03"/>
    <w:rsid w:val="006F2208"/>
    <w:rsid w:val="006F36E8"/>
    <w:rsid w:val="006F3C0C"/>
    <w:rsid w:val="006F493D"/>
    <w:rsid w:val="006F7941"/>
    <w:rsid w:val="006F7A86"/>
    <w:rsid w:val="007001F0"/>
    <w:rsid w:val="007003E1"/>
    <w:rsid w:val="00700666"/>
    <w:rsid w:val="00700916"/>
    <w:rsid w:val="00701F05"/>
    <w:rsid w:val="00701FEC"/>
    <w:rsid w:val="00702F2F"/>
    <w:rsid w:val="00703403"/>
    <w:rsid w:val="0070395A"/>
    <w:rsid w:val="00703E2C"/>
    <w:rsid w:val="007040A1"/>
    <w:rsid w:val="00704534"/>
    <w:rsid w:val="0070460B"/>
    <w:rsid w:val="00704829"/>
    <w:rsid w:val="00704842"/>
    <w:rsid w:val="00704D17"/>
    <w:rsid w:val="00706108"/>
    <w:rsid w:val="00707EE6"/>
    <w:rsid w:val="0071157D"/>
    <w:rsid w:val="007135B5"/>
    <w:rsid w:val="00713C16"/>
    <w:rsid w:val="0071430D"/>
    <w:rsid w:val="00714788"/>
    <w:rsid w:val="0071479F"/>
    <w:rsid w:val="00717122"/>
    <w:rsid w:val="00717A72"/>
    <w:rsid w:val="00720776"/>
    <w:rsid w:val="00720A34"/>
    <w:rsid w:val="00721150"/>
    <w:rsid w:val="00721BD8"/>
    <w:rsid w:val="00721DE0"/>
    <w:rsid w:val="007224D0"/>
    <w:rsid w:val="0072254C"/>
    <w:rsid w:val="00722EB1"/>
    <w:rsid w:val="00723C83"/>
    <w:rsid w:val="00724D9D"/>
    <w:rsid w:val="00725299"/>
    <w:rsid w:val="00725539"/>
    <w:rsid w:val="0072572B"/>
    <w:rsid w:val="00725F23"/>
    <w:rsid w:val="00726669"/>
    <w:rsid w:val="0072715B"/>
    <w:rsid w:val="0072717B"/>
    <w:rsid w:val="0072767C"/>
    <w:rsid w:val="007311D1"/>
    <w:rsid w:val="007346F1"/>
    <w:rsid w:val="007347F1"/>
    <w:rsid w:val="00736DEC"/>
    <w:rsid w:val="00737503"/>
    <w:rsid w:val="00740331"/>
    <w:rsid w:val="0074075D"/>
    <w:rsid w:val="00740A1F"/>
    <w:rsid w:val="007415D1"/>
    <w:rsid w:val="00742B4A"/>
    <w:rsid w:val="00742D97"/>
    <w:rsid w:val="007448AB"/>
    <w:rsid w:val="0074525F"/>
    <w:rsid w:val="00746B0C"/>
    <w:rsid w:val="00750191"/>
    <w:rsid w:val="0075071D"/>
    <w:rsid w:val="00754F6F"/>
    <w:rsid w:val="00755A42"/>
    <w:rsid w:val="007564C2"/>
    <w:rsid w:val="00756750"/>
    <w:rsid w:val="007573D1"/>
    <w:rsid w:val="0075758D"/>
    <w:rsid w:val="00761126"/>
    <w:rsid w:val="00762F16"/>
    <w:rsid w:val="007637BD"/>
    <w:rsid w:val="00765BAF"/>
    <w:rsid w:val="0076608D"/>
    <w:rsid w:val="00766459"/>
    <w:rsid w:val="00766E91"/>
    <w:rsid w:val="00766FEF"/>
    <w:rsid w:val="00770355"/>
    <w:rsid w:val="00771AF1"/>
    <w:rsid w:val="00771BB5"/>
    <w:rsid w:val="00772FEC"/>
    <w:rsid w:val="00773251"/>
    <w:rsid w:val="0077474E"/>
    <w:rsid w:val="00775BFC"/>
    <w:rsid w:val="00782A52"/>
    <w:rsid w:val="007839F6"/>
    <w:rsid w:val="00783D29"/>
    <w:rsid w:val="00785065"/>
    <w:rsid w:val="007852AC"/>
    <w:rsid w:val="00786872"/>
    <w:rsid w:val="00787666"/>
    <w:rsid w:val="00787848"/>
    <w:rsid w:val="007879CD"/>
    <w:rsid w:val="0079153C"/>
    <w:rsid w:val="00791C66"/>
    <w:rsid w:val="007926BE"/>
    <w:rsid w:val="007926E4"/>
    <w:rsid w:val="00793935"/>
    <w:rsid w:val="007945BA"/>
    <w:rsid w:val="00794939"/>
    <w:rsid w:val="00795CF5"/>
    <w:rsid w:val="0079622F"/>
    <w:rsid w:val="00796246"/>
    <w:rsid w:val="00796334"/>
    <w:rsid w:val="007A04C0"/>
    <w:rsid w:val="007A243F"/>
    <w:rsid w:val="007A244A"/>
    <w:rsid w:val="007A346E"/>
    <w:rsid w:val="007A4A28"/>
    <w:rsid w:val="007A617E"/>
    <w:rsid w:val="007A65BD"/>
    <w:rsid w:val="007A6CC0"/>
    <w:rsid w:val="007B14F0"/>
    <w:rsid w:val="007B62E6"/>
    <w:rsid w:val="007B657D"/>
    <w:rsid w:val="007B6FC7"/>
    <w:rsid w:val="007B7105"/>
    <w:rsid w:val="007B7661"/>
    <w:rsid w:val="007B7748"/>
    <w:rsid w:val="007B7A41"/>
    <w:rsid w:val="007B7DC1"/>
    <w:rsid w:val="007C0964"/>
    <w:rsid w:val="007C20A3"/>
    <w:rsid w:val="007C2AAA"/>
    <w:rsid w:val="007C35F3"/>
    <w:rsid w:val="007C3AE3"/>
    <w:rsid w:val="007C4ACB"/>
    <w:rsid w:val="007C65DD"/>
    <w:rsid w:val="007C67D4"/>
    <w:rsid w:val="007C75D9"/>
    <w:rsid w:val="007D014D"/>
    <w:rsid w:val="007D06B7"/>
    <w:rsid w:val="007D189C"/>
    <w:rsid w:val="007D19F4"/>
    <w:rsid w:val="007D1B86"/>
    <w:rsid w:val="007D2403"/>
    <w:rsid w:val="007D28E9"/>
    <w:rsid w:val="007D3130"/>
    <w:rsid w:val="007D4D54"/>
    <w:rsid w:val="007D6135"/>
    <w:rsid w:val="007D6EC2"/>
    <w:rsid w:val="007D7D70"/>
    <w:rsid w:val="007D7FC9"/>
    <w:rsid w:val="007E00D4"/>
    <w:rsid w:val="007E05CF"/>
    <w:rsid w:val="007E144C"/>
    <w:rsid w:val="007E155F"/>
    <w:rsid w:val="007E1CAB"/>
    <w:rsid w:val="007E2480"/>
    <w:rsid w:val="007E3B44"/>
    <w:rsid w:val="007E45D9"/>
    <w:rsid w:val="007E50F5"/>
    <w:rsid w:val="007E5257"/>
    <w:rsid w:val="007E561F"/>
    <w:rsid w:val="007E5EBE"/>
    <w:rsid w:val="007E5FDB"/>
    <w:rsid w:val="007F0ED2"/>
    <w:rsid w:val="007F16AF"/>
    <w:rsid w:val="007F1C59"/>
    <w:rsid w:val="007F3470"/>
    <w:rsid w:val="007F4C8D"/>
    <w:rsid w:val="007F5725"/>
    <w:rsid w:val="007F6B93"/>
    <w:rsid w:val="007F75F1"/>
    <w:rsid w:val="007F7AC0"/>
    <w:rsid w:val="007F7F85"/>
    <w:rsid w:val="00800A4E"/>
    <w:rsid w:val="008012CE"/>
    <w:rsid w:val="0080156F"/>
    <w:rsid w:val="008023ED"/>
    <w:rsid w:val="0080276B"/>
    <w:rsid w:val="0080298C"/>
    <w:rsid w:val="0080423D"/>
    <w:rsid w:val="008054FA"/>
    <w:rsid w:val="008059B0"/>
    <w:rsid w:val="00806B53"/>
    <w:rsid w:val="00806B7A"/>
    <w:rsid w:val="00806F6B"/>
    <w:rsid w:val="008070DD"/>
    <w:rsid w:val="008073F7"/>
    <w:rsid w:val="0080775C"/>
    <w:rsid w:val="0081001B"/>
    <w:rsid w:val="008101B6"/>
    <w:rsid w:val="00810678"/>
    <w:rsid w:val="00810A73"/>
    <w:rsid w:val="00810C82"/>
    <w:rsid w:val="0081158D"/>
    <w:rsid w:val="00811CF4"/>
    <w:rsid w:val="00813D6C"/>
    <w:rsid w:val="00813F5A"/>
    <w:rsid w:val="00814687"/>
    <w:rsid w:val="00814954"/>
    <w:rsid w:val="00815905"/>
    <w:rsid w:val="008160D1"/>
    <w:rsid w:val="00816721"/>
    <w:rsid w:val="00816E3F"/>
    <w:rsid w:val="00817B5E"/>
    <w:rsid w:val="00817CC4"/>
    <w:rsid w:val="00820783"/>
    <w:rsid w:val="008212CE"/>
    <w:rsid w:val="00821403"/>
    <w:rsid w:val="0082234D"/>
    <w:rsid w:val="0082252C"/>
    <w:rsid w:val="0082453F"/>
    <w:rsid w:val="008267B0"/>
    <w:rsid w:val="008269AF"/>
    <w:rsid w:val="00826EBA"/>
    <w:rsid w:val="0083009F"/>
    <w:rsid w:val="008302A6"/>
    <w:rsid w:val="00830485"/>
    <w:rsid w:val="008306C3"/>
    <w:rsid w:val="0083096C"/>
    <w:rsid w:val="0083122F"/>
    <w:rsid w:val="008325C7"/>
    <w:rsid w:val="00835B98"/>
    <w:rsid w:val="00840544"/>
    <w:rsid w:val="00841355"/>
    <w:rsid w:val="00841826"/>
    <w:rsid w:val="008426BD"/>
    <w:rsid w:val="00843F22"/>
    <w:rsid w:val="00844D66"/>
    <w:rsid w:val="008451CD"/>
    <w:rsid w:val="0084762D"/>
    <w:rsid w:val="0085024D"/>
    <w:rsid w:val="008505D2"/>
    <w:rsid w:val="00851306"/>
    <w:rsid w:val="00851D0C"/>
    <w:rsid w:val="00851EF8"/>
    <w:rsid w:val="0085242D"/>
    <w:rsid w:val="0085288F"/>
    <w:rsid w:val="008552E3"/>
    <w:rsid w:val="00857384"/>
    <w:rsid w:val="008609A2"/>
    <w:rsid w:val="00860F4A"/>
    <w:rsid w:val="00862D49"/>
    <w:rsid w:val="00863B60"/>
    <w:rsid w:val="008644E7"/>
    <w:rsid w:val="00864527"/>
    <w:rsid w:val="00865696"/>
    <w:rsid w:val="00867498"/>
    <w:rsid w:val="0086798B"/>
    <w:rsid w:val="00867EBB"/>
    <w:rsid w:val="00870B0A"/>
    <w:rsid w:val="008714D3"/>
    <w:rsid w:val="00872543"/>
    <w:rsid w:val="00872545"/>
    <w:rsid w:val="00873E42"/>
    <w:rsid w:val="00874942"/>
    <w:rsid w:val="00880ECC"/>
    <w:rsid w:val="0088229F"/>
    <w:rsid w:val="0088305C"/>
    <w:rsid w:val="008850E4"/>
    <w:rsid w:val="008858A7"/>
    <w:rsid w:val="008866DF"/>
    <w:rsid w:val="008876F5"/>
    <w:rsid w:val="00887BBB"/>
    <w:rsid w:val="00890FEC"/>
    <w:rsid w:val="008914F8"/>
    <w:rsid w:val="008920FE"/>
    <w:rsid w:val="008926CA"/>
    <w:rsid w:val="00893415"/>
    <w:rsid w:val="00893EDA"/>
    <w:rsid w:val="0089432D"/>
    <w:rsid w:val="00895A02"/>
    <w:rsid w:val="0089677C"/>
    <w:rsid w:val="00897DFD"/>
    <w:rsid w:val="008A02B4"/>
    <w:rsid w:val="008A071C"/>
    <w:rsid w:val="008A1CC7"/>
    <w:rsid w:val="008A1D40"/>
    <w:rsid w:val="008A2C5B"/>
    <w:rsid w:val="008A35DE"/>
    <w:rsid w:val="008A446A"/>
    <w:rsid w:val="008A557C"/>
    <w:rsid w:val="008A55AD"/>
    <w:rsid w:val="008B0092"/>
    <w:rsid w:val="008B0522"/>
    <w:rsid w:val="008B12A4"/>
    <w:rsid w:val="008B1E03"/>
    <w:rsid w:val="008B226B"/>
    <w:rsid w:val="008B44A5"/>
    <w:rsid w:val="008B510D"/>
    <w:rsid w:val="008B5986"/>
    <w:rsid w:val="008B6AE5"/>
    <w:rsid w:val="008B7B4D"/>
    <w:rsid w:val="008C06B3"/>
    <w:rsid w:val="008C072B"/>
    <w:rsid w:val="008C0AEC"/>
    <w:rsid w:val="008C1D5A"/>
    <w:rsid w:val="008C64B2"/>
    <w:rsid w:val="008C6793"/>
    <w:rsid w:val="008D1276"/>
    <w:rsid w:val="008D12F5"/>
    <w:rsid w:val="008D1B9B"/>
    <w:rsid w:val="008D1CC2"/>
    <w:rsid w:val="008D2EBB"/>
    <w:rsid w:val="008D3436"/>
    <w:rsid w:val="008D44AD"/>
    <w:rsid w:val="008D456D"/>
    <w:rsid w:val="008D4A2F"/>
    <w:rsid w:val="008D4AB1"/>
    <w:rsid w:val="008D4E5E"/>
    <w:rsid w:val="008D5770"/>
    <w:rsid w:val="008D7064"/>
    <w:rsid w:val="008E15B9"/>
    <w:rsid w:val="008E3365"/>
    <w:rsid w:val="008E56C7"/>
    <w:rsid w:val="008E6229"/>
    <w:rsid w:val="008F0089"/>
    <w:rsid w:val="008F0DC3"/>
    <w:rsid w:val="008F1821"/>
    <w:rsid w:val="008F1AD0"/>
    <w:rsid w:val="008F2D18"/>
    <w:rsid w:val="008F412C"/>
    <w:rsid w:val="008F4814"/>
    <w:rsid w:val="008F48FA"/>
    <w:rsid w:val="008F67BE"/>
    <w:rsid w:val="008F70E9"/>
    <w:rsid w:val="008F7822"/>
    <w:rsid w:val="009016B8"/>
    <w:rsid w:val="0090171E"/>
    <w:rsid w:val="00903943"/>
    <w:rsid w:val="00904DF8"/>
    <w:rsid w:val="00905189"/>
    <w:rsid w:val="00905F03"/>
    <w:rsid w:val="00906EFC"/>
    <w:rsid w:val="00906F83"/>
    <w:rsid w:val="00907877"/>
    <w:rsid w:val="00907A33"/>
    <w:rsid w:val="00911695"/>
    <w:rsid w:val="009117C7"/>
    <w:rsid w:val="009122D8"/>
    <w:rsid w:val="009127CB"/>
    <w:rsid w:val="00913474"/>
    <w:rsid w:val="00914001"/>
    <w:rsid w:val="00916984"/>
    <w:rsid w:val="0092035E"/>
    <w:rsid w:val="009206AE"/>
    <w:rsid w:val="00922E87"/>
    <w:rsid w:val="00923C90"/>
    <w:rsid w:val="009261C1"/>
    <w:rsid w:val="00926710"/>
    <w:rsid w:val="009300A8"/>
    <w:rsid w:val="00930840"/>
    <w:rsid w:val="0093120A"/>
    <w:rsid w:val="009315A0"/>
    <w:rsid w:val="00932C10"/>
    <w:rsid w:val="009334D7"/>
    <w:rsid w:val="009337D2"/>
    <w:rsid w:val="00936212"/>
    <w:rsid w:val="00936398"/>
    <w:rsid w:val="00941CDE"/>
    <w:rsid w:val="00942811"/>
    <w:rsid w:val="00944E13"/>
    <w:rsid w:val="00945CC2"/>
    <w:rsid w:val="00946006"/>
    <w:rsid w:val="009463EF"/>
    <w:rsid w:val="00946523"/>
    <w:rsid w:val="00946ADA"/>
    <w:rsid w:val="00951BD5"/>
    <w:rsid w:val="00952E10"/>
    <w:rsid w:val="0095369A"/>
    <w:rsid w:val="00954D3E"/>
    <w:rsid w:val="00955300"/>
    <w:rsid w:val="009557BB"/>
    <w:rsid w:val="00956329"/>
    <w:rsid w:val="0095715C"/>
    <w:rsid w:val="009573EC"/>
    <w:rsid w:val="00957C7F"/>
    <w:rsid w:val="00957EFE"/>
    <w:rsid w:val="009610A5"/>
    <w:rsid w:val="00961211"/>
    <w:rsid w:val="0096349D"/>
    <w:rsid w:val="00963550"/>
    <w:rsid w:val="00964270"/>
    <w:rsid w:val="0096473C"/>
    <w:rsid w:val="009649E5"/>
    <w:rsid w:val="009657AF"/>
    <w:rsid w:val="009661F0"/>
    <w:rsid w:val="00966AC2"/>
    <w:rsid w:val="00970635"/>
    <w:rsid w:val="00971198"/>
    <w:rsid w:val="0097234E"/>
    <w:rsid w:val="009723B3"/>
    <w:rsid w:val="00972792"/>
    <w:rsid w:val="00974692"/>
    <w:rsid w:val="009753C2"/>
    <w:rsid w:val="00976BCB"/>
    <w:rsid w:val="00977454"/>
    <w:rsid w:val="00977A54"/>
    <w:rsid w:val="00981354"/>
    <w:rsid w:val="00981461"/>
    <w:rsid w:val="009818F2"/>
    <w:rsid w:val="00985E28"/>
    <w:rsid w:val="0098666A"/>
    <w:rsid w:val="00987975"/>
    <w:rsid w:val="009916C8"/>
    <w:rsid w:val="00991742"/>
    <w:rsid w:val="0099174C"/>
    <w:rsid w:val="00991798"/>
    <w:rsid w:val="009925C4"/>
    <w:rsid w:val="00992FAF"/>
    <w:rsid w:val="0099379C"/>
    <w:rsid w:val="00993963"/>
    <w:rsid w:val="00993965"/>
    <w:rsid w:val="009945DC"/>
    <w:rsid w:val="009A09C4"/>
    <w:rsid w:val="009A0BDF"/>
    <w:rsid w:val="009A1116"/>
    <w:rsid w:val="009A1726"/>
    <w:rsid w:val="009A1A17"/>
    <w:rsid w:val="009A1F5D"/>
    <w:rsid w:val="009A22A0"/>
    <w:rsid w:val="009A3B54"/>
    <w:rsid w:val="009A3C89"/>
    <w:rsid w:val="009A3E8B"/>
    <w:rsid w:val="009A7F5F"/>
    <w:rsid w:val="009B048F"/>
    <w:rsid w:val="009B1417"/>
    <w:rsid w:val="009B193B"/>
    <w:rsid w:val="009B274F"/>
    <w:rsid w:val="009B2E40"/>
    <w:rsid w:val="009B3414"/>
    <w:rsid w:val="009B381B"/>
    <w:rsid w:val="009B3857"/>
    <w:rsid w:val="009B4305"/>
    <w:rsid w:val="009B65C0"/>
    <w:rsid w:val="009C1460"/>
    <w:rsid w:val="009C19A0"/>
    <w:rsid w:val="009C2403"/>
    <w:rsid w:val="009C3604"/>
    <w:rsid w:val="009C6B69"/>
    <w:rsid w:val="009C6E90"/>
    <w:rsid w:val="009C7744"/>
    <w:rsid w:val="009C7B06"/>
    <w:rsid w:val="009D0594"/>
    <w:rsid w:val="009D093C"/>
    <w:rsid w:val="009D0DFF"/>
    <w:rsid w:val="009D111E"/>
    <w:rsid w:val="009D1413"/>
    <w:rsid w:val="009D1E82"/>
    <w:rsid w:val="009D22F0"/>
    <w:rsid w:val="009D29D3"/>
    <w:rsid w:val="009D2F73"/>
    <w:rsid w:val="009D3D94"/>
    <w:rsid w:val="009D421A"/>
    <w:rsid w:val="009D4BC0"/>
    <w:rsid w:val="009D51F7"/>
    <w:rsid w:val="009D5C73"/>
    <w:rsid w:val="009D5EB8"/>
    <w:rsid w:val="009D628C"/>
    <w:rsid w:val="009D7CB2"/>
    <w:rsid w:val="009E1E42"/>
    <w:rsid w:val="009E2D53"/>
    <w:rsid w:val="009E2EF8"/>
    <w:rsid w:val="009E399F"/>
    <w:rsid w:val="009E39B3"/>
    <w:rsid w:val="009E41B0"/>
    <w:rsid w:val="009E4C01"/>
    <w:rsid w:val="009E5661"/>
    <w:rsid w:val="009E5B46"/>
    <w:rsid w:val="009E5EF4"/>
    <w:rsid w:val="009F03A9"/>
    <w:rsid w:val="009F0A63"/>
    <w:rsid w:val="009F0FD8"/>
    <w:rsid w:val="009F1E7B"/>
    <w:rsid w:val="009F268F"/>
    <w:rsid w:val="009F2CC6"/>
    <w:rsid w:val="009F4EB9"/>
    <w:rsid w:val="009F7A1F"/>
    <w:rsid w:val="009F7E3A"/>
    <w:rsid w:val="00A0119B"/>
    <w:rsid w:val="00A01BE1"/>
    <w:rsid w:val="00A02D67"/>
    <w:rsid w:val="00A02DA8"/>
    <w:rsid w:val="00A03BC8"/>
    <w:rsid w:val="00A05BA9"/>
    <w:rsid w:val="00A05C04"/>
    <w:rsid w:val="00A06501"/>
    <w:rsid w:val="00A06EFA"/>
    <w:rsid w:val="00A07C1A"/>
    <w:rsid w:val="00A07DD4"/>
    <w:rsid w:val="00A10EC6"/>
    <w:rsid w:val="00A12A04"/>
    <w:rsid w:val="00A13ABE"/>
    <w:rsid w:val="00A162D0"/>
    <w:rsid w:val="00A1654C"/>
    <w:rsid w:val="00A21EE4"/>
    <w:rsid w:val="00A22D98"/>
    <w:rsid w:val="00A237A8"/>
    <w:rsid w:val="00A23C96"/>
    <w:rsid w:val="00A24939"/>
    <w:rsid w:val="00A2493F"/>
    <w:rsid w:val="00A249EB"/>
    <w:rsid w:val="00A24A03"/>
    <w:rsid w:val="00A278C3"/>
    <w:rsid w:val="00A27C50"/>
    <w:rsid w:val="00A3198D"/>
    <w:rsid w:val="00A3201C"/>
    <w:rsid w:val="00A323A6"/>
    <w:rsid w:val="00A3253A"/>
    <w:rsid w:val="00A335CD"/>
    <w:rsid w:val="00A345B2"/>
    <w:rsid w:val="00A36181"/>
    <w:rsid w:val="00A36D51"/>
    <w:rsid w:val="00A406E4"/>
    <w:rsid w:val="00A41145"/>
    <w:rsid w:val="00A41634"/>
    <w:rsid w:val="00A41826"/>
    <w:rsid w:val="00A41C01"/>
    <w:rsid w:val="00A41C21"/>
    <w:rsid w:val="00A42907"/>
    <w:rsid w:val="00A43F9F"/>
    <w:rsid w:val="00A45690"/>
    <w:rsid w:val="00A45BA6"/>
    <w:rsid w:val="00A504CA"/>
    <w:rsid w:val="00A50C3A"/>
    <w:rsid w:val="00A50C5C"/>
    <w:rsid w:val="00A5177F"/>
    <w:rsid w:val="00A51BBD"/>
    <w:rsid w:val="00A52178"/>
    <w:rsid w:val="00A52667"/>
    <w:rsid w:val="00A52B7D"/>
    <w:rsid w:val="00A53590"/>
    <w:rsid w:val="00A5375C"/>
    <w:rsid w:val="00A53CF3"/>
    <w:rsid w:val="00A542E3"/>
    <w:rsid w:val="00A5452A"/>
    <w:rsid w:val="00A5669C"/>
    <w:rsid w:val="00A57827"/>
    <w:rsid w:val="00A57BC0"/>
    <w:rsid w:val="00A57DEA"/>
    <w:rsid w:val="00A60287"/>
    <w:rsid w:val="00A61250"/>
    <w:rsid w:val="00A62BB4"/>
    <w:rsid w:val="00A65780"/>
    <w:rsid w:val="00A658EF"/>
    <w:rsid w:val="00A65B93"/>
    <w:rsid w:val="00A6652D"/>
    <w:rsid w:val="00A66889"/>
    <w:rsid w:val="00A669D7"/>
    <w:rsid w:val="00A67ECD"/>
    <w:rsid w:val="00A71282"/>
    <w:rsid w:val="00A72ACA"/>
    <w:rsid w:val="00A730A6"/>
    <w:rsid w:val="00A73B62"/>
    <w:rsid w:val="00A73B92"/>
    <w:rsid w:val="00A73C82"/>
    <w:rsid w:val="00A74B2B"/>
    <w:rsid w:val="00A75BC7"/>
    <w:rsid w:val="00A75FD4"/>
    <w:rsid w:val="00A767BA"/>
    <w:rsid w:val="00A7697B"/>
    <w:rsid w:val="00A77B80"/>
    <w:rsid w:val="00A77C02"/>
    <w:rsid w:val="00A801E0"/>
    <w:rsid w:val="00A804A4"/>
    <w:rsid w:val="00A80588"/>
    <w:rsid w:val="00A822BD"/>
    <w:rsid w:val="00A822C0"/>
    <w:rsid w:val="00A85164"/>
    <w:rsid w:val="00A85B29"/>
    <w:rsid w:val="00A86331"/>
    <w:rsid w:val="00A8640F"/>
    <w:rsid w:val="00A877AE"/>
    <w:rsid w:val="00A90A34"/>
    <w:rsid w:val="00A91DBB"/>
    <w:rsid w:val="00A922C3"/>
    <w:rsid w:val="00A92ADF"/>
    <w:rsid w:val="00A933BB"/>
    <w:rsid w:val="00A93D42"/>
    <w:rsid w:val="00A93EBF"/>
    <w:rsid w:val="00A93F92"/>
    <w:rsid w:val="00A94254"/>
    <w:rsid w:val="00A950A8"/>
    <w:rsid w:val="00A957F9"/>
    <w:rsid w:val="00A9641A"/>
    <w:rsid w:val="00A9674C"/>
    <w:rsid w:val="00A97412"/>
    <w:rsid w:val="00A97672"/>
    <w:rsid w:val="00A97CC0"/>
    <w:rsid w:val="00AA02C7"/>
    <w:rsid w:val="00AA2167"/>
    <w:rsid w:val="00AA2930"/>
    <w:rsid w:val="00AA30D6"/>
    <w:rsid w:val="00AA328C"/>
    <w:rsid w:val="00AA3825"/>
    <w:rsid w:val="00AA3855"/>
    <w:rsid w:val="00AA54F8"/>
    <w:rsid w:val="00AA58FB"/>
    <w:rsid w:val="00AB01AF"/>
    <w:rsid w:val="00AB0CEC"/>
    <w:rsid w:val="00AB124B"/>
    <w:rsid w:val="00AB3F28"/>
    <w:rsid w:val="00AB40AC"/>
    <w:rsid w:val="00AB42C9"/>
    <w:rsid w:val="00AB474B"/>
    <w:rsid w:val="00AB4876"/>
    <w:rsid w:val="00AB4DDA"/>
    <w:rsid w:val="00AB4DE2"/>
    <w:rsid w:val="00AB674A"/>
    <w:rsid w:val="00AB799D"/>
    <w:rsid w:val="00AB7F20"/>
    <w:rsid w:val="00AC174E"/>
    <w:rsid w:val="00AC2253"/>
    <w:rsid w:val="00AC26B3"/>
    <w:rsid w:val="00AC2944"/>
    <w:rsid w:val="00AC304A"/>
    <w:rsid w:val="00AC3D7D"/>
    <w:rsid w:val="00AC553F"/>
    <w:rsid w:val="00AC7F0A"/>
    <w:rsid w:val="00AD0C49"/>
    <w:rsid w:val="00AD28D6"/>
    <w:rsid w:val="00AD2A9C"/>
    <w:rsid w:val="00AD43F3"/>
    <w:rsid w:val="00AD5F06"/>
    <w:rsid w:val="00AD6D63"/>
    <w:rsid w:val="00AD7551"/>
    <w:rsid w:val="00AE01A9"/>
    <w:rsid w:val="00AE0B29"/>
    <w:rsid w:val="00AE0D5B"/>
    <w:rsid w:val="00AE12EC"/>
    <w:rsid w:val="00AE1681"/>
    <w:rsid w:val="00AE174F"/>
    <w:rsid w:val="00AE1870"/>
    <w:rsid w:val="00AE25DB"/>
    <w:rsid w:val="00AE2E8B"/>
    <w:rsid w:val="00AE3506"/>
    <w:rsid w:val="00AE4C50"/>
    <w:rsid w:val="00AE4D89"/>
    <w:rsid w:val="00AE680F"/>
    <w:rsid w:val="00AE78D8"/>
    <w:rsid w:val="00AE7E6D"/>
    <w:rsid w:val="00AF2E83"/>
    <w:rsid w:val="00AF356C"/>
    <w:rsid w:val="00AF37FF"/>
    <w:rsid w:val="00AF4037"/>
    <w:rsid w:val="00AF437A"/>
    <w:rsid w:val="00AF642F"/>
    <w:rsid w:val="00AF684C"/>
    <w:rsid w:val="00AF7A2E"/>
    <w:rsid w:val="00AF7B4D"/>
    <w:rsid w:val="00B00432"/>
    <w:rsid w:val="00B01950"/>
    <w:rsid w:val="00B02050"/>
    <w:rsid w:val="00B0224D"/>
    <w:rsid w:val="00B025AD"/>
    <w:rsid w:val="00B027D6"/>
    <w:rsid w:val="00B03CAC"/>
    <w:rsid w:val="00B040DB"/>
    <w:rsid w:val="00B04671"/>
    <w:rsid w:val="00B0492F"/>
    <w:rsid w:val="00B04DA9"/>
    <w:rsid w:val="00B06AFF"/>
    <w:rsid w:val="00B074D9"/>
    <w:rsid w:val="00B07A4E"/>
    <w:rsid w:val="00B07C2C"/>
    <w:rsid w:val="00B105EB"/>
    <w:rsid w:val="00B11384"/>
    <w:rsid w:val="00B1270B"/>
    <w:rsid w:val="00B1464D"/>
    <w:rsid w:val="00B14CA8"/>
    <w:rsid w:val="00B158F0"/>
    <w:rsid w:val="00B1646E"/>
    <w:rsid w:val="00B17797"/>
    <w:rsid w:val="00B20505"/>
    <w:rsid w:val="00B223CE"/>
    <w:rsid w:val="00B23CFF"/>
    <w:rsid w:val="00B24319"/>
    <w:rsid w:val="00B25DBD"/>
    <w:rsid w:val="00B2620D"/>
    <w:rsid w:val="00B271B4"/>
    <w:rsid w:val="00B2747F"/>
    <w:rsid w:val="00B30D6D"/>
    <w:rsid w:val="00B316EC"/>
    <w:rsid w:val="00B33DC2"/>
    <w:rsid w:val="00B33F81"/>
    <w:rsid w:val="00B35597"/>
    <w:rsid w:val="00B356D8"/>
    <w:rsid w:val="00B35E85"/>
    <w:rsid w:val="00B3763A"/>
    <w:rsid w:val="00B37658"/>
    <w:rsid w:val="00B37B9A"/>
    <w:rsid w:val="00B37EBB"/>
    <w:rsid w:val="00B40423"/>
    <w:rsid w:val="00B41AA1"/>
    <w:rsid w:val="00B42115"/>
    <w:rsid w:val="00B427E9"/>
    <w:rsid w:val="00B436B5"/>
    <w:rsid w:val="00B43A4C"/>
    <w:rsid w:val="00B43F1A"/>
    <w:rsid w:val="00B44333"/>
    <w:rsid w:val="00B4450A"/>
    <w:rsid w:val="00B44910"/>
    <w:rsid w:val="00B45B5E"/>
    <w:rsid w:val="00B476D2"/>
    <w:rsid w:val="00B507DF"/>
    <w:rsid w:val="00B50B92"/>
    <w:rsid w:val="00B50F9D"/>
    <w:rsid w:val="00B52145"/>
    <w:rsid w:val="00B5483B"/>
    <w:rsid w:val="00B54B03"/>
    <w:rsid w:val="00B55279"/>
    <w:rsid w:val="00B55988"/>
    <w:rsid w:val="00B56E93"/>
    <w:rsid w:val="00B57A8C"/>
    <w:rsid w:val="00B57FAC"/>
    <w:rsid w:val="00B60AC2"/>
    <w:rsid w:val="00B60BB5"/>
    <w:rsid w:val="00B61192"/>
    <w:rsid w:val="00B62C1A"/>
    <w:rsid w:val="00B6416C"/>
    <w:rsid w:val="00B64A9D"/>
    <w:rsid w:val="00B64BAE"/>
    <w:rsid w:val="00B65893"/>
    <w:rsid w:val="00B65F87"/>
    <w:rsid w:val="00B71D9D"/>
    <w:rsid w:val="00B72430"/>
    <w:rsid w:val="00B74137"/>
    <w:rsid w:val="00B741BA"/>
    <w:rsid w:val="00B748E3"/>
    <w:rsid w:val="00B750A4"/>
    <w:rsid w:val="00B76BB1"/>
    <w:rsid w:val="00B807F4"/>
    <w:rsid w:val="00B8090C"/>
    <w:rsid w:val="00B8146F"/>
    <w:rsid w:val="00B835D1"/>
    <w:rsid w:val="00B84968"/>
    <w:rsid w:val="00B84A5C"/>
    <w:rsid w:val="00B84C6D"/>
    <w:rsid w:val="00B8537B"/>
    <w:rsid w:val="00B8696B"/>
    <w:rsid w:val="00B87265"/>
    <w:rsid w:val="00B90847"/>
    <w:rsid w:val="00B92EFC"/>
    <w:rsid w:val="00B92F8D"/>
    <w:rsid w:val="00B9607D"/>
    <w:rsid w:val="00B96C8C"/>
    <w:rsid w:val="00BA0CA9"/>
    <w:rsid w:val="00BA1C27"/>
    <w:rsid w:val="00BA36BE"/>
    <w:rsid w:val="00BA4717"/>
    <w:rsid w:val="00BA4B12"/>
    <w:rsid w:val="00BA5A53"/>
    <w:rsid w:val="00BA61B9"/>
    <w:rsid w:val="00BA75A1"/>
    <w:rsid w:val="00BA7DE1"/>
    <w:rsid w:val="00BB0DC1"/>
    <w:rsid w:val="00BB24D1"/>
    <w:rsid w:val="00BB2AA6"/>
    <w:rsid w:val="00BB377D"/>
    <w:rsid w:val="00BB4290"/>
    <w:rsid w:val="00BB479C"/>
    <w:rsid w:val="00BB4E35"/>
    <w:rsid w:val="00BB4F24"/>
    <w:rsid w:val="00BB6F22"/>
    <w:rsid w:val="00BB748E"/>
    <w:rsid w:val="00BC0181"/>
    <w:rsid w:val="00BC030B"/>
    <w:rsid w:val="00BC1AD5"/>
    <w:rsid w:val="00BC4260"/>
    <w:rsid w:val="00BC50D4"/>
    <w:rsid w:val="00BC533C"/>
    <w:rsid w:val="00BC5ADB"/>
    <w:rsid w:val="00BC7832"/>
    <w:rsid w:val="00BD0330"/>
    <w:rsid w:val="00BD0C49"/>
    <w:rsid w:val="00BD10E8"/>
    <w:rsid w:val="00BD3392"/>
    <w:rsid w:val="00BD4017"/>
    <w:rsid w:val="00BD4B68"/>
    <w:rsid w:val="00BD6238"/>
    <w:rsid w:val="00BD636D"/>
    <w:rsid w:val="00BD6F15"/>
    <w:rsid w:val="00BE0C2E"/>
    <w:rsid w:val="00BE0CE3"/>
    <w:rsid w:val="00BE178B"/>
    <w:rsid w:val="00BE1C0D"/>
    <w:rsid w:val="00BE2DC1"/>
    <w:rsid w:val="00BE3F0D"/>
    <w:rsid w:val="00BE5811"/>
    <w:rsid w:val="00BE59CD"/>
    <w:rsid w:val="00BE5D21"/>
    <w:rsid w:val="00BE6BB5"/>
    <w:rsid w:val="00BE7FE7"/>
    <w:rsid w:val="00BF0950"/>
    <w:rsid w:val="00BF1DF0"/>
    <w:rsid w:val="00BF1F7B"/>
    <w:rsid w:val="00BF2457"/>
    <w:rsid w:val="00BF4261"/>
    <w:rsid w:val="00BF4404"/>
    <w:rsid w:val="00BF75C8"/>
    <w:rsid w:val="00BF77A0"/>
    <w:rsid w:val="00C000AE"/>
    <w:rsid w:val="00C00ADD"/>
    <w:rsid w:val="00C011D6"/>
    <w:rsid w:val="00C015FF"/>
    <w:rsid w:val="00C026F8"/>
    <w:rsid w:val="00C02918"/>
    <w:rsid w:val="00C03342"/>
    <w:rsid w:val="00C03753"/>
    <w:rsid w:val="00C04102"/>
    <w:rsid w:val="00C05888"/>
    <w:rsid w:val="00C069BB"/>
    <w:rsid w:val="00C07E94"/>
    <w:rsid w:val="00C07F29"/>
    <w:rsid w:val="00C10E2E"/>
    <w:rsid w:val="00C10F59"/>
    <w:rsid w:val="00C11689"/>
    <w:rsid w:val="00C117C2"/>
    <w:rsid w:val="00C11A2B"/>
    <w:rsid w:val="00C12767"/>
    <w:rsid w:val="00C14E5E"/>
    <w:rsid w:val="00C15374"/>
    <w:rsid w:val="00C1615F"/>
    <w:rsid w:val="00C173F0"/>
    <w:rsid w:val="00C17528"/>
    <w:rsid w:val="00C2092F"/>
    <w:rsid w:val="00C20A80"/>
    <w:rsid w:val="00C21AF9"/>
    <w:rsid w:val="00C21B73"/>
    <w:rsid w:val="00C228C0"/>
    <w:rsid w:val="00C22AA1"/>
    <w:rsid w:val="00C233C6"/>
    <w:rsid w:val="00C238BD"/>
    <w:rsid w:val="00C23CB7"/>
    <w:rsid w:val="00C252DF"/>
    <w:rsid w:val="00C259CA"/>
    <w:rsid w:val="00C25CB4"/>
    <w:rsid w:val="00C25EB8"/>
    <w:rsid w:val="00C26826"/>
    <w:rsid w:val="00C275C5"/>
    <w:rsid w:val="00C3001E"/>
    <w:rsid w:val="00C3130D"/>
    <w:rsid w:val="00C3145E"/>
    <w:rsid w:val="00C320CF"/>
    <w:rsid w:val="00C326AF"/>
    <w:rsid w:val="00C327CD"/>
    <w:rsid w:val="00C33437"/>
    <w:rsid w:val="00C339E6"/>
    <w:rsid w:val="00C33DCE"/>
    <w:rsid w:val="00C34E28"/>
    <w:rsid w:val="00C35D90"/>
    <w:rsid w:val="00C373AD"/>
    <w:rsid w:val="00C40D51"/>
    <w:rsid w:val="00C41049"/>
    <w:rsid w:val="00C41B08"/>
    <w:rsid w:val="00C45130"/>
    <w:rsid w:val="00C46165"/>
    <w:rsid w:val="00C4735E"/>
    <w:rsid w:val="00C47548"/>
    <w:rsid w:val="00C4767D"/>
    <w:rsid w:val="00C518F2"/>
    <w:rsid w:val="00C51F54"/>
    <w:rsid w:val="00C520DD"/>
    <w:rsid w:val="00C53A05"/>
    <w:rsid w:val="00C543B1"/>
    <w:rsid w:val="00C556D2"/>
    <w:rsid w:val="00C56D98"/>
    <w:rsid w:val="00C57058"/>
    <w:rsid w:val="00C57A4C"/>
    <w:rsid w:val="00C57C19"/>
    <w:rsid w:val="00C601EC"/>
    <w:rsid w:val="00C602C7"/>
    <w:rsid w:val="00C61A81"/>
    <w:rsid w:val="00C61A98"/>
    <w:rsid w:val="00C64215"/>
    <w:rsid w:val="00C644DF"/>
    <w:rsid w:val="00C6550E"/>
    <w:rsid w:val="00C65CF2"/>
    <w:rsid w:val="00C672CB"/>
    <w:rsid w:val="00C67742"/>
    <w:rsid w:val="00C708B3"/>
    <w:rsid w:val="00C722C9"/>
    <w:rsid w:val="00C76880"/>
    <w:rsid w:val="00C76ACD"/>
    <w:rsid w:val="00C76D27"/>
    <w:rsid w:val="00C779E8"/>
    <w:rsid w:val="00C77CC6"/>
    <w:rsid w:val="00C77CCA"/>
    <w:rsid w:val="00C77FE0"/>
    <w:rsid w:val="00C8298E"/>
    <w:rsid w:val="00C83426"/>
    <w:rsid w:val="00C849D4"/>
    <w:rsid w:val="00C85625"/>
    <w:rsid w:val="00C86505"/>
    <w:rsid w:val="00C871AD"/>
    <w:rsid w:val="00C872D7"/>
    <w:rsid w:val="00C8779C"/>
    <w:rsid w:val="00C877A8"/>
    <w:rsid w:val="00C87A12"/>
    <w:rsid w:val="00C87FD2"/>
    <w:rsid w:val="00C9057E"/>
    <w:rsid w:val="00C924D3"/>
    <w:rsid w:val="00C92BB7"/>
    <w:rsid w:val="00C93483"/>
    <w:rsid w:val="00C9349F"/>
    <w:rsid w:val="00C937DA"/>
    <w:rsid w:val="00C95557"/>
    <w:rsid w:val="00C9568D"/>
    <w:rsid w:val="00C973B9"/>
    <w:rsid w:val="00C97BAE"/>
    <w:rsid w:val="00CA03F1"/>
    <w:rsid w:val="00CA0871"/>
    <w:rsid w:val="00CA0C43"/>
    <w:rsid w:val="00CA1F49"/>
    <w:rsid w:val="00CA251D"/>
    <w:rsid w:val="00CA2E95"/>
    <w:rsid w:val="00CA3CF3"/>
    <w:rsid w:val="00CA7076"/>
    <w:rsid w:val="00CB157C"/>
    <w:rsid w:val="00CB1A7C"/>
    <w:rsid w:val="00CB1B5C"/>
    <w:rsid w:val="00CB21D3"/>
    <w:rsid w:val="00CB267D"/>
    <w:rsid w:val="00CB3B03"/>
    <w:rsid w:val="00CB4A26"/>
    <w:rsid w:val="00CB56FA"/>
    <w:rsid w:val="00CB57D4"/>
    <w:rsid w:val="00CB589F"/>
    <w:rsid w:val="00CB64ED"/>
    <w:rsid w:val="00CB67E8"/>
    <w:rsid w:val="00CB6A8B"/>
    <w:rsid w:val="00CB7514"/>
    <w:rsid w:val="00CB7AE8"/>
    <w:rsid w:val="00CC17ED"/>
    <w:rsid w:val="00CC1E94"/>
    <w:rsid w:val="00CC1FE1"/>
    <w:rsid w:val="00CC314A"/>
    <w:rsid w:val="00CC36A0"/>
    <w:rsid w:val="00CC3947"/>
    <w:rsid w:val="00CC4034"/>
    <w:rsid w:val="00CC4CC4"/>
    <w:rsid w:val="00CC6252"/>
    <w:rsid w:val="00CC69EA"/>
    <w:rsid w:val="00CC7FD9"/>
    <w:rsid w:val="00CD0CA7"/>
    <w:rsid w:val="00CD18D3"/>
    <w:rsid w:val="00CD231D"/>
    <w:rsid w:val="00CD2508"/>
    <w:rsid w:val="00CD2DC4"/>
    <w:rsid w:val="00CD2F36"/>
    <w:rsid w:val="00CD33C5"/>
    <w:rsid w:val="00CD4519"/>
    <w:rsid w:val="00CD48A8"/>
    <w:rsid w:val="00CD57C5"/>
    <w:rsid w:val="00CD7222"/>
    <w:rsid w:val="00CD727B"/>
    <w:rsid w:val="00CD7C30"/>
    <w:rsid w:val="00CE0906"/>
    <w:rsid w:val="00CE0BBA"/>
    <w:rsid w:val="00CE0DD7"/>
    <w:rsid w:val="00CE0FE9"/>
    <w:rsid w:val="00CE1039"/>
    <w:rsid w:val="00CE16D4"/>
    <w:rsid w:val="00CE2DB8"/>
    <w:rsid w:val="00CE2F96"/>
    <w:rsid w:val="00CE3B11"/>
    <w:rsid w:val="00CE68E8"/>
    <w:rsid w:val="00CE6C7C"/>
    <w:rsid w:val="00CE6E29"/>
    <w:rsid w:val="00CF0DE7"/>
    <w:rsid w:val="00CF152F"/>
    <w:rsid w:val="00CF1C83"/>
    <w:rsid w:val="00CF2028"/>
    <w:rsid w:val="00CF229F"/>
    <w:rsid w:val="00CF2F63"/>
    <w:rsid w:val="00CF326D"/>
    <w:rsid w:val="00CF4ECE"/>
    <w:rsid w:val="00CF60D4"/>
    <w:rsid w:val="00CF6814"/>
    <w:rsid w:val="00D006A7"/>
    <w:rsid w:val="00D016A0"/>
    <w:rsid w:val="00D017B1"/>
    <w:rsid w:val="00D02E69"/>
    <w:rsid w:val="00D04C38"/>
    <w:rsid w:val="00D04DDD"/>
    <w:rsid w:val="00D05D11"/>
    <w:rsid w:val="00D05D4D"/>
    <w:rsid w:val="00D05E8E"/>
    <w:rsid w:val="00D06EA8"/>
    <w:rsid w:val="00D071DE"/>
    <w:rsid w:val="00D073A8"/>
    <w:rsid w:val="00D07478"/>
    <w:rsid w:val="00D102ED"/>
    <w:rsid w:val="00D10C9D"/>
    <w:rsid w:val="00D11CA1"/>
    <w:rsid w:val="00D129D4"/>
    <w:rsid w:val="00D13ECB"/>
    <w:rsid w:val="00D15037"/>
    <w:rsid w:val="00D15A5E"/>
    <w:rsid w:val="00D1714F"/>
    <w:rsid w:val="00D1796B"/>
    <w:rsid w:val="00D17FA5"/>
    <w:rsid w:val="00D2051B"/>
    <w:rsid w:val="00D20722"/>
    <w:rsid w:val="00D2097C"/>
    <w:rsid w:val="00D20C0D"/>
    <w:rsid w:val="00D21EC9"/>
    <w:rsid w:val="00D223F1"/>
    <w:rsid w:val="00D2260B"/>
    <w:rsid w:val="00D2308B"/>
    <w:rsid w:val="00D23205"/>
    <w:rsid w:val="00D23276"/>
    <w:rsid w:val="00D23726"/>
    <w:rsid w:val="00D2465B"/>
    <w:rsid w:val="00D2484D"/>
    <w:rsid w:val="00D255E9"/>
    <w:rsid w:val="00D25781"/>
    <w:rsid w:val="00D25C2E"/>
    <w:rsid w:val="00D25CD5"/>
    <w:rsid w:val="00D25E93"/>
    <w:rsid w:val="00D275C9"/>
    <w:rsid w:val="00D276FA"/>
    <w:rsid w:val="00D30640"/>
    <w:rsid w:val="00D30B44"/>
    <w:rsid w:val="00D3274C"/>
    <w:rsid w:val="00D334BE"/>
    <w:rsid w:val="00D343F5"/>
    <w:rsid w:val="00D34C5B"/>
    <w:rsid w:val="00D3789F"/>
    <w:rsid w:val="00D4044C"/>
    <w:rsid w:val="00D40C07"/>
    <w:rsid w:val="00D411F4"/>
    <w:rsid w:val="00D41285"/>
    <w:rsid w:val="00D41301"/>
    <w:rsid w:val="00D41C9D"/>
    <w:rsid w:val="00D42286"/>
    <w:rsid w:val="00D422F4"/>
    <w:rsid w:val="00D42FA8"/>
    <w:rsid w:val="00D437A3"/>
    <w:rsid w:val="00D44ABA"/>
    <w:rsid w:val="00D45E9E"/>
    <w:rsid w:val="00D46333"/>
    <w:rsid w:val="00D46443"/>
    <w:rsid w:val="00D46750"/>
    <w:rsid w:val="00D472FA"/>
    <w:rsid w:val="00D50074"/>
    <w:rsid w:val="00D50357"/>
    <w:rsid w:val="00D50B9E"/>
    <w:rsid w:val="00D510B4"/>
    <w:rsid w:val="00D540B8"/>
    <w:rsid w:val="00D54E41"/>
    <w:rsid w:val="00D5593D"/>
    <w:rsid w:val="00D55AEB"/>
    <w:rsid w:val="00D55E21"/>
    <w:rsid w:val="00D56AA1"/>
    <w:rsid w:val="00D6045A"/>
    <w:rsid w:val="00D61FBC"/>
    <w:rsid w:val="00D622B0"/>
    <w:rsid w:val="00D625E4"/>
    <w:rsid w:val="00D62EE7"/>
    <w:rsid w:val="00D63D90"/>
    <w:rsid w:val="00D64854"/>
    <w:rsid w:val="00D65BCA"/>
    <w:rsid w:val="00D664A8"/>
    <w:rsid w:val="00D665AA"/>
    <w:rsid w:val="00D66B2B"/>
    <w:rsid w:val="00D671C1"/>
    <w:rsid w:val="00D67616"/>
    <w:rsid w:val="00D67BCD"/>
    <w:rsid w:val="00D71437"/>
    <w:rsid w:val="00D714C5"/>
    <w:rsid w:val="00D734DA"/>
    <w:rsid w:val="00D73EE7"/>
    <w:rsid w:val="00D74109"/>
    <w:rsid w:val="00D76DD5"/>
    <w:rsid w:val="00D810E0"/>
    <w:rsid w:val="00D81939"/>
    <w:rsid w:val="00D82FF5"/>
    <w:rsid w:val="00D839EB"/>
    <w:rsid w:val="00D8412A"/>
    <w:rsid w:val="00D84E2D"/>
    <w:rsid w:val="00D85303"/>
    <w:rsid w:val="00D8585F"/>
    <w:rsid w:val="00D863DE"/>
    <w:rsid w:val="00D86531"/>
    <w:rsid w:val="00D86645"/>
    <w:rsid w:val="00D86F64"/>
    <w:rsid w:val="00D876EE"/>
    <w:rsid w:val="00D90482"/>
    <w:rsid w:val="00D921BC"/>
    <w:rsid w:val="00D926B4"/>
    <w:rsid w:val="00D93C4A"/>
    <w:rsid w:val="00D957D0"/>
    <w:rsid w:val="00D959B2"/>
    <w:rsid w:val="00D96A32"/>
    <w:rsid w:val="00D97E04"/>
    <w:rsid w:val="00DA0D98"/>
    <w:rsid w:val="00DA37A3"/>
    <w:rsid w:val="00DA42DF"/>
    <w:rsid w:val="00DA5C3A"/>
    <w:rsid w:val="00DA6B55"/>
    <w:rsid w:val="00DA7922"/>
    <w:rsid w:val="00DB012F"/>
    <w:rsid w:val="00DB019B"/>
    <w:rsid w:val="00DB051C"/>
    <w:rsid w:val="00DB076D"/>
    <w:rsid w:val="00DB2666"/>
    <w:rsid w:val="00DB3049"/>
    <w:rsid w:val="00DB30A7"/>
    <w:rsid w:val="00DB41BF"/>
    <w:rsid w:val="00DB65C8"/>
    <w:rsid w:val="00DB72C5"/>
    <w:rsid w:val="00DB78D0"/>
    <w:rsid w:val="00DB7D85"/>
    <w:rsid w:val="00DB7F00"/>
    <w:rsid w:val="00DC003E"/>
    <w:rsid w:val="00DC2ECB"/>
    <w:rsid w:val="00DC46A2"/>
    <w:rsid w:val="00DC6A4F"/>
    <w:rsid w:val="00DC7078"/>
    <w:rsid w:val="00DC7138"/>
    <w:rsid w:val="00DC7588"/>
    <w:rsid w:val="00DC7F82"/>
    <w:rsid w:val="00DD2141"/>
    <w:rsid w:val="00DD2405"/>
    <w:rsid w:val="00DD2BD1"/>
    <w:rsid w:val="00DD3801"/>
    <w:rsid w:val="00DD41B5"/>
    <w:rsid w:val="00DD5526"/>
    <w:rsid w:val="00DD71A0"/>
    <w:rsid w:val="00DD73C5"/>
    <w:rsid w:val="00DE043D"/>
    <w:rsid w:val="00DE1466"/>
    <w:rsid w:val="00DE1F83"/>
    <w:rsid w:val="00DE2DB6"/>
    <w:rsid w:val="00DE437F"/>
    <w:rsid w:val="00DE4E4B"/>
    <w:rsid w:val="00DE55DD"/>
    <w:rsid w:val="00DE7A0E"/>
    <w:rsid w:val="00DF13E8"/>
    <w:rsid w:val="00DF151F"/>
    <w:rsid w:val="00DF21D2"/>
    <w:rsid w:val="00DF3096"/>
    <w:rsid w:val="00DF39D3"/>
    <w:rsid w:val="00DF3A64"/>
    <w:rsid w:val="00DF3D76"/>
    <w:rsid w:val="00DF5171"/>
    <w:rsid w:val="00DF647D"/>
    <w:rsid w:val="00DF656B"/>
    <w:rsid w:val="00DF6BC1"/>
    <w:rsid w:val="00DF6F51"/>
    <w:rsid w:val="00DF6FD9"/>
    <w:rsid w:val="00DF6FF8"/>
    <w:rsid w:val="00DF7354"/>
    <w:rsid w:val="00DF7398"/>
    <w:rsid w:val="00E003A4"/>
    <w:rsid w:val="00E00918"/>
    <w:rsid w:val="00E028EE"/>
    <w:rsid w:val="00E04563"/>
    <w:rsid w:val="00E051CB"/>
    <w:rsid w:val="00E05296"/>
    <w:rsid w:val="00E06E23"/>
    <w:rsid w:val="00E070C3"/>
    <w:rsid w:val="00E10E54"/>
    <w:rsid w:val="00E115F7"/>
    <w:rsid w:val="00E12450"/>
    <w:rsid w:val="00E127E3"/>
    <w:rsid w:val="00E12D57"/>
    <w:rsid w:val="00E13B36"/>
    <w:rsid w:val="00E13F57"/>
    <w:rsid w:val="00E145D1"/>
    <w:rsid w:val="00E15385"/>
    <w:rsid w:val="00E160BB"/>
    <w:rsid w:val="00E16B69"/>
    <w:rsid w:val="00E16B83"/>
    <w:rsid w:val="00E1768A"/>
    <w:rsid w:val="00E2174E"/>
    <w:rsid w:val="00E2267A"/>
    <w:rsid w:val="00E2284C"/>
    <w:rsid w:val="00E23736"/>
    <w:rsid w:val="00E23879"/>
    <w:rsid w:val="00E24A6E"/>
    <w:rsid w:val="00E2588F"/>
    <w:rsid w:val="00E265D6"/>
    <w:rsid w:val="00E31F24"/>
    <w:rsid w:val="00E33320"/>
    <w:rsid w:val="00E33730"/>
    <w:rsid w:val="00E3457D"/>
    <w:rsid w:val="00E3458B"/>
    <w:rsid w:val="00E34617"/>
    <w:rsid w:val="00E347D8"/>
    <w:rsid w:val="00E350CE"/>
    <w:rsid w:val="00E3567D"/>
    <w:rsid w:val="00E36854"/>
    <w:rsid w:val="00E373A1"/>
    <w:rsid w:val="00E40B2F"/>
    <w:rsid w:val="00E40CE1"/>
    <w:rsid w:val="00E415A1"/>
    <w:rsid w:val="00E42580"/>
    <w:rsid w:val="00E42E09"/>
    <w:rsid w:val="00E4551C"/>
    <w:rsid w:val="00E46DED"/>
    <w:rsid w:val="00E47D92"/>
    <w:rsid w:val="00E50558"/>
    <w:rsid w:val="00E55081"/>
    <w:rsid w:val="00E55F7C"/>
    <w:rsid w:val="00E56877"/>
    <w:rsid w:val="00E57CFA"/>
    <w:rsid w:val="00E57DD3"/>
    <w:rsid w:val="00E61104"/>
    <w:rsid w:val="00E61E2F"/>
    <w:rsid w:val="00E62D84"/>
    <w:rsid w:val="00E62E34"/>
    <w:rsid w:val="00E64C9F"/>
    <w:rsid w:val="00E64F14"/>
    <w:rsid w:val="00E659D5"/>
    <w:rsid w:val="00E65B5A"/>
    <w:rsid w:val="00E71671"/>
    <w:rsid w:val="00E71FE1"/>
    <w:rsid w:val="00E726D0"/>
    <w:rsid w:val="00E72A0A"/>
    <w:rsid w:val="00E72E59"/>
    <w:rsid w:val="00E734C2"/>
    <w:rsid w:val="00E73705"/>
    <w:rsid w:val="00E74303"/>
    <w:rsid w:val="00E75522"/>
    <w:rsid w:val="00E75C1B"/>
    <w:rsid w:val="00E75F80"/>
    <w:rsid w:val="00E763C4"/>
    <w:rsid w:val="00E7688C"/>
    <w:rsid w:val="00E7713F"/>
    <w:rsid w:val="00E81BF8"/>
    <w:rsid w:val="00E82ADF"/>
    <w:rsid w:val="00E83584"/>
    <w:rsid w:val="00E839EC"/>
    <w:rsid w:val="00E83C88"/>
    <w:rsid w:val="00E84B71"/>
    <w:rsid w:val="00E853B3"/>
    <w:rsid w:val="00E85C24"/>
    <w:rsid w:val="00E8798F"/>
    <w:rsid w:val="00E87A6E"/>
    <w:rsid w:val="00E9000D"/>
    <w:rsid w:val="00E907B0"/>
    <w:rsid w:val="00E90850"/>
    <w:rsid w:val="00E90D18"/>
    <w:rsid w:val="00E933E1"/>
    <w:rsid w:val="00E9374C"/>
    <w:rsid w:val="00E938CD"/>
    <w:rsid w:val="00E94B2D"/>
    <w:rsid w:val="00E95882"/>
    <w:rsid w:val="00E95ECE"/>
    <w:rsid w:val="00E97B96"/>
    <w:rsid w:val="00EA004F"/>
    <w:rsid w:val="00EA2193"/>
    <w:rsid w:val="00EA26B1"/>
    <w:rsid w:val="00EA28BB"/>
    <w:rsid w:val="00EA3FB1"/>
    <w:rsid w:val="00EA4470"/>
    <w:rsid w:val="00EA5833"/>
    <w:rsid w:val="00EA5D97"/>
    <w:rsid w:val="00EA5EC5"/>
    <w:rsid w:val="00EA6E45"/>
    <w:rsid w:val="00EB11B4"/>
    <w:rsid w:val="00EB121F"/>
    <w:rsid w:val="00EB192D"/>
    <w:rsid w:val="00EB1F39"/>
    <w:rsid w:val="00EB2075"/>
    <w:rsid w:val="00EB35A3"/>
    <w:rsid w:val="00EB35D1"/>
    <w:rsid w:val="00EB4068"/>
    <w:rsid w:val="00EB513A"/>
    <w:rsid w:val="00EB551C"/>
    <w:rsid w:val="00EB5E32"/>
    <w:rsid w:val="00EB5FE7"/>
    <w:rsid w:val="00EB6CD4"/>
    <w:rsid w:val="00EB7E1D"/>
    <w:rsid w:val="00EC1529"/>
    <w:rsid w:val="00EC2C7B"/>
    <w:rsid w:val="00EC334B"/>
    <w:rsid w:val="00EC5156"/>
    <w:rsid w:val="00EC6B21"/>
    <w:rsid w:val="00ED0F32"/>
    <w:rsid w:val="00ED3688"/>
    <w:rsid w:val="00ED5AFE"/>
    <w:rsid w:val="00ED684D"/>
    <w:rsid w:val="00ED6AC7"/>
    <w:rsid w:val="00ED73E9"/>
    <w:rsid w:val="00EE1237"/>
    <w:rsid w:val="00EE12E2"/>
    <w:rsid w:val="00EE1531"/>
    <w:rsid w:val="00EE2411"/>
    <w:rsid w:val="00EE2F11"/>
    <w:rsid w:val="00EE4D24"/>
    <w:rsid w:val="00EE4D93"/>
    <w:rsid w:val="00EE5BD4"/>
    <w:rsid w:val="00EE66A4"/>
    <w:rsid w:val="00EE736D"/>
    <w:rsid w:val="00EF0E8C"/>
    <w:rsid w:val="00EF2DA3"/>
    <w:rsid w:val="00EF36F6"/>
    <w:rsid w:val="00EF3EBF"/>
    <w:rsid w:val="00EF5306"/>
    <w:rsid w:val="00EF534C"/>
    <w:rsid w:val="00EF6612"/>
    <w:rsid w:val="00EF6EAF"/>
    <w:rsid w:val="00F028EA"/>
    <w:rsid w:val="00F0421F"/>
    <w:rsid w:val="00F045FE"/>
    <w:rsid w:val="00F04A93"/>
    <w:rsid w:val="00F054D0"/>
    <w:rsid w:val="00F054D1"/>
    <w:rsid w:val="00F10251"/>
    <w:rsid w:val="00F11D76"/>
    <w:rsid w:val="00F125D6"/>
    <w:rsid w:val="00F134C7"/>
    <w:rsid w:val="00F13EFC"/>
    <w:rsid w:val="00F14901"/>
    <w:rsid w:val="00F15290"/>
    <w:rsid w:val="00F15D31"/>
    <w:rsid w:val="00F16554"/>
    <w:rsid w:val="00F173C6"/>
    <w:rsid w:val="00F179C5"/>
    <w:rsid w:val="00F20824"/>
    <w:rsid w:val="00F212D2"/>
    <w:rsid w:val="00F21913"/>
    <w:rsid w:val="00F222DC"/>
    <w:rsid w:val="00F22FC6"/>
    <w:rsid w:val="00F2354E"/>
    <w:rsid w:val="00F24C47"/>
    <w:rsid w:val="00F24E72"/>
    <w:rsid w:val="00F26801"/>
    <w:rsid w:val="00F27651"/>
    <w:rsid w:val="00F30163"/>
    <w:rsid w:val="00F315D6"/>
    <w:rsid w:val="00F31C6A"/>
    <w:rsid w:val="00F355F2"/>
    <w:rsid w:val="00F3561D"/>
    <w:rsid w:val="00F357DD"/>
    <w:rsid w:val="00F35A1F"/>
    <w:rsid w:val="00F35DEA"/>
    <w:rsid w:val="00F402F2"/>
    <w:rsid w:val="00F40484"/>
    <w:rsid w:val="00F405A6"/>
    <w:rsid w:val="00F40E36"/>
    <w:rsid w:val="00F41B96"/>
    <w:rsid w:val="00F41CE2"/>
    <w:rsid w:val="00F43EB1"/>
    <w:rsid w:val="00F44233"/>
    <w:rsid w:val="00F457BC"/>
    <w:rsid w:val="00F45AD4"/>
    <w:rsid w:val="00F505C0"/>
    <w:rsid w:val="00F51423"/>
    <w:rsid w:val="00F52C0B"/>
    <w:rsid w:val="00F53043"/>
    <w:rsid w:val="00F53058"/>
    <w:rsid w:val="00F53EC6"/>
    <w:rsid w:val="00F55B39"/>
    <w:rsid w:val="00F55C3B"/>
    <w:rsid w:val="00F55EBB"/>
    <w:rsid w:val="00F57935"/>
    <w:rsid w:val="00F614C9"/>
    <w:rsid w:val="00F61E1D"/>
    <w:rsid w:val="00F61E8C"/>
    <w:rsid w:val="00F63203"/>
    <w:rsid w:val="00F635D0"/>
    <w:rsid w:val="00F643DB"/>
    <w:rsid w:val="00F64815"/>
    <w:rsid w:val="00F66D37"/>
    <w:rsid w:val="00F712CE"/>
    <w:rsid w:val="00F7369E"/>
    <w:rsid w:val="00F73A64"/>
    <w:rsid w:val="00F73F2C"/>
    <w:rsid w:val="00F7693E"/>
    <w:rsid w:val="00F76D59"/>
    <w:rsid w:val="00F77682"/>
    <w:rsid w:val="00F77A80"/>
    <w:rsid w:val="00F80453"/>
    <w:rsid w:val="00F81EE8"/>
    <w:rsid w:val="00F82EBC"/>
    <w:rsid w:val="00F834D3"/>
    <w:rsid w:val="00F84A67"/>
    <w:rsid w:val="00F8556B"/>
    <w:rsid w:val="00F857D8"/>
    <w:rsid w:val="00F86126"/>
    <w:rsid w:val="00F864A2"/>
    <w:rsid w:val="00F86CAE"/>
    <w:rsid w:val="00F86D43"/>
    <w:rsid w:val="00F902F1"/>
    <w:rsid w:val="00F91C0D"/>
    <w:rsid w:val="00F926ED"/>
    <w:rsid w:val="00F93760"/>
    <w:rsid w:val="00F93AFF"/>
    <w:rsid w:val="00F94016"/>
    <w:rsid w:val="00F94079"/>
    <w:rsid w:val="00F94AEF"/>
    <w:rsid w:val="00F94B91"/>
    <w:rsid w:val="00F96725"/>
    <w:rsid w:val="00F9703F"/>
    <w:rsid w:val="00FA09C2"/>
    <w:rsid w:val="00FA0B86"/>
    <w:rsid w:val="00FA2631"/>
    <w:rsid w:val="00FA3822"/>
    <w:rsid w:val="00FA589F"/>
    <w:rsid w:val="00FA651A"/>
    <w:rsid w:val="00FA6930"/>
    <w:rsid w:val="00FA6AA9"/>
    <w:rsid w:val="00FA7532"/>
    <w:rsid w:val="00FA7C84"/>
    <w:rsid w:val="00FB1C37"/>
    <w:rsid w:val="00FB21A3"/>
    <w:rsid w:val="00FB22E5"/>
    <w:rsid w:val="00FB23A3"/>
    <w:rsid w:val="00FB3544"/>
    <w:rsid w:val="00FB3C24"/>
    <w:rsid w:val="00FB4247"/>
    <w:rsid w:val="00FB5568"/>
    <w:rsid w:val="00FB59DE"/>
    <w:rsid w:val="00FB5AD8"/>
    <w:rsid w:val="00FB6039"/>
    <w:rsid w:val="00FB6288"/>
    <w:rsid w:val="00FB6EB8"/>
    <w:rsid w:val="00FB77A4"/>
    <w:rsid w:val="00FC05F2"/>
    <w:rsid w:val="00FC1435"/>
    <w:rsid w:val="00FC1F8B"/>
    <w:rsid w:val="00FC2C13"/>
    <w:rsid w:val="00FC2D73"/>
    <w:rsid w:val="00FC31A3"/>
    <w:rsid w:val="00FC45EC"/>
    <w:rsid w:val="00FC4E9E"/>
    <w:rsid w:val="00FC53A5"/>
    <w:rsid w:val="00FC53F6"/>
    <w:rsid w:val="00FC6246"/>
    <w:rsid w:val="00FC6E29"/>
    <w:rsid w:val="00FD115B"/>
    <w:rsid w:val="00FD152A"/>
    <w:rsid w:val="00FD1585"/>
    <w:rsid w:val="00FD166F"/>
    <w:rsid w:val="00FD1754"/>
    <w:rsid w:val="00FD1804"/>
    <w:rsid w:val="00FD2487"/>
    <w:rsid w:val="00FD2560"/>
    <w:rsid w:val="00FD2774"/>
    <w:rsid w:val="00FD413E"/>
    <w:rsid w:val="00FD41FB"/>
    <w:rsid w:val="00FD4603"/>
    <w:rsid w:val="00FD52BE"/>
    <w:rsid w:val="00FD5705"/>
    <w:rsid w:val="00FD61C7"/>
    <w:rsid w:val="00FD7AA5"/>
    <w:rsid w:val="00FE12D9"/>
    <w:rsid w:val="00FE1999"/>
    <w:rsid w:val="00FE3931"/>
    <w:rsid w:val="00FE4EAA"/>
    <w:rsid w:val="00FE5B3A"/>
    <w:rsid w:val="00FE5B7D"/>
    <w:rsid w:val="00FF04D0"/>
    <w:rsid w:val="00FF0F75"/>
    <w:rsid w:val="00FF1437"/>
    <w:rsid w:val="00FF1B32"/>
    <w:rsid w:val="00FF1C47"/>
    <w:rsid w:val="00FF27A7"/>
    <w:rsid w:val="00FF2D99"/>
    <w:rsid w:val="00FF4262"/>
    <w:rsid w:val="00FF44EA"/>
    <w:rsid w:val="00FF47E9"/>
    <w:rsid w:val="00FF484C"/>
    <w:rsid w:val="00FF5C89"/>
    <w:rsid w:val="00FF71DA"/>
    <w:rsid w:val="00FF7611"/>
    <w:rsid w:val="00FF7F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2C021"/>
  <w15:chartTrackingRefBased/>
  <w15:docId w15:val="{A68F77AF-0C0E-4D65-AC29-84F5B18F316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Cerne"/>
    <w:qFormat/>
    <w:rsid w:val="00EC6B21"/>
    <w:pPr>
      <w:spacing w:after="120" w:line="360" w:lineRule="auto"/>
      <w:ind w:firstLine="709"/>
      <w:jc w:val="both"/>
    </w:pPr>
    <w:rPr>
      <w:sz w:val="24"/>
    </w:rPr>
  </w:style>
  <w:style w:type="paragraph" w:styleId="Ttulo1">
    <w:name w:val="heading 1"/>
    <w:aliases w:val="Título 1 cerne,TITULO 1,TITULO 1 CERNE,Título 1 JAIME"/>
    <w:basedOn w:val="Normal"/>
    <w:next w:val="Normal"/>
    <w:link w:val="Ttulo1Char"/>
    <w:qFormat/>
    <w:rsid w:val="004D439B"/>
    <w:pPr>
      <w:keepNext/>
      <w:keepLines/>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58376E"/>
    <w:pPr>
      <w:keepNext/>
      <w:keepLines/>
      <w:spacing w:before="40" w:after="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7E2480"/>
    <w:pPr>
      <w:keepNext/>
      <w:keepLines/>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EB121F"/>
    <w:pPr>
      <w:keepNext/>
      <w:keepLines/>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qFormat/>
    <w:rsid w:val="006126F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unhideWhenUsed/>
    <w:qFormat/>
    <w:rsid w:val="00E33320"/>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unhideWhenUsed/>
    <w:qFormat/>
    <w:rsid w:val="005D46A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unhideWhenUsed/>
    <w:qFormat/>
    <w:rsid w:val="00922E8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qFormat/>
    <w:rsid w:val="00256A78"/>
    <w:pPr>
      <w:tabs>
        <w:tab w:val="center" w:pos="4252"/>
        <w:tab w:val="right" w:pos="8504"/>
      </w:tabs>
      <w:spacing w:after="0" w:line="240" w:lineRule="auto"/>
    </w:pPr>
  </w:style>
  <w:style w:type="character" w:customStyle="1" w:styleId="CabealhoChar">
    <w:name w:val="Cabeçalho Char"/>
    <w:basedOn w:val="Fontepargpadro"/>
    <w:link w:val="Cabealho"/>
    <w:uiPriority w:val="99"/>
    <w:qFormat/>
    <w:rsid w:val="00256A78"/>
    <w:rPr>
      <w:sz w:val="24"/>
    </w:rPr>
  </w:style>
  <w:style w:type="paragraph" w:styleId="Rodap">
    <w:name w:val="footer"/>
    <w:basedOn w:val="Normal"/>
    <w:link w:val="RodapChar"/>
    <w:uiPriority w:val="99"/>
    <w:unhideWhenUsed/>
    <w:qFormat/>
    <w:rsid w:val="00256A78"/>
    <w:pPr>
      <w:tabs>
        <w:tab w:val="center" w:pos="4252"/>
        <w:tab w:val="right" w:pos="8504"/>
      </w:tabs>
      <w:spacing w:after="0" w:line="240" w:lineRule="auto"/>
    </w:pPr>
  </w:style>
  <w:style w:type="character" w:customStyle="1" w:styleId="RodapChar">
    <w:name w:val="Rodapé Char"/>
    <w:basedOn w:val="Fontepargpadro"/>
    <w:link w:val="Rodap"/>
    <w:uiPriority w:val="99"/>
    <w:qFormat/>
    <w:rsid w:val="00256A78"/>
    <w:rPr>
      <w:sz w:val="24"/>
    </w:rPr>
  </w:style>
  <w:style w:type="character" w:customStyle="1" w:styleId="TextosemFormataoChar">
    <w:name w:val="Texto sem Formatação Char"/>
    <w:link w:val="TextosemFormatao"/>
    <w:uiPriority w:val="99"/>
    <w:qFormat/>
    <w:rsid w:val="002B756F"/>
    <w:rPr>
      <w:rFonts w:ascii="Consolas" w:eastAsia="Calibri" w:hAnsi="Consolas"/>
      <w:sz w:val="21"/>
      <w:szCs w:val="21"/>
    </w:rPr>
  </w:style>
  <w:style w:type="paragraph" w:styleId="TextosemFormatao">
    <w:name w:val="Plain Text"/>
    <w:basedOn w:val="Normal"/>
    <w:link w:val="TextosemFormataoChar"/>
    <w:uiPriority w:val="99"/>
    <w:unhideWhenUsed/>
    <w:qFormat/>
    <w:rsid w:val="002B756F"/>
    <w:pPr>
      <w:ind w:firstLine="0"/>
      <w:jc w:val="left"/>
    </w:pPr>
    <w:rPr>
      <w:rFonts w:ascii="Consolas" w:eastAsia="Calibri" w:hAnsi="Consolas"/>
      <w:sz w:val="21"/>
      <w:szCs w:val="21"/>
    </w:rPr>
  </w:style>
  <w:style w:type="character" w:customStyle="1" w:styleId="TextosemFormataoChar1">
    <w:name w:val="Texto sem Formatação Char1"/>
    <w:basedOn w:val="Fontepargpadro"/>
    <w:uiPriority w:val="99"/>
    <w:semiHidden/>
    <w:rsid w:val="002B756F"/>
    <w:rPr>
      <w:rFonts w:ascii="Consolas" w:hAnsi="Consolas"/>
      <w:sz w:val="21"/>
      <w:szCs w:val="21"/>
    </w:rPr>
  </w:style>
  <w:style w:type="character" w:styleId="Refdecomentrio">
    <w:name w:val="annotation reference"/>
    <w:uiPriority w:val="99"/>
    <w:semiHidden/>
    <w:unhideWhenUsed/>
    <w:qFormat/>
    <w:rPr>
      <w:sz w:val="16"/>
      <w:szCs w:val="16"/>
    </w:rPr>
  </w:style>
  <w:style w:type="paragraph" w:styleId="Textodecomentrio">
    <w:name w:val="annotation text"/>
    <w:basedOn w:val="Normal"/>
    <w:link w:val="TextodecomentrioChar1"/>
    <w:uiPriority w:val="99"/>
    <w:unhideWhenUsed/>
    <w:qFormat/>
    <w:pPr>
      <w:spacing w:line="240" w:lineRule="auto"/>
    </w:pPr>
    <w:rPr>
      <w:sz w:val="20"/>
      <w:szCs w:val="20"/>
    </w:rPr>
  </w:style>
  <w:style w:type="character" w:customStyle="1" w:styleId="TextodecomentrioChar">
    <w:name w:val="Texto de comentário Char"/>
    <w:basedOn w:val="Fontepargpadro"/>
    <w:uiPriority w:val="99"/>
    <w:qFormat/>
    <w:rsid w:val="004D439B"/>
    <w:rPr>
      <w:sz w:val="20"/>
      <w:szCs w:val="20"/>
    </w:rPr>
  </w:style>
  <w:style w:type="paragraph" w:styleId="Assuntodocomentrio">
    <w:name w:val="annotation subject"/>
    <w:basedOn w:val="Textodecomentrio"/>
    <w:next w:val="Textodecomentrio"/>
    <w:link w:val="AssuntodocomentrioChar1"/>
    <w:uiPriority w:val="99"/>
    <w:semiHidden/>
    <w:unhideWhenUsed/>
    <w:qFormat/>
    <w:rPr>
      <w:b/>
      <w:bCs/>
    </w:rPr>
  </w:style>
  <w:style w:type="character" w:customStyle="1" w:styleId="AssuntodocomentrioChar">
    <w:name w:val="Assunto do comentário Char"/>
    <w:basedOn w:val="TextodecomentrioChar"/>
    <w:uiPriority w:val="99"/>
    <w:semiHidden/>
    <w:rsid w:val="004D439B"/>
    <w:rPr>
      <w:b/>
      <w:bCs/>
      <w:sz w:val="20"/>
      <w:szCs w:val="20"/>
    </w:rPr>
  </w:style>
  <w:style w:type="paragraph" w:styleId="Textodebalo">
    <w:name w:val="Balloon Text"/>
    <w:basedOn w:val="Normal"/>
    <w:link w:val="TextodebaloChar"/>
    <w:uiPriority w:val="99"/>
    <w:semiHidden/>
    <w:unhideWhenUsed/>
    <w:qFormat/>
    <w:rsid w:val="004D439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D439B"/>
    <w:rPr>
      <w:rFonts w:ascii="Segoe UI" w:hAnsi="Segoe UI" w:cs="Segoe UI"/>
      <w:sz w:val="18"/>
      <w:szCs w:val="18"/>
    </w:rPr>
  </w:style>
  <w:style w:type="character" w:customStyle="1" w:styleId="Ttulo1Char">
    <w:name w:val="Título 1 Char"/>
    <w:aliases w:val="Título 1 cerne Char,TITULO 1 Char,TITULO 1 CERNE Char,Título 1 JAIME Char"/>
    <w:basedOn w:val="Fontepargpadro"/>
    <w:link w:val="Ttulo1"/>
    <w:qFormat/>
    <w:rsid w:val="004D439B"/>
    <w:rPr>
      <w:rFonts w:eastAsiaTheme="majorEastAsia" w:cstheme="majorBidi"/>
      <w:b/>
      <w:sz w:val="24"/>
      <w:szCs w:val="32"/>
    </w:rPr>
  </w:style>
  <w:style w:type="paragraph" w:styleId="CabealhodoSumrio">
    <w:name w:val="TOC Heading"/>
    <w:basedOn w:val="Ttulo1"/>
    <w:next w:val="Normal"/>
    <w:uiPriority w:val="39"/>
    <w:unhideWhenUsed/>
    <w:qFormat/>
    <w:rsid w:val="003E223F"/>
    <w:pPr>
      <w:spacing w:before="240" w:after="0" w:line="259" w:lineRule="auto"/>
      <w:jc w:val="left"/>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qFormat/>
    <w:rsid w:val="0099379C"/>
    <w:pPr>
      <w:tabs>
        <w:tab w:val="right" w:leader="dot" w:pos="8494"/>
      </w:tabs>
      <w:spacing w:before="360" w:after="0"/>
      <w:ind w:firstLine="0"/>
      <w:jc w:val="left"/>
    </w:pPr>
    <w:rPr>
      <w:rFonts w:asciiTheme="majorHAnsi" w:hAnsiTheme="majorHAnsi" w:cstheme="majorHAnsi"/>
      <w:b/>
      <w:bCs/>
      <w:caps/>
      <w:szCs w:val="24"/>
    </w:rPr>
  </w:style>
  <w:style w:type="character" w:styleId="Hyperlink">
    <w:name w:val="Hyperlink"/>
    <w:basedOn w:val="Fontepargpadro"/>
    <w:uiPriority w:val="99"/>
    <w:unhideWhenUsed/>
    <w:rsid w:val="003E223F"/>
    <w:rPr>
      <w:color w:val="0563C1" w:themeColor="hyperlink"/>
      <w:u w:val="single"/>
    </w:rPr>
  </w:style>
  <w:style w:type="character" w:customStyle="1" w:styleId="LinkdaInternet">
    <w:name w:val="Link da Internet"/>
    <w:uiPriority w:val="99"/>
    <w:rsid w:val="00A86331"/>
    <w:rPr>
      <w:strike w:val="0"/>
      <w:dstrike w:val="0"/>
      <w:color w:val="003399"/>
      <w:u w:val="none"/>
      <w:effect w:val="none"/>
    </w:rPr>
  </w:style>
  <w:style w:type="character" w:customStyle="1" w:styleId="Ttulo2Char">
    <w:name w:val="Título 2 Char"/>
    <w:basedOn w:val="Fontepargpadro"/>
    <w:link w:val="Ttulo2"/>
    <w:uiPriority w:val="9"/>
    <w:rsid w:val="0058376E"/>
    <w:rPr>
      <w:rFonts w:eastAsiaTheme="majorEastAsia" w:cstheme="majorBidi"/>
      <w:b/>
      <w:sz w:val="24"/>
      <w:szCs w:val="26"/>
    </w:rPr>
  </w:style>
  <w:style w:type="paragraph" w:styleId="Legenda">
    <w:name w:val="caption"/>
    <w:aliases w:val="anexo1,QUADROS,Tabelas,Legenda tabelas,Legenda Char Char,Legenda Char Char Char Char Char Char Char,Legenda Char Char Char,Legenda Char Char Char Char,tabela_leg,Legenda Char Char Char Char Char Char,Legenda figura polar Char Char,Quadro,Figura"/>
    <w:basedOn w:val="Normal"/>
    <w:next w:val="Normal"/>
    <w:link w:val="LegendaChar"/>
    <w:unhideWhenUsed/>
    <w:qFormat/>
    <w:rsid w:val="005D5CC0"/>
    <w:pPr>
      <w:ind w:firstLine="0"/>
      <w:jc w:val="left"/>
    </w:pPr>
    <w:rPr>
      <w:rFonts w:ascii="Calibri" w:eastAsia="Times New Roman" w:hAnsi="Calibri" w:cs="Times New Roman"/>
      <w:b/>
      <w:bCs/>
      <w:szCs w:val="20"/>
      <w:lang w:val="en-US" w:eastAsia="pt-BR"/>
    </w:rPr>
  </w:style>
  <w:style w:type="character" w:customStyle="1" w:styleId="Ttulo3Char">
    <w:name w:val="Título 3 Char"/>
    <w:basedOn w:val="Fontepargpadro"/>
    <w:link w:val="Ttulo3"/>
    <w:uiPriority w:val="9"/>
    <w:rsid w:val="007E2480"/>
    <w:rPr>
      <w:rFonts w:eastAsiaTheme="majorEastAsia" w:cstheme="majorBidi"/>
      <w:b/>
      <w:sz w:val="24"/>
      <w:szCs w:val="24"/>
    </w:rPr>
  </w:style>
  <w:style w:type="character" w:customStyle="1" w:styleId="Ttulo4Char">
    <w:name w:val="Título 4 Char"/>
    <w:basedOn w:val="Fontepargpadro"/>
    <w:link w:val="Ttulo4"/>
    <w:uiPriority w:val="9"/>
    <w:rsid w:val="00EB121F"/>
    <w:rPr>
      <w:rFonts w:eastAsiaTheme="majorEastAsia" w:cstheme="majorBidi"/>
      <w:b/>
      <w:iCs/>
      <w:sz w:val="24"/>
    </w:rPr>
  </w:style>
  <w:style w:type="character" w:styleId="Forte">
    <w:name w:val="Strong"/>
    <w:basedOn w:val="Fontepargpadro"/>
    <w:uiPriority w:val="22"/>
    <w:qFormat/>
    <w:rsid w:val="00CF1C83"/>
    <w:rPr>
      <w:b/>
      <w:bCs/>
    </w:rPr>
  </w:style>
  <w:style w:type="paragraph" w:styleId="ndicedeilustraes">
    <w:name w:val="table of figures"/>
    <w:basedOn w:val="Normal"/>
    <w:next w:val="Normal"/>
    <w:uiPriority w:val="99"/>
    <w:unhideWhenUsed/>
    <w:qFormat/>
    <w:rsid w:val="00A92ADF"/>
    <w:pPr>
      <w:spacing w:after="0"/>
      <w:ind w:firstLine="0"/>
      <w:jc w:val="left"/>
    </w:pPr>
    <w:rPr>
      <w:b w:val="0"/>
    </w:rPr>
  </w:style>
  <w:style w:type="table" w:customStyle="1" w:styleId="Tabelacomgrade5">
    <w:name w:val="Tabela com grade5"/>
    <w:basedOn w:val="Tabelanormal"/>
    <w:next w:val="Tabelacomgrade"/>
    <w:uiPriority w:val="59"/>
    <w:rsid w:val="00AF4037"/>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59"/>
    <w:rsid w:val="00AF4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2E25E9"/>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Sumrio2">
    <w:name w:val="toc 2"/>
    <w:basedOn w:val="Normal"/>
    <w:next w:val="Normal"/>
    <w:autoRedefine/>
    <w:uiPriority w:val="39"/>
    <w:unhideWhenUsed/>
    <w:qFormat/>
    <w:rsid w:val="00DC2ECB"/>
    <w:pPr>
      <w:spacing w:before="240" w:after="0"/>
      <w:jc w:val="left"/>
    </w:pPr>
    <w:rPr>
      <w:rFonts w:cstheme="minorHAnsi"/>
      <w:b/>
      <w:bCs/>
      <w:sz w:val="20"/>
      <w:szCs w:val="20"/>
    </w:rPr>
  </w:style>
  <w:style w:type="paragraph" w:styleId="Sumrio3">
    <w:name w:val="toc 3"/>
    <w:basedOn w:val="Normal"/>
    <w:next w:val="Normal"/>
    <w:autoRedefine/>
    <w:uiPriority w:val="39"/>
    <w:unhideWhenUsed/>
    <w:qFormat/>
    <w:rsid w:val="00A933BB"/>
    <w:pPr>
      <w:spacing w:after="0"/>
      <w:ind w:left="240"/>
      <w:jc w:val="left"/>
    </w:pPr>
    <w:rPr>
      <w:rFonts w:cstheme="minorHAnsi"/>
      <w:sz w:val="20"/>
      <w:szCs w:val="20"/>
    </w:rPr>
  </w:style>
  <w:style w:type="character" w:styleId="Refdenotaderodap">
    <w:name w:val="footnote reference"/>
    <w:basedOn w:val="Fontepargpadro"/>
    <w:uiPriority w:val="99"/>
    <w:semiHidden/>
    <w:unhideWhenUsed/>
    <w:rsid w:val="003F32F2"/>
    <w:rPr>
      <w:vertAlign w:val="superscript"/>
    </w:rPr>
  </w:style>
  <w:style w:type="paragraph" w:styleId="Textodenotaderodap">
    <w:name w:val="footnote text"/>
    <w:basedOn w:val="Normal"/>
    <w:link w:val="TextodenotaderodapChar"/>
    <w:uiPriority w:val="99"/>
    <w:unhideWhenUsed/>
    <w:qFormat/>
    <w:rsid w:val="003F32F2"/>
    <w:pPr>
      <w:spacing w:after="0" w:line="240" w:lineRule="auto"/>
      <w:ind w:firstLine="0"/>
      <w:jc w:val="left"/>
    </w:pPr>
    <w:rPr>
      <w:sz w:val="20"/>
      <w:szCs w:val="20"/>
    </w:rPr>
  </w:style>
  <w:style w:type="character" w:customStyle="1" w:styleId="TextodenotaderodapChar">
    <w:name w:val="Texto de nota de rodapé Char"/>
    <w:basedOn w:val="Fontepargpadro"/>
    <w:link w:val="Textodenotaderodap"/>
    <w:uiPriority w:val="99"/>
    <w:rsid w:val="003F32F2"/>
    <w:rPr>
      <w:sz w:val="20"/>
      <w:szCs w:val="20"/>
    </w:rPr>
  </w:style>
  <w:style w:type="character" w:styleId="HiperlinkVisitado">
    <w:name w:val="FollowedHyperlink"/>
    <w:basedOn w:val="Fontepargpadro"/>
    <w:uiPriority w:val="99"/>
    <w:semiHidden/>
    <w:unhideWhenUsed/>
    <w:rsid w:val="003F32F2"/>
    <w:rPr>
      <w:color w:val="954F72" w:themeColor="followedHyperlink"/>
      <w:u w:val="single"/>
    </w:rPr>
  </w:style>
  <w:style w:type="character" w:styleId="MenoPendente">
    <w:name w:val="Unresolved Mention"/>
    <w:basedOn w:val="Fontepargpadro"/>
    <w:uiPriority w:val="99"/>
    <w:semiHidden/>
    <w:unhideWhenUsed/>
    <w:rsid w:val="009A09C4"/>
    <w:rPr>
      <w:color w:val="605E5C"/>
      <w:shd w:val="clear" w:color="auto" w:fill="E1DFDD"/>
    </w:rPr>
  </w:style>
  <w:style w:type="character" w:customStyle="1" w:styleId="Ttulo5Char">
    <w:name w:val="Título 5 Char"/>
    <w:basedOn w:val="Fontepargpadro"/>
    <w:link w:val="Ttulo5"/>
    <w:uiPriority w:val="9"/>
    <w:rsid w:val="006126F4"/>
    <w:rPr>
      <w:rFonts w:asciiTheme="majorHAnsi" w:eastAsiaTheme="majorEastAsia" w:hAnsiTheme="majorHAnsi" w:cstheme="majorBidi"/>
      <w:color w:val="2F5496" w:themeColor="accent1" w:themeShade="BF"/>
      <w:sz w:val="24"/>
    </w:rPr>
  </w:style>
  <w:style w:type="character" w:customStyle="1" w:styleId="fontstyle01">
    <w:name w:val="fontstyle01"/>
    <w:basedOn w:val="Fontepargpadro"/>
    <w:rsid w:val="003E44BC"/>
    <w:rPr>
      <w:rFonts w:ascii="Humanst531 BT" w:hAnsi="Humanst531 BT" w:hint="default"/>
      <w:b w:val="0"/>
      <w:bCs w:val="0"/>
      <w:i w:val="0"/>
      <w:iCs w:val="0"/>
      <w:color w:val="000000"/>
      <w:sz w:val="24"/>
      <w:szCs w:val="24"/>
    </w:rPr>
  </w:style>
  <w:style w:type="character" w:customStyle="1" w:styleId="td-post-date">
    <w:name w:val="td-post-date"/>
    <w:basedOn w:val="Fontepargpadro"/>
    <w:rsid w:val="00F45AD4"/>
  </w:style>
  <w:style w:type="character" w:styleId="nfase">
    <w:name w:val="Emphasis"/>
    <w:basedOn w:val="Fontepargpadro"/>
    <w:uiPriority w:val="20"/>
    <w:qFormat/>
    <w:rsid w:val="00273669"/>
    <w:rPr>
      <w:i/>
      <w:iCs/>
    </w:rPr>
  </w:style>
  <w:style w:type="paragraph" w:styleId="PargrafodaLista">
    <w:name w:val="List Paragraph"/>
    <w:basedOn w:val="Normal"/>
    <w:uiPriority w:val="99"/>
    <w:qFormat/>
    <w:rsid w:val="00273669"/>
    <w:pPr>
      <w:ind w:left="720"/>
      <w:contextualSpacing/>
    </w:pPr>
  </w:style>
  <w:style w:type="paragraph" w:customStyle="1" w:styleId="paragrafopadrao">
    <w:name w:val="paragrafopadrao"/>
    <w:basedOn w:val="Normal"/>
    <w:uiPriority w:val="99"/>
    <w:qFormat/>
    <w:rsid w:val="00A85164"/>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TextodoEspaoReservado">
    <w:name w:val="Placeholder Text"/>
    <w:basedOn w:val="Fontepargpadro"/>
    <w:uiPriority w:val="99"/>
    <w:semiHidden/>
    <w:rsid w:val="00B074D9"/>
    <w:rPr>
      <w:color w:val="808080"/>
    </w:rPr>
  </w:style>
  <w:style w:type="character" w:customStyle="1" w:styleId="apple-converted-space">
    <w:name w:val="apple-converted-space"/>
    <w:qFormat/>
    <w:rsid w:val="00AA328C"/>
  </w:style>
  <w:style w:type="paragraph" w:customStyle="1" w:styleId="Default">
    <w:name w:val="Default"/>
    <w:uiPriority w:val="99"/>
    <w:qFormat/>
    <w:rsid w:val="000029FE"/>
    <w:pPr>
      <w:spacing w:after="0" w:line="240" w:lineRule="auto"/>
    </w:pPr>
    <w:rPr>
      <w:rFonts w:ascii="Times New Roman" w:eastAsia="Times New Roman" w:hAnsi="Times New Roman" w:cs="Times New Roman"/>
      <w:color w:val="000000"/>
      <w:sz w:val="24"/>
      <w:szCs w:val="24"/>
      <w:lang w:eastAsia="pt-BR"/>
    </w:rPr>
  </w:style>
  <w:style w:type="paragraph" w:customStyle="1" w:styleId="Normal1">
    <w:name w:val="Normal1"/>
    <w:uiPriority w:val="99"/>
    <w:qFormat/>
    <w:rsid w:val="00B76BB1"/>
    <w:pPr>
      <w:spacing w:after="200" w:line="276" w:lineRule="auto"/>
    </w:pPr>
    <w:rPr>
      <w:rFonts w:ascii="Calibri" w:eastAsia="Calibri" w:hAnsi="Calibri" w:cs="Calibri"/>
      <w:color w:val="000000"/>
      <w:lang w:eastAsia="pt-BR"/>
    </w:rPr>
  </w:style>
  <w:style w:type="character" w:customStyle="1" w:styleId="Ttulo6Char">
    <w:name w:val="Título 6 Char"/>
    <w:basedOn w:val="Fontepargpadro"/>
    <w:link w:val="Ttulo6"/>
    <w:uiPriority w:val="9"/>
    <w:rsid w:val="00E33320"/>
    <w:rPr>
      <w:rFonts w:asciiTheme="majorHAnsi" w:eastAsiaTheme="majorEastAsia" w:hAnsiTheme="majorHAnsi" w:cstheme="majorBidi"/>
      <w:color w:val="1F3763" w:themeColor="accent1" w:themeShade="7F"/>
      <w:sz w:val="24"/>
    </w:rPr>
  </w:style>
  <w:style w:type="paragraph" w:customStyle="1" w:styleId="commentcontentpara">
    <w:name w:val="commentcontentpara"/>
    <w:basedOn w:val="Normal"/>
    <w:uiPriority w:val="99"/>
    <w:qFormat/>
    <w:rsid w:val="00E33320"/>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table" w:customStyle="1" w:styleId="Tabelacomgrade16">
    <w:name w:val="Tabela com grade16"/>
    <w:basedOn w:val="Tabelanormal"/>
    <w:next w:val="Tabelacomgrade"/>
    <w:uiPriority w:val="59"/>
    <w:rsid w:val="002C22D4"/>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o">
    <w:name w:val="Revision"/>
    <w:hidden/>
    <w:uiPriority w:val="99"/>
    <w:semiHidden/>
    <w:qFormat/>
    <w:rsid w:val="00946006"/>
    <w:pPr>
      <w:spacing w:after="0" w:line="240" w:lineRule="auto"/>
    </w:pPr>
    <w:rPr>
      <w:sz w:val="24"/>
    </w:rPr>
  </w:style>
  <w:style w:type="character" w:customStyle="1" w:styleId="go">
    <w:name w:val="go"/>
    <w:basedOn w:val="Fontepargpadro"/>
    <w:rsid w:val="006726FF"/>
  </w:style>
  <w:style w:type="character" w:customStyle="1" w:styleId="Ttulo7Char">
    <w:name w:val="Título 7 Char"/>
    <w:basedOn w:val="Fontepargpadro"/>
    <w:link w:val="Ttulo7"/>
    <w:uiPriority w:val="9"/>
    <w:rsid w:val="005D46A1"/>
    <w:rPr>
      <w:rFonts w:asciiTheme="majorHAnsi" w:eastAsiaTheme="majorEastAsia" w:hAnsiTheme="majorHAnsi" w:cstheme="majorBidi"/>
      <w:i/>
      <w:iCs/>
      <w:color w:val="1F3763" w:themeColor="accent1" w:themeShade="7F"/>
      <w:sz w:val="24"/>
    </w:rPr>
  </w:style>
  <w:style w:type="numbering" w:customStyle="1" w:styleId="Semlista1">
    <w:name w:val="Sem lista1"/>
    <w:next w:val="Semlista"/>
    <w:uiPriority w:val="99"/>
    <w:semiHidden/>
    <w:unhideWhenUsed/>
    <w:rsid w:val="005D46A1"/>
  </w:style>
  <w:style w:type="character" w:customStyle="1" w:styleId="LegendaChar">
    <w:name w:val="Legenda Char"/>
    <w:aliases w:val="anexo1 Char,QUADROS Char,Tabelas Char,Legenda tabelas Char,Legenda Char Char Char1,Legenda Char Char Char Char Char Char Char Char,Legenda Char Char Char Char1,Legenda Char Char Char Char Char,tabela_leg Char,Quadro Char,Figura Char"/>
    <w:link w:val="Legenda"/>
    <w:qFormat/>
    <w:rsid w:val="005D46A1"/>
    <w:rPr>
      <w:rFonts w:ascii="Calibri" w:eastAsia="Times New Roman" w:hAnsi="Calibri" w:cs="Times New Roman"/>
      <w:b/>
      <w:bCs/>
      <w:sz w:val="24"/>
      <w:szCs w:val="20"/>
      <w:lang w:val="en-US" w:eastAsia="pt-BR"/>
    </w:rPr>
  </w:style>
  <w:style w:type="table" w:customStyle="1" w:styleId="Tabelacomgrade51">
    <w:name w:val="Tabela com grade51"/>
    <w:basedOn w:val="Tabelanormal"/>
    <w:next w:val="Tabelacomgrade"/>
    <w:uiPriority w:val="59"/>
    <w:rsid w:val="005D46A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5D4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5D46A1"/>
    <w:rPr>
      <w:color w:val="605E5C"/>
      <w:shd w:val="clear" w:color="auto" w:fill="E1DFDD"/>
    </w:rPr>
  </w:style>
  <w:style w:type="table" w:customStyle="1" w:styleId="Tabelacomgrade161">
    <w:name w:val="Tabela com grade161"/>
    <w:basedOn w:val="Tabelanormal"/>
    <w:next w:val="Tabelacomgrade"/>
    <w:uiPriority w:val="59"/>
    <w:rsid w:val="005D46A1"/>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arcadores">
    <w:name w:val="List Bullet"/>
    <w:basedOn w:val="Normal"/>
    <w:autoRedefine/>
    <w:uiPriority w:val="99"/>
    <w:qFormat/>
    <w:rsid w:val="005D46A1"/>
    <w:pPr>
      <w:overflowPunct w:val="0"/>
      <w:autoSpaceDE w:val="0"/>
      <w:autoSpaceDN w:val="0"/>
      <w:adjustRightInd w:val="0"/>
      <w:ind w:firstLine="0"/>
      <w:jc w:val="left"/>
      <w:textAlignment w:val="baseline"/>
    </w:pPr>
    <w:rPr>
      <w:rFonts w:ascii="Calibri" w:eastAsia="Times New Roman" w:hAnsi="Calibri" w:cs="Calibri"/>
      <w:b/>
      <w:bCs/>
      <w:szCs w:val="24"/>
      <w:lang w:eastAsia="pt-BR"/>
    </w:rPr>
  </w:style>
  <w:style w:type="paragraph" w:styleId="Sumrio4">
    <w:name w:val="toc 4"/>
    <w:basedOn w:val="Normal"/>
    <w:next w:val="Normal"/>
    <w:autoRedefine/>
    <w:uiPriority w:val="39"/>
    <w:unhideWhenUsed/>
    <w:qFormat/>
    <w:rsid w:val="00A92ADF"/>
    <w:pPr>
      <w:spacing w:after="0"/>
      <w:ind w:left="480"/>
      <w:jc w:val="left"/>
    </w:pPr>
    <w:rPr>
      <w:rFonts w:cstheme="minorHAnsi"/>
      <w:sz w:val="20"/>
      <w:szCs w:val="20"/>
    </w:rPr>
  </w:style>
  <w:style w:type="paragraph" w:styleId="Sumrio5">
    <w:name w:val="toc 5"/>
    <w:basedOn w:val="Normal"/>
    <w:next w:val="Normal"/>
    <w:autoRedefine/>
    <w:uiPriority w:val="39"/>
    <w:unhideWhenUsed/>
    <w:qFormat/>
    <w:rsid w:val="00A92ADF"/>
    <w:pPr>
      <w:spacing w:after="0"/>
      <w:ind w:left="720"/>
      <w:jc w:val="left"/>
    </w:pPr>
    <w:rPr>
      <w:rFonts w:cstheme="minorHAnsi"/>
      <w:sz w:val="20"/>
      <w:szCs w:val="20"/>
    </w:rPr>
  </w:style>
  <w:style w:type="paragraph" w:styleId="Sumrio6">
    <w:name w:val="toc 6"/>
    <w:basedOn w:val="Normal"/>
    <w:next w:val="Normal"/>
    <w:autoRedefine/>
    <w:uiPriority w:val="39"/>
    <w:unhideWhenUsed/>
    <w:qFormat/>
    <w:rsid w:val="00A92ADF"/>
    <w:pPr>
      <w:spacing w:after="0"/>
      <w:ind w:left="960"/>
      <w:jc w:val="left"/>
    </w:pPr>
    <w:rPr>
      <w:rFonts w:cstheme="minorHAnsi"/>
      <w:sz w:val="20"/>
      <w:szCs w:val="20"/>
    </w:rPr>
  </w:style>
  <w:style w:type="paragraph" w:styleId="Sumrio7">
    <w:name w:val="toc 7"/>
    <w:basedOn w:val="Normal"/>
    <w:next w:val="Normal"/>
    <w:autoRedefine/>
    <w:uiPriority w:val="39"/>
    <w:unhideWhenUsed/>
    <w:qFormat/>
    <w:rsid w:val="00A92ADF"/>
    <w:pPr>
      <w:spacing w:after="0"/>
      <w:ind w:left="1200"/>
      <w:jc w:val="left"/>
    </w:pPr>
    <w:rPr>
      <w:rFonts w:cstheme="minorHAnsi"/>
      <w:sz w:val="20"/>
      <w:szCs w:val="20"/>
    </w:rPr>
  </w:style>
  <w:style w:type="character" w:customStyle="1" w:styleId="Ttulo8Char">
    <w:name w:val="Título 8 Char"/>
    <w:basedOn w:val="Fontepargpadro"/>
    <w:link w:val="Ttulo8"/>
    <w:uiPriority w:val="9"/>
    <w:rsid w:val="00922E87"/>
    <w:rPr>
      <w:rFonts w:asciiTheme="majorHAnsi" w:eastAsiaTheme="majorEastAsia" w:hAnsiTheme="majorHAnsi" w:cstheme="majorBidi"/>
      <w:color w:val="272727" w:themeColor="text1" w:themeTint="D8"/>
      <w:sz w:val="21"/>
      <w:szCs w:val="21"/>
    </w:rPr>
  </w:style>
  <w:style w:type="character" w:customStyle="1" w:styleId="AssuntodocomentrioChar1">
    <w:name w:val="Assunto do comentário Char1"/>
    <w:basedOn w:val="TextodecomentrioChar1"/>
    <w:link w:val="Assuntodocomentrio"/>
    <w:uiPriority w:val="99"/>
    <w:semiHidden/>
    <w:rPr>
      <w:b/>
      <w:bCs/>
      <w:sz w:val="20"/>
      <w:szCs w:val="20"/>
    </w:rPr>
  </w:style>
  <w:style w:type="character" w:customStyle="1" w:styleId="TextodecomentrioChar1">
    <w:name w:val="Texto de comentário Char1"/>
    <w:link w:val="Textodecomentrio"/>
    <w:uiPriority w:val="99"/>
    <w:rPr>
      <w:sz w:val="20"/>
      <w:szCs w:val="20"/>
    </w:rPr>
  </w:style>
  <w:style w:type="character" w:customStyle="1" w:styleId="Ttulo1Char1">
    <w:name w:val="Título 1 Char1"/>
    <w:aliases w:val="Título 1 cerne Char1"/>
    <w:basedOn w:val="Fontepargpadro"/>
    <w:uiPriority w:val="9"/>
    <w:rsid w:val="00D016A0"/>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uiPriority w:val="99"/>
    <w:qFormat/>
    <w:rsid w:val="00D016A0"/>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orpodetexto2">
    <w:name w:val="Body Text 2"/>
    <w:basedOn w:val="Normal"/>
    <w:link w:val="Corpodetexto2Char"/>
    <w:semiHidden/>
    <w:unhideWhenUsed/>
    <w:qFormat/>
    <w:rsid w:val="00B35597"/>
    <w:pPr>
      <w:spacing w:line="480" w:lineRule="auto"/>
      <w:ind w:firstLine="0"/>
      <w:jc w:val="left"/>
    </w:pPr>
    <w:rPr>
      <w:rFonts w:ascii="Times New Roman" w:eastAsia="Times New Roman" w:hAnsi="Times New Roman" w:cs="Times New Roman"/>
      <w:szCs w:val="24"/>
      <w:lang w:eastAsia="pt-BR"/>
    </w:rPr>
  </w:style>
  <w:style w:type="character" w:customStyle="1" w:styleId="Corpodetexto2Char">
    <w:name w:val="Corpo de texto 2 Char"/>
    <w:basedOn w:val="Fontepargpadro"/>
    <w:link w:val="Corpodetexto2"/>
    <w:semiHidden/>
    <w:rsid w:val="00B35597"/>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FD61C7"/>
  </w:style>
  <w:style w:type="character" w:customStyle="1" w:styleId="CorpodetextoChar">
    <w:name w:val="Corpo de texto Char"/>
    <w:basedOn w:val="Fontepargpadro"/>
    <w:link w:val="Corpodetexto"/>
    <w:uiPriority w:val="99"/>
    <w:semiHidden/>
    <w:rsid w:val="00FD61C7"/>
    <w:rPr>
      <w:sz w:val="24"/>
    </w:rPr>
  </w:style>
  <w:style w:type="paragraph" w:customStyle="1" w:styleId="author">
    <w:name w:val="author"/>
    <w:basedOn w:val="Normal"/>
    <w:rsid w:val="00FD61C7"/>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article-title">
    <w:name w:val="article-title"/>
    <w:basedOn w:val="Fontepargpadro"/>
    <w:rsid w:val="00FD61C7"/>
  </w:style>
  <w:style w:type="character" w:customStyle="1" w:styleId="charoverride-4">
    <w:name w:val="charoverride-4"/>
    <w:basedOn w:val="Fontepargpadro"/>
    <w:rsid w:val="00FD61C7"/>
  </w:style>
  <w:style w:type="paragraph" w:styleId="Pr-formataoHTML">
    <w:name w:val="HTML Preformatted"/>
    <w:basedOn w:val="Normal"/>
    <w:link w:val="Pr-formataoHTMLChar"/>
    <w:uiPriority w:val="99"/>
    <w:unhideWhenUsed/>
    <w:rsid w:val="00FD6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FD61C7"/>
    <w:rPr>
      <w:rFonts w:ascii="Courier New" w:eastAsia="Times New Roman" w:hAnsi="Courier New" w:cs="Courier New"/>
      <w:sz w:val="20"/>
      <w:szCs w:val="20"/>
      <w:lang w:eastAsia="pt-BR"/>
    </w:rPr>
  </w:style>
  <w:style w:type="paragraph" w:customStyle="1" w:styleId="TNormalCERNE">
    <w:name w:val="T Normal CERNE"/>
    <w:basedOn w:val="Normal"/>
    <w:link w:val="TNormalCERNEChar"/>
    <w:qFormat/>
    <w:rsid w:val="00703403"/>
    <w:rPr>
      <w:rFonts w:ascii="Calibri" w:eastAsia="Times New Roman" w:hAnsi="Calibri" w:cs="Times New Roman"/>
      <w:szCs w:val="24"/>
      <w:lang w:eastAsia="pt-BR"/>
    </w:rPr>
  </w:style>
  <w:style w:type="character" w:customStyle="1" w:styleId="TNormalCERNEChar">
    <w:name w:val="T Normal CERNE Char"/>
    <w:basedOn w:val="Fontepargpadro"/>
    <w:link w:val="TNormalCERNE"/>
    <w:qFormat/>
    <w:rsid w:val="00703403"/>
    <w:rPr>
      <w:rFonts w:ascii="Calibri" w:eastAsia="Times New Roman" w:hAnsi="Calibri" w:cs="Times New Roman"/>
      <w:sz w:val="24"/>
      <w:szCs w:val="24"/>
      <w:lang w:eastAsia="pt-BR"/>
    </w:rPr>
  </w:style>
  <w:style w:type="paragraph" w:styleId="Sumrio8">
    <w:name w:val="toc 8"/>
    <w:basedOn w:val="Normal"/>
    <w:next w:val="Normal"/>
    <w:autoRedefine/>
    <w:uiPriority w:val="39"/>
    <w:unhideWhenUsed/>
    <w:rsid w:val="0099379C"/>
    <w:pPr>
      <w:spacing w:after="0"/>
      <w:ind w:left="1440"/>
      <w:jc w:val="left"/>
    </w:pPr>
    <w:rPr>
      <w:rFonts w:cstheme="minorHAnsi"/>
      <w:sz w:val="20"/>
      <w:szCs w:val="20"/>
    </w:rPr>
  </w:style>
  <w:style w:type="paragraph" w:styleId="Sumrio9">
    <w:name w:val="toc 9"/>
    <w:basedOn w:val="Normal"/>
    <w:next w:val="Normal"/>
    <w:autoRedefine/>
    <w:uiPriority w:val="39"/>
    <w:unhideWhenUsed/>
    <w:rsid w:val="0099379C"/>
    <w:pPr>
      <w:spacing w:after="0"/>
      <w:ind w:left="1680"/>
      <w:jc w:val="left"/>
    </w:pPr>
    <w:rPr>
      <w:rFonts w:cstheme="minorHAnsi"/>
      <w:sz w:val="20"/>
      <w:szCs w:val="20"/>
    </w:rPr>
  </w:style>
  <w:style w:type="table" w:customStyle="1" w:styleId="21">
    <w:name w:val="21"/>
    <w:basedOn w:val="Tabelanormal"/>
    <w:rsid w:val="00906EFC"/>
    <w:pPr>
      <w:spacing w:after="120" w:line="360" w:lineRule="auto"/>
      <w:ind w:firstLine="709"/>
      <w:jc w:val="both"/>
    </w:pPr>
    <w:rPr>
      <w:rFonts w:ascii="Calibri" w:eastAsia="Calibri" w:hAnsi="Calibri" w:cs="Calibri"/>
      <w:sz w:val="24"/>
      <w:szCs w:val="24"/>
      <w:lang w:eastAsia="pt-BR"/>
    </w:rPr>
    <w:tblPr>
      <w:tblStyleRowBandSize w:val="1"/>
      <w:tblStyleColBandSize w:val="1"/>
      <w:tblInd w:w="0" w:type="nil"/>
      <w:tblCellMar>
        <w:left w:w="70" w:type="dxa"/>
        <w:right w:w="70" w:type="dxa"/>
      </w:tblCellMar>
    </w:tblPr>
  </w:style>
  <w:style w:type="paragraph" w:customStyle="1" w:styleId="font-claude-response-body">
    <w:name w:val="font-claude-response-body"/>
    <w:basedOn w:val="Normal"/>
    <w:rsid w:val="00555A67"/>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isselectedend">
    <w:name w:val="isselectedend"/>
    <w:basedOn w:val="Normal"/>
    <w:rsid w:val="008552E3"/>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is-empty">
    <w:name w:val="is-empty"/>
    <w:basedOn w:val="Normal"/>
    <w:rsid w:val="00E82AD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pdq2pgselectionanchorcontainer">
    <w:name w:val="pdq2pg_selectionanchorcontainer"/>
    <w:basedOn w:val="Normal"/>
    <w:rsid w:val="0069359C"/>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inqyif">
    <w:name w:val="inqyif"/>
    <w:basedOn w:val="Fontepargpadro"/>
    <w:rsid w:val="00B1270B"/>
  </w:style>
  <w:style w:type="character" w:customStyle="1" w:styleId="contents">
    <w:name w:val="contents"/>
    <w:basedOn w:val="Fontepargpadro"/>
    <w:rsid w:val="00036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3877">
      <w:bodyDiv w:val="1"/>
      <w:marLeft w:val="0"/>
      <w:marRight w:val="0"/>
      <w:marTop w:val="0"/>
      <w:marBottom w:val="0"/>
      <w:divBdr>
        <w:top w:val="none" w:sz="0" w:space="0" w:color="auto"/>
        <w:left w:val="none" w:sz="0" w:space="0" w:color="auto"/>
        <w:bottom w:val="none" w:sz="0" w:space="0" w:color="auto"/>
        <w:right w:val="none" w:sz="0" w:space="0" w:color="auto"/>
      </w:divBdr>
      <w:divsChild>
        <w:div w:id="2116948091">
          <w:marLeft w:val="0"/>
          <w:marRight w:val="0"/>
          <w:marTop w:val="0"/>
          <w:marBottom w:val="0"/>
          <w:divBdr>
            <w:top w:val="none" w:sz="0" w:space="0" w:color="auto"/>
            <w:left w:val="none" w:sz="0" w:space="0" w:color="auto"/>
            <w:bottom w:val="none" w:sz="0" w:space="0" w:color="auto"/>
            <w:right w:val="none" w:sz="0" w:space="0" w:color="auto"/>
          </w:divBdr>
        </w:div>
        <w:div w:id="1148480011">
          <w:marLeft w:val="0"/>
          <w:marRight w:val="0"/>
          <w:marTop w:val="0"/>
          <w:marBottom w:val="0"/>
          <w:divBdr>
            <w:top w:val="none" w:sz="0" w:space="0" w:color="auto"/>
            <w:left w:val="none" w:sz="0" w:space="0" w:color="auto"/>
            <w:bottom w:val="none" w:sz="0" w:space="0" w:color="auto"/>
            <w:right w:val="none" w:sz="0" w:space="0" w:color="auto"/>
          </w:divBdr>
        </w:div>
        <w:div w:id="1464275239">
          <w:marLeft w:val="0"/>
          <w:marRight w:val="0"/>
          <w:marTop w:val="0"/>
          <w:marBottom w:val="0"/>
          <w:divBdr>
            <w:top w:val="none" w:sz="0" w:space="0" w:color="auto"/>
            <w:left w:val="none" w:sz="0" w:space="0" w:color="auto"/>
            <w:bottom w:val="none" w:sz="0" w:space="0" w:color="auto"/>
            <w:right w:val="none" w:sz="0" w:space="0" w:color="auto"/>
          </w:divBdr>
        </w:div>
      </w:divsChild>
    </w:div>
    <w:div w:id="69156110">
      <w:bodyDiv w:val="1"/>
      <w:marLeft w:val="0"/>
      <w:marRight w:val="0"/>
      <w:marTop w:val="0"/>
      <w:marBottom w:val="0"/>
      <w:divBdr>
        <w:top w:val="none" w:sz="0" w:space="0" w:color="auto"/>
        <w:left w:val="none" w:sz="0" w:space="0" w:color="auto"/>
        <w:bottom w:val="none" w:sz="0" w:space="0" w:color="auto"/>
        <w:right w:val="none" w:sz="0" w:space="0" w:color="auto"/>
      </w:divBdr>
    </w:div>
    <w:div w:id="77993210">
      <w:bodyDiv w:val="1"/>
      <w:marLeft w:val="0"/>
      <w:marRight w:val="0"/>
      <w:marTop w:val="0"/>
      <w:marBottom w:val="0"/>
      <w:divBdr>
        <w:top w:val="none" w:sz="0" w:space="0" w:color="auto"/>
        <w:left w:val="none" w:sz="0" w:space="0" w:color="auto"/>
        <w:bottom w:val="none" w:sz="0" w:space="0" w:color="auto"/>
        <w:right w:val="none" w:sz="0" w:space="0" w:color="auto"/>
      </w:divBdr>
    </w:div>
    <w:div w:id="78908009">
      <w:bodyDiv w:val="1"/>
      <w:marLeft w:val="0"/>
      <w:marRight w:val="0"/>
      <w:marTop w:val="0"/>
      <w:marBottom w:val="0"/>
      <w:divBdr>
        <w:top w:val="none" w:sz="0" w:space="0" w:color="auto"/>
        <w:left w:val="none" w:sz="0" w:space="0" w:color="auto"/>
        <w:bottom w:val="none" w:sz="0" w:space="0" w:color="auto"/>
        <w:right w:val="none" w:sz="0" w:space="0" w:color="auto"/>
      </w:divBdr>
    </w:div>
    <w:div w:id="100688904">
      <w:bodyDiv w:val="1"/>
      <w:marLeft w:val="0"/>
      <w:marRight w:val="0"/>
      <w:marTop w:val="0"/>
      <w:marBottom w:val="0"/>
      <w:divBdr>
        <w:top w:val="none" w:sz="0" w:space="0" w:color="auto"/>
        <w:left w:val="none" w:sz="0" w:space="0" w:color="auto"/>
        <w:bottom w:val="none" w:sz="0" w:space="0" w:color="auto"/>
        <w:right w:val="none" w:sz="0" w:space="0" w:color="auto"/>
      </w:divBdr>
    </w:div>
    <w:div w:id="108622229">
      <w:bodyDiv w:val="1"/>
      <w:marLeft w:val="0"/>
      <w:marRight w:val="0"/>
      <w:marTop w:val="0"/>
      <w:marBottom w:val="0"/>
      <w:divBdr>
        <w:top w:val="none" w:sz="0" w:space="0" w:color="auto"/>
        <w:left w:val="none" w:sz="0" w:space="0" w:color="auto"/>
        <w:bottom w:val="none" w:sz="0" w:space="0" w:color="auto"/>
        <w:right w:val="none" w:sz="0" w:space="0" w:color="auto"/>
      </w:divBdr>
    </w:div>
    <w:div w:id="159931343">
      <w:bodyDiv w:val="1"/>
      <w:marLeft w:val="0"/>
      <w:marRight w:val="0"/>
      <w:marTop w:val="0"/>
      <w:marBottom w:val="0"/>
      <w:divBdr>
        <w:top w:val="none" w:sz="0" w:space="0" w:color="auto"/>
        <w:left w:val="none" w:sz="0" w:space="0" w:color="auto"/>
        <w:bottom w:val="none" w:sz="0" w:space="0" w:color="auto"/>
        <w:right w:val="none" w:sz="0" w:space="0" w:color="auto"/>
      </w:divBdr>
    </w:div>
    <w:div w:id="220943323">
      <w:bodyDiv w:val="1"/>
      <w:marLeft w:val="0"/>
      <w:marRight w:val="0"/>
      <w:marTop w:val="0"/>
      <w:marBottom w:val="0"/>
      <w:divBdr>
        <w:top w:val="none" w:sz="0" w:space="0" w:color="auto"/>
        <w:left w:val="none" w:sz="0" w:space="0" w:color="auto"/>
        <w:bottom w:val="none" w:sz="0" w:space="0" w:color="auto"/>
        <w:right w:val="none" w:sz="0" w:space="0" w:color="auto"/>
      </w:divBdr>
    </w:div>
    <w:div w:id="222371995">
      <w:bodyDiv w:val="1"/>
      <w:marLeft w:val="0"/>
      <w:marRight w:val="0"/>
      <w:marTop w:val="0"/>
      <w:marBottom w:val="0"/>
      <w:divBdr>
        <w:top w:val="none" w:sz="0" w:space="0" w:color="auto"/>
        <w:left w:val="none" w:sz="0" w:space="0" w:color="auto"/>
        <w:bottom w:val="none" w:sz="0" w:space="0" w:color="auto"/>
        <w:right w:val="none" w:sz="0" w:space="0" w:color="auto"/>
      </w:divBdr>
    </w:div>
    <w:div w:id="258417344">
      <w:bodyDiv w:val="1"/>
      <w:marLeft w:val="0"/>
      <w:marRight w:val="0"/>
      <w:marTop w:val="0"/>
      <w:marBottom w:val="0"/>
      <w:divBdr>
        <w:top w:val="none" w:sz="0" w:space="0" w:color="auto"/>
        <w:left w:val="none" w:sz="0" w:space="0" w:color="auto"/>
        <w:bottom w:val="none" w:sz="0" w:space="0" w:color="auto"/>
        <w:right w:val="none" w:sz="0" w:space="0" w:color="auto"/>
      </w:divBdr>
    </w:div>
    <w:div w:id="258490347">
      <w:bodyDiv w:val="1"/>
      <w:marLeft w:val="0"/>
      <w:marRight w:val="0"/>
      <w:marTop w:val="0"/>
      <w:marBottom w:val="0"/>
      <w:divBdr>
        <w:top w:val="none" w:sz="0" w:space="0" w:color="auto"/>
        <w:left w:val="none" w:sz="0" w:space="0" w:color="auto"/>
        <w:bottom w:val="none" w:sz="0" w:space="0" w:color="auto"/>
        <w:right w:val="none" w:sz="0" w:space="0" w:color="auto"/>
      </w:divBdr>
    </w:div>
    <w:div w:id="354385380">
      <w:bodyDiv w:val="1"/>
      <w:marLeft w:val="0"/>
      <w:marRight w:val="0"/>
      <w:marTop w:val="0"/>
      <w:marBottom w:val="0"/>
      <w:divBdr>
        <w:top w:val="none" w:sz="0" w:space="0" w:color="auto"/>
        <w:left w:val="none" w:sz="0" w:space="0" w:color="auto"/>
        <w:bottom w:val="none" w:sz="0" w:space="0" w:color="auto"/>
        <w:right w:val="none" w:sz="0" w:space="0" w:color="auto"/>
      </w:divBdr>
    </w:div>
    <w:div w:id="369650649">
      <w:bodyDiv w:val="1"/>
      <w:marLeft w:val="0"/>
      <w:marRight w:val="0"/>
      <w:marTop w:val="0"/>
      <w:marBottom w:val="0"/>
      <w:divBdr>
        <w:top w:val="none" w:sz="0" w:space="0" w:color="auto"/>
        <w:left w:val="none" w:sz="0" w:space="0" w:color="auto"/>
        <w:bottom w:val="none" w:sz="0" w:space="0" w:color="auto"/>
        <w:right w:val="none" w:sz="0" w:space="0" w:color="auto"/>
      </w:divBdr>
    </w:div>
    <w:div w:id="393312156">
      <w:bodyDiv w:val="1"/>
      <w:marLeft w:val="0"/>
      <w:marRight w:val="0"/>
      <w:marTop w:val="0"/>
      <w:marBottom w:val="0"/>
      <w:divBdr>
        <w:top w:val="none" w:sz="0" w:space="0" w:color="auto"/>
        <w:left w:val="none" w:sz="0" w:space="0" w:color="auto"/>
        <w:bottom w:val="none" w:sz="0" w:space="0" w:color="auto"/>
        <w:right w:val="none" w:sz="0" w:space="0" w:color="auto"/>
      </w:divBdr>
    </w:div>
    <w:div w:id="431246386">
      <w:bodyDiv w:val="1"/>
      <w:marLeft w:val="0"/>
      <w:marRight w:val="0"/>
      <w:marTop w:val="0"/>
      <w:marBottom w:val="0"/>
      <w:divBdr>
        <w:top w:val="none" w:sz="0" w:space="0" w:color="auto"/>
        <w:left w:val="none" w:sz="0" w:space="0" w:color="auto"/>
        <w:bottom w:val="none" w:sz="0" w:space="0" w:color="auto"/>
        <w:right w:val="none" w:sz="0" w:space="0" w:color="auto"/>
      </w:divBdr>
    </w:div>
    <w:div w:id="472333892">
      <w:bodyDiv w:val="1"/>
      <w:marLeft w:val="0"/>
      <w:marRight w:val="0"/>
      <w:marTop w:val="0"/>
      <w:marBottom w:val="0"/>
      <w:divBdr>
        <w:top w:val="none" w:sz="0" w:space="0" w:color="auto"/>
        <w:left w:val="none" w:sz="0" w:space="0" w:color="auto"/>
        <w:bottom w:val="none" w:sz="0" w:space="0" w:color="auto"/>
        <w:right w:val="none" w:sz="0" w:space="0" w:color="auto"/>
      </w:divBdr>
    </w:div>
    <w:div w:id="503783292">
      <w:bodyDiv w:val="1"/>
      <w:marLeft w:val="0"/>
      <w:marRight w:val="0"/>
      <w:marTop w:val="0"/>
      <w:marBottom w:val="0"/>
      <w:divBdr>
        <w:top w:val="none" w:sz="0" w:space="0" w:color="auto"/>
        <w:left w:val="none" w:sz="0" w:space="0" w:color="auto"/>
        <w:bottom w:val="none" w:sz="0" w:space="0" w:color="auto"/>
        <w:right w:val="none" w:sz="0" w:space="0" w:color="auto"/>
      </w:divBdr>
    </w:div>
    <w:div w:id="527062588">
      <w:bodyDiv w:val="1"/>
      <w:marLeft w:val="0"/>
      <w:marRight w:val="0"/>
      <w:marTop w:val="0"/>
      <w:marBottom w:val="0"/>
      <w:divBdr>
        <w:top w:val="none" w:sz="0" w:space="0" w:color="auto"/>
        <w:left w:val="none" w:sz="0" w:space="0" w:color="auto"/>
        <w:bottom w:val="none" w:sz="0" w:space="0" w:color="auto"/>
        <w:right w:val="none" w:sz="0" w:space="0" w:color="auto"/>
      </w:divBdr>
    </w:div>
    <w:div w:id="534006538">
      <w:bodyDiv w:val="1"/>
      <w:marLeft w:val="0"/>
      <w:marRight w:val="0"/>
      <w:marTop w:val="0"/>
      <w:marBottom w:val="0"/>
      <w:divBdr>
        <w:top w:val="none" w:sz="0" w:space="0" w:color="auto"/>
        <w:left w:val="none" w:sz="0" w:space="0" w:color="auto"/>
        <w:bottom w:val="none" w:sz="0" w:space="0" w:color="auto"/>
        <w:right w:val="none" w:sz="0" w:space="0" w:color="auto"/>
      </w:divBdr>
    </w:div>
    <w:div w:id="535313563">
      <w:bodyDiv w:val="1"/>
      <w:marLeft w:val="0"/>
      <w:marRight w:val="0"/>
      <w:marTop w:val="0"/>
      <w:marBottom w:val="0"/>
      <w:divBdr>
        <w:top w:val="none" w:sz="0" w:space="0" w:color="auto"/>
        <w:left w:val="none" w:sz="0" w:space="0" w:color="auto"/>
        <w:bottom w:val="none" w:sz="0" w:space="0" w:color="auto"/>
        <w:right w:val="none" w:sz="0" w:space="0" w:color="auto"/>
      </w:divBdr>
    </w:div>
    <w:div w:id="562721666">
      <w:bodyDiv w:val="1"/>
      <w:marLeft w:val="0"/>
      <w:marRight w:val="0"/>
      <w:marTop w:val="0"/>
      <w:marBottom w:val="0"/>
      <w:divBdr>
        <w:top w:val="none" w:sz="0" w:space="0" w:color="auto"/>
        <w:left w:val="none" w:sz="0" w:space="0" w:color="auto"/>
        <w:bottom w:val="none" w:sz="0" w:space="0" w:color="auto"/>
        <w:right w:val="none" w:sz="0" w:space="0" w:color="auto"/>
      </w:divBdr>
    </w:div>
    <w:div w:id="566184097">
      <w:bodyDiv w:val="1"/>
      <w:marLeft w:val="0"/>
      <w:marRight w:val="0"/>
      <w:marTop w:val="0"/>
      <w:marBottom w:val="0"/>
      <w:divBdr>
        <w:top w:val="none" w:sz="0" w:space="0" w:color="auto"/>
        <w:left w:val="none" w:sz="0" w:space="0" w:color="auto"/>
        <w:bottom w:val="none" w:sz="0" w:space="0" w:color="auto"/>
        <w:right w:val="none" w:sz="0" w:space="0" w:color="auto"/>
      </w:divBdr>
    </w:div>
    <w:div w:id="592515461">
      <w:bodyDiv w:val="1"/>
      <w:marLeft w:val="0"/>
      <w:marRight w:val="0"/>
      <w:marTop w:val="0"/>
      <w:marBottom w:val="0"/>
      <w:divBdr>
        <w:top w:val="none" w:sz="0" w:space="0" w:color="auto"/>
        <w:left w:val="none" w:sz="0" w:space="0" w:color="auto"/>
        <w:bottom w:val="none" w:sz="0" w:space="0" w:color="auto"/>
        <w:right w:val="none" w:sz="0" w:space="0" w:color="auto"/>
      </w:divBdr>
      <w:divsChild>
        <w:div w:id="3828020">
          <w:marLeft w:val="0"/>
          <w:marRight w:val="0"/>
          <w:marTop w:val="0"/>
          <w:marBottom w:val="0"/>
          <w:divBdr>
            <w:top w:val="none" w:sz="0" w:space="0" w:color="auto"/>
            <w:left w:val="none" w:sz="0" w:space="0" w:color="auto"/>
            <w:bottom w:val="none" w:sz="0" w:space="0" w:color="auto"/>
            <w:right w:val="none" w:sz="0" w:space="0" w:color="auto"/>
          </w:divBdr>
          <w:divsChild>
            <w:div w:id="132527074">
              <w:marLeft w:val="0"/>
              <w:marRight w:val="0"/>
              <w:marTop w:val="0"/>
              <w:marBottom w:val="0"/>
              <w:divBdr>
                <w:top w:val="none" w:sz="0" w:space="0" w:color="auto"/>
                <w:left w:val="none" w:sz="0" w:space="0" w:color="auto"/>
                <w:bottom w:val="none" w:sz="0" w:space="0" w:color="auto"/>
                <w:right w:val="none" w:sz="0" w:space="0" w:color="auto"/>
              </w:divBdr>
              <w:divsChild>
                <w:div w:id="112748928">
                  <w:marLeft w:val="0"/>
                  <w:marRight w:val="0"/>
                  <w:marTop w:val="0"/>
                  <w:marBottom w:val="0"/>
                  <w:divBdr>
                    <w:top w:val="none" w:sz="0" w:space="0" w:color="auto"/>
                    <w:left w:val="none" w:sz="0" w:space="0" w:color="auto"/>
                    <w:bottom w:val="none" w:sz="0" w:space="0" w:color="auto"/>
                    <w:right w:val="none" w:sz="0" w:space="0" w:color="auto"/>
                  </w:divBdr>
                  <w:divsChild>
                    <w:div w:id="48653249">
                      <w:marLeft w:val="0"/>
                      <w:marRight w:val="0"/>
                      <w:marTop w:val="0"/>
                      <w:marBottom w:val="0"/>
                      <w:divBdr>
                        <w:top w:val="none" w:sz="0" w:space="0" w:color="auto"/>
                        <w:left w:val="none" w:sz="0" w:space="0" w:color="auto"/>
                        <w:bottom w:val="none" w:sz="0" w:space="0" w:color="auto"/>
                        <w:right w:val="none" w:sz="0" w:space="0" w:color="auto"/>
                      </w:divBdr>
                      <w:divsChild>
                        <w:div w:id="1169373078">
                          <w:marLeft w:val="0"/>
                          <w:marRight w:val="0"/>
                          <w:marTop w:val="0"/>
                          <w:marBottom w:val="0"/>
                          <w:divBdr>
                            <w:top w:val="none" w:sz="0" w:space="0" w:color="auto"/>
                            <w:left w:val="none" w:sz="0" w:space="0" w:color="auto"/>
                            <w:bottom w:val="none" w:sz="0" w:space="0" w:color="auto"/>
                            <w:right w:val="none" w:sz="0" w:space="0" w:color="auto"/>
                          </w:divBdr>
                          <w:divsChild>
                            <w:div w:id="35662082">
                              <w:marLeft w:val="0"/>
                              <w:marRight w:val="0"/>
                              <w:marTop w:val="0"/>
                              <w:marBottom w:val="0"/>
                              <w:divBdr>
                                <w:top w:val="none" w:sz="0" w:space="0" w:color="auto"/>
                                <w:left w:val="none" w:sz="0" w:space="0" w:color="auto"/>
                                <w:bottom w:val="none" w:sz="0" w:space="0" w:color="auto"/>
                                <w:right w:val="none" w:sz="0" w:space="0" w:color="auto"/>
                              </w:divBdr>
                              <w:divsChild>
                                <w:div w:id="1709179724">
                                  <w:marLeft w:val="0"/>
                                  <w:marRight w:val="0"/>
                                  <w:marTop w:val="0"/>
                                  <w:marBottom w:val="0"/>
                                  <w:divBdr>
                                    <w:top w:val="none" w:sz="0" w:space="0" w:color="auto"/>
                                    <w:left w:val="none" w:sz="0" w:space="0" w:color="auto"/>
                                    <w:bottom w:val="none" w:sz="0" w:space="0" w:color="auto"/>
                                    <w:right w:val="none" w:sz="0" w:space="0" w:color="auto"/>
                                  </w:divBdr>
                                  <w:divsChild>
                                    <w:div w:id="648562619">
                                      <w:marLeft w:val="0"/>
                                      <w:marRight w:val="0"/>
                                      <w:marTop w:val="0"/>
                                      <w:marBottom w:val="0"/>
                                      <w:divBdr>
                                        <w:top w:val="none" w:sz="0" w:space="0" w:color="auto"/>
                                        <w:left w:val="none" w:sz="0" w:space="0" w:color="auto"/>
                                        <w:bottom w:val="none" w:sz="0" w:space="0" w:color="auto"/>
                                        <w:right w:val="none" w:sz="0" w:space="0" w:color="auto"/>
                                      </w:divBdr>
                                      <w:divsChild>
                                        <w:div w:id="702709399">
                                          <w:marLeft w:val="0"/>
                                          <w:marRight w:val="0"/>
                                          <w:marTop w:val="0"/>
                                          <w:marBottom w:val="0"/>
                                          <w:divBdr>
                                            <w:top w:val="none" w:sz="0" w:space="0" w:color="auto"/>
                                            <w:left w:val="none" w:sz="0" w:space="0" w:color="auto"/>
                                            <w:bottom w:val="none" w:sz="0" w:space="0" w:color="auto"/>
                                            <w:right w:val="none" w:sz="0" w:space="0" w:color="auto"/>
                                          </w:divBdr>
                                          <w:divsChild>
                                            <w:div w:id="1765610999">
                                              <w:marLeft w:val="0"/>
                                              <w:marRight w:val="0"/>
                                              <w:marTop w:val="0"/>
                                              <w:marBottom w:val="0"/>
                                              <w:divBdr>
                                                <w:top w:val="none" w:sz="0" w:space="0" w:color="auto"/>
                                                <w:left w:val="none" w:sz="0" w:space="0" w:color="auto"/>
                                                <w:bottom w:val="none" w:sz="0" w:space="0" w:color="auto"/>
                                                <w:right w:val="none" w:sz="0" w:space="0" w:color="auto"/>
                                              </w:divBdr>
                                              <w:divsChild>
                                                <w:div w:id="4945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499929">
      <w:bodyDiv w:val="1"/>
      <w:marLeft w:val="0"/>
      <w:marRight w:val="0"/>
      <w:marTop w:val="0"/>
      <w:marBottom w:val="0"/>
      <w:divBdr>
        <w:top w:val="none" w:sz="0" w:space="0" w:color="auto"/>
        <w:left w:val="none" w:sz="0" w:space="0" w:color="auto"/>
        <w:bottom w:val="none" w:sz="0" w:space="0" w:color="auto"/>
        <w:right w:val="none" w:sz="0" w:space="0" w:color="auto"/>
      </w:divBdr>
    </w:div>
    <w:div w:id="643511379">
      <w:bodyDiv w:val="1"/>
      <w:marLeft w:val="0"/>
      <w:marRight w:val="0"/>
      <w:marTop w:val="0"/>
      <w:marBottom w:val="0"/>
      <w:divBdr>
        <w:top w:val="none" w:sz="0" w:space="0" w:color="auto"/>
        <w:left w:val="none" w:sz="0" w:space="0" w:color="auto"/>
        <w:bottom w:val="none" w:sz="0" w:space="0" w:color="auto"/>
        <w:right w:val="none" w:sz="0" w:space="0" w:color="auto"/>
      </w:divBdr>
    </w:div>
    <w:div w:id="658118910">
      <w:bodyDiv w:val="1"/>
      <w:marLeft w:val="0"/>
      <w:marRight w:val="0"/>
      <w:marTop w:val="0"/>
      <w:marBottom w:val="0"/>
      <w:divBdr>
        <w:top w:val="none" w:sz="0" w:space="0" w:color="auto"/>
        <w:left w:val="none" w:sz="0" w:space="0" w:color="auto"/>
        <w:bottom w:val="none" w:sz="0" w:space="0" w:color="auto"/>
        <w:right w:val="none" w:sz="0" w:space="0" w:color="auto"/>
      </w:divBdr>
    </w:div>
    <w:div w:id="661085015">
      <w:bodyDiv w:val="1"/>
      <w:marLeft w:val="0"/>
      <w:marRight w:val="0"/>
      <w:marTop w:val="0"/>
      <w:marBottom w:val="0"/>
      <w:divBdr>
        <w:top w:val="none" w:sz="0" w:space="0" w:color="auto"/>
        <w:left w:val="none" w:sz="0" w:space="0" w:color="auto"/>
        <w:bottom w:val="none" w:sz="0" w:space="0" w:color="auto"/>
        <w:right w:val="none" w:sz="0" w:space="0" w:color="auto"/>
      </w:divBdr>
    </w:div>
    <w:div w:id="661588360">
      <w:bodyDiv w:val="1"/>
      <w:marLeft w:val="0"/>
      <w:marRight w:val="0"/>
      <w:marTop w:val="0"/>
      <w:marBottom w:val="0"/>
      <w:divBdr>
        <w:top w:val="none" w:sz="0" w:space="0" w:color="auto"/>
        <w:left w:val="none" w:sz="0" w:space="0" w:color="auto"/>
        <w:bottom w:val="none" w:sz="0" w:space="0" w:color="auto"/>
        <w:right w:val="none" w:sz="0" w:space="0" w:color="auto"/>
      </w:divBdr>
    </w:div>
    <w:div w:id="666175435">
      <w:bodyDiv w:val="1"/>
      <w:marLeft w:val="0"/>
      <w:marRight w:val="0"/>
      <w:marTop w:val="0"/>
      <w:marBottom w:val="0"/>
      <w:divBdr>
        <w:top w:val="none" w:sz="0" w:space="0" w:color="auto"/>
        <w:left w:val="none" w:sz="0" w:space="0" w:color="auto"/>
        <w:bottom w:val="none" w:sz="0" w:space="0" w:color="auto"/>
        <w:right w:val="none" w:sz="0" w:space="0" w:color="auto"/>
      </w:divBdr>
    </w:div>
    <w:div w:id="666518202">
      <w:bodyDiv w:val="1"/>
      <w:marLeft w:val="0"/>
      <w:marRight w:val="0"/>
      <w:marTop w:val="0"/>
      <w:marBottom w:val="0"/>
      <w:divBdr>
        <w:top w:val="none" w:sz="0" w:space="0" w:color="auto"/>
        <w:left w:val="none" w:sz="0" w:space="0" w:color="auto"/>
        <w:bottom w:val="none" w:sz="0" w:space="0" w:color="auto"/>
        <w:right w:val="none" w:sz="0" w:space="0" w:color="auto"/>
      </w:divBdr>
    </w:div>
    <w:div w:id="684089339">
      <w:bodyDiv w:val="1"/>
      <w:marLeft w:val="0"/>
      <w:marRight w:val="0"/>
      <w:marTop w:val="0"/>
      <w:marBottom w:val="0"/>
      <w:divBdr>
        <w:top w:val="none" w:sz="0" w:space="0" w:color="auto"/>
        <w:left w:val="none" w:sz="0" w:space="0" w:color="auto"/>
        <w:bottom w:val="none" w:sz="0" w:space="0" w:color="auto"/>
        <w:right w:val="none" w:sz="0" w:space="0" w:color="auto"/>
      </w:divBdr>
    </w:div>
    <w:div w:id="692195628">
      <w:bodyDiv w:val="1"/>
      <w:marLeft w:val="0"/>
      <w:marRight w:val="0"/>
      <w:marTop w:val="0"/>
      <w:marBottom w:val="0"/>
      <w:divBdr>
        <w:top w:val="none" w:sz="0" w:space="0" w:color="auto"/>
        <w:left w:val="none" w:sz="0" w:space="0" w:color="auto"/>
        <w:bottom w:val="none" w:sz="0" w:space="0" w:color="auto"/>
        <w:right w:val="none" w:sz="0" w:space="0" w:color="auto"/>
      </w:divBdr>
    </w:div>
    <w:div w:id="709381315">
      <w:bodyDiv w:val="1"/>
      <w:marLeft w:val="0"/>
      <w:marRight w:val="0"/>
      <w:marTop w:val="0"/>
      <w:marBottom w:val="0"/>
      <w:divBdr>
        <w:top w:val="none" w:sz="0" w:space="0" w:color="auto"/>
        <w:left w:val="none" w:sz="0" w:space="0" w:color="auto"/>
        <w:bottom w:val="none" w:sz="0" w:space="0" w:color="auto"/>
        <w:right w:val="none" w:sz="0" w:space="0" w:color="auto"/>
      </w:divBdr>
    </w:div>
    <w:div w:id="760368952">
      <w:bodyDiv w:val="1"/>
      <w:marLeft w:val="0"/>
      <w:marRight w:val="0"/>
      <w:marTop w:val="0"/>
      <w:marBottom w:val="0"/>
      <w:divBdr>
        <w:top w:val="none" w:sz="0" w:space="0" w:color="auto"/>
        <w:left w:val="none" w:sz="0" w:space="0" w:color="auto"/>
        <w:bottom w:val="none" w:sz="0" w:space="0" w:color="auto"/>
        <w:right w:val="none" w:sz="0" w:space="0" w:color="auto"/>
      </w:divBdr>
      <w:divsChild>
        <w:div w:id="1383283927">
          <w:marLeft w:val="0"/>
          <w:marRight w:val="0"/>
          <w:marTop w:val="0"/>
          <w:marBottom w:val="0"/>
          <w:divBdr>
            <w:top w:val="none" w:sz="0" w:space="0" w:color="auto"/>
            <w:left w:val="none" w:sz="0" w:space="0" w:color="auto"/>
            <w:bottom w:val="none" w:sz="0" w:space="0" w:color="auto"/>
            <w:right w:val="none" w:sz="0" w:space="0" w:color="auto"/>
          </w:divBdr>
          <w:divsChild>
            <w:div w:id="1346634441">
              <w:marLeft w:val="0"/>
              <w:marRight w:val="0"/>
              <w:marTop w:val="0"/>
              <w:marBottom w:val="0"/>
              <w:divBdr>
                <w:top w:val="none" w:sz="0" w:space="0" w:color="auto"/>
                <w:left w:val="none" w:sz="0" w:space="0" w:color="auto"/>
                <w:bottom w:val="none" w:sz="0" w:space="0" w:color="auto"/>
                <w:right w:val="none" w:sz="0" w:space="0" w:color="auto"/>
              </w:divBdr>
              <w:divsChild>
                <w:div w:id="96023000">
                  <w:marLeft w:val="0"/>
                  <w:marRight w:val="0"/>
                  <w:marTop w:val="0"/>
                  <w:marBottom w:val="0"/>
                  <w:divBdr>
                    <w:top w:val="none" w:sz="0" w:space="0" w:color="auto"/>
                    <w:left w:val="none" w:sz="0" w:space="0" w:color="auto"/>
                    <w:bottom w:val="none" w:sz="0" w:space="0" w:color="auto"/>
                    <w:right w:val="none" w:sz="0" w:space="0" w:color="auto"/>
                  </w:divBdr>
                  <w:divsChild>
                    <w:div w:id="1390763905">
                      <w:marLeft w:val="0"/>
                      <w:marRight w:val="0"/>
                      <w:marTop w:val="0"/>
                      <w:marBottom w:val="0"/>
                      <w:divBdr>
                        <w:top w:val="none" w:sz="0" w:space="0" w:color="auto"/>
                        <w:left w:val="none" w:sz="0" w:space="0" w:color="auto"/>
                        <w:bottom w:val="none" w:sz="0" w:space="0" w:color="auto"/>
                        <w:right w:val="none" w:sz="0" w:space="0" w:color="auto"/>
                      </w:divBdr>
                      <w:divsChild>
                        <w:div w:id="1678001522">
                          <w:marLeft w:val="0"/>
                          <w:marRight w:val="0"/>
                          <w:marTop w:val="0"/>
                          <w:marBottom w:val="0"/>
                          <w:divBdr>
                            <w:top w:val="none" w:sz="0" w:space="0" w:color="auto"/>
                            <w:left w:val="none" w:sz="0" w:space="0" w:color="auto"/>
                            <w:bottom w:val="none" w:sz="0" w:space="0" w:color="auto"/>
                            <w:right w:val="none" w:sz="0" w:space="0" w:color="auto"/>
                          </w:divBdr>
                          <w:divsChild>
                            <w:div w:id="530726966">
                              <w:marLeft w:val="0"/>
                              <w:marRight w:val="0"/>
                              <w:marTop w:val="0"/>
                              <w:marBottom w:val="0"/>
                              <w:divBdr>
                                <w:top w:val="none" w:sz="0" w:space="0" w:color="auto"/>
                                <w:left w:val="none" w:sz="0" w:space="0" w:color="auto"/>
                                <w:bottom w:val="none" w:sz="0" w:space="0" w:color="auto"/>
                                <w:right w:val="none" w:sz="0" w:space="0" w:color="auto"/>
                              </w:divBdr>
                              <w:divsChild>
                                <w:div w:id="1455556169">
                                  <w:marLeft w:val="0"/>
                                  <w:marRight w:val="0"/>
                                  <w:marTop w:val="0"/>
                                  <w:marBottom w:val="0"/>
                                  <w:divBdr>
                                    <w:top w:val="none" w:sz="0" w:space="0" w:color="auto"/>
                                    <w:left w:val="none" w:sz="0" w:space="0" w:color="auto"/>
                                    <w:bottom w:val="none" w:sz="0" w:space="0" w:color="auto"/>
                                    <w:right w:val="none" w:sz="0" w:space="0" w:color="auto"/>
                                  </w:divBdr>
                                  <w:divsChild>
                                    <w:div w:id="602802272">
                                      <w:marLeft w:val="0"/>
                                      <w:marRight w:val="0"/>
                                      <w:marTop w:val="0"/>
                                      <w:marBottom w:val="0"/>
                                      <w:divBdr>
                                        <w:top w:val="none" w:sz="0" w:space="0" w:color="auto"/>
                                        <w:left w:val="none" w:sz="0" w:space="0" w:color="auto"/>
                                        <w:bottom w:val="none" w:sz="0" w:space="0" w:color="auto"/>
                                        <w:right w:val="none" w:sz="0" w:space="0" w:color="auto"/>
                                      </w:divBdr>
                                      <w:divsChild>
                                        <w:div w:id="1090078169">
                                          <w:marLeft w:val="0"/>
                                          <w:marRight w:val="0"/>
                                          <w:marTop w:val="0"/>
                                          <w:marBottom w:val="0"/>
                                          <w:divBdr>
                                            <w:top w:val="none" w:sz="0" w:space="0" w:color="auto"/>
                                            <w:left w:val="none" w:sz="0" w:space="0" w:color="auto"/>
                                            <w:bottom w:val="none" w:sz="0" w:space="0" w:color="auto"/>
                                            <w:right w:val="none" w:sz="0" w:space="0" w:color="auto"/>
                                          </w:divBdr>
                                          <w:divsChild>
                                            <w:div w:id="423847458">
                                              <w:marLeft w:val="0"/>
                                              <w:marRight w:val="0"/>
                                              <w:marTop w:val="0"/>
                                              <w:marBottom w:val="0"/>
                                              <w:divBdr>
                                                <w:top w:val="none" w:sz="0" w:space="0" w:color="auto"/>
                                                <w:left w:val="none" w:sz="0" w:space="0" w:color="auto"/>
                                                <w:bottom w:val="none" w:sz="0" w:space="0" w:color="auto"/>
                                                <w:right w:val="none" w:sz="0" w:space="0" w:color="auto"/>
                                              </w:divBdr>
                                              <w:divsChild>
                                                <w:div w:id="965040208">
                                                  <w:marLeft w:val="0"/>
                                                  <w:marRight w:val="0"/>
                                                  <w:marTop w:val="0"/>
                                                  <w:marBottom w:val="0"/>
                                                  <w:divBdr>
                                                    <w:top w:val="none" w:sz="0" w:space="0" w:color="auto"/>
                                                    <w:left w:val="none" w:sz="0" w:space="0" w:color="auto"/>
                                                    <w:bottom w:val="none" w:sz="0" w:space="0" w:color="auto"/>
                                                    <w:right w:val="none" w:sz="0" w:space="0" w:color="auto"/>
                                                  </w:divBdr>
                                                  <w:divsChild>
                                                    <w:div w:id="1606384003">
                                                      <w:marLeft w:val="0"/>
                                                      <w:marRight w:val="0"/>
                                                      <w:marTop w:val="0"/>
                                                      <w:marBottom w:val="0"/>
                                                      <w:divBdr>
                                                        <w:top w:val="none" w:sz="0" w:space="0" w:color="auto"/>
                                                        <w:left w:val="none" w:sz="0" w:space="0" w:color="auto"/>
                                                        <w:bottom w:val="none" w:sz="0" w:space="0" w:color="auto"/>
                                                        <w:right w:val="none" w:sz="0" w:space="0" w:color="auto"/>
                                                      </w:divBdr>
                                                      <w:divsChild>
                                                        <w:div w:id="1182739758">
                                                          <w:marLeft w:val="0"/>
                                                          <w:marRight w:val="0"/>
                                                          <w:marTop w:val="0"/>
                                                          <w:marBottom w:val="0"/>
                                                          <w:divBdr>
                                                            <w:top w:val="none" w:sz="0" w:space="0" w:color="auto"/>
                                                            <w:left w:val="none" w:sz="0" w:space="0" w:color="auto"/>
                                                            <w:bottom w:val="none" w:sz="0" w:space="0" w:color="auto"/>
                                                            <w:right w:val="none" w:sz="0" w:space="0" w:color="auto"/>
                                                          </w:divBdr>
                                                          <w:divsChild>
                                                            <w:div w:id="1581328595">
                                                              <w:marLeft w:val="0"/>
                                                              <w:marRight w:val="0"/>
                                                              <w:marTop w:val="0"/>
                                                              <w:marBottom w:val="0"/>
                                                              <w:divBdr>
                                                                <w:top w:val="none" w:sz="0" w:space="0" w:color="auto"/>
                                                                <w:left w:val="none" w:sz="0" w:space="0" w:color="auto"/>
                                                                <w:bottom w:val="none" w:sz="0" w:space="0" w:color="auto"/>
                                                                <w:right w:val="none" w:sz="0" w:space="0" w:color="auto"/>
                                                              </w:divBdr>
                                                              <w:divsChild>
                                                                <w:div w:id="1899853177">
                                                                  <w:marLeft w:val="0"/>
                                                                  <w:marRight w:val="0"/>
                                                                  <w:marTop w:val="0"/>
                                                                  <w:marBottom w:val="0"/>
                                                                  <w:divBdr>
                                                                    <w:top w:val="none" w:sz="0" w:space="0" w:color="auto"/>
                                                                    <w:left w:val="none" w:sz="0" w:space="0" w:color="auto"/>
                                                                    <w:bottom w:val="none" w:sz="0" w:space="0" w:color="auto"/>
                                                                    <w:right w:val="none" w:sz="0" w:space="0" w:color="auto"/>
                                                                  </w:divBdr>
                                                                  <w:divsChild>
                                                                    <w:div w:id="16961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3591401">
      <w:bodyDiv w:val="1"/>
      <w:marLeft w:val="0"/>
      <w:marRight w:val="0"/>
      <w:marTop w:val="0"/>
      <w:marBottom w:val="0"/>
      <w:divBdr>
        <w:top w:val="none" w:sz="0" w:space="0" w:color="auto"/>
        <w:left w:val="none" w:sz="0" w:space="0" w:color="auto"/>
        <w:bottom w:val="none" w:sz="0" w:space="0" w:color="auto"/>
        <w:right w:val="none" w:sz="0" w:space="0" w:color="auto"/>
      </w:divBdr>
    </w:div>
    <w:div w:id="777992032">
      <w:bodyDiv w:val="1"/>
      <w:marLeft w:val="0"/>
      <w:marRight w:val="0"/>
      <w:marTop w:val="0"/>
      <w:marBottom w:val="0"/>
      <w:divBdr>
        <w:top w:val="none" w:sz="0" w:space="0" w:color="auto"/>
        <w:left w:val="none" w:sz="0" w:space="0" w:color="auto"/>
        <w:bottom w:val="none" w:sz="0" w:space="0" w:color="auto"/>
        <w:right w:val="none" w:sz="0" w:space="0" w:color="auto"/>
      </w:divBdr>
    </w:div>
    <w:div w:id="782455594">
      <w:bodyDiv w:val="1"/>
      <w:marLeft w:val="0"/>
      <w:marRight w:val="0"/>
      <w:marTop w:val="0"/>
      <w:marBottom w:val="0"/>
      <w:divBdr>
        <w:top w:val="none" w:sz="0" w:space="0" w:color="auto"/>
        <w:left w:val="none" w:sz="0" w:space="0" w:color="auto"/>
        <w:bottom w:val="none" w:sz="0" w:space="0" w:color="auto"/>
        <w:right w:val="none" w:sz="0" w:space="0" w:color="auto"/>
      </w:divBdr>
    </w:div>
    <w:div w:id="792404625">
      <w:bodyDiv w:val="1"/>
      <w:marLeft w:val="0"/>
      <w:marRight w:val="0"/>
      <w:marTop w:val="0"/>
      <w:marBottom w:val="0"/>
      <w:divBdr>
        <w:top w:val="none" w:sz="0" w:space="0" w:color="auto"/>
        <w:left w:val="none" w:sz="0" w:space="0" w:color="auto"/>
        <w:bottom w:val="none" w:sz="0" w:space="0" w:color="auto"/>
        <w:right w:val="none" w:sz="0" w:space="0" w:color="auto"/>
      </w:divBdr>
    </w:div>
    <w:div w:id="793476548">
      <w:bodyDiv w:val="1"/>
      <w:marLeft w:val="0"/>
      <w:marRight w:val="0"/>
      <w:marTop w:val="0"/>
      <w:marBottom w:val="0"/>
      <w:divBdr>
        <w:top w:val="none" w:sz="0" w:space="0" w:color="auto"/>
        <w:left w:val="none" w:sz="0" w:space="0" w:color="auto"/>
        <w:bottom w:val="none" w:sz="0" w:space="0" w:color="auto"/>
        <w:right w:val="none" w:sz="0" w:space="0" w:color="auto"/>
      </w:divBdr>
      <w:divsChild>
        <w:div w:id="1016345511">
          <w:marLeft w:val="0"/>
          <w:marRight w:val="0"/>
          <w:marTop w:val="0"/>
          <w:marBottom w:val="0"/>
          <w:divBdr>
            <w:top w:val="none" w:sz="0" w:space="0" w:color="auto"/>
            <w:left w:val="none" w:sz="0" w:space="0" w:color="auto"/>
            <w:bottom w:val="none" w:sz="0" w:space="0" w:color="auto"/>
            <w:right w:val="none" w:sz="0" w:space="0" w:color="auto"/>
          </w:divBdr>
        </w:div>
        <w:div w:id="422654028">
          <w:marLeft w:val="0"/>
          <w:marRight w:val="0"/>
          <w:marTop w:val="0"/>
          <w:marBottom w:val="0"/>
          <w:divBdr>
            <w:top w:val="none" w:sz="0" w:space="0" w:color="auto"/>
            <w:left w:val="none" w:sz="0" w:space="0" w:color="auto"/>
            <w:bottom w:val="none" w:sz="0" w:space="0" w:color="auto"/>
            <w:right w:val="none" w:sz="0" w:space="0" w:color="auto"/>
          </w:divBdr>
        </w:div>
        <w:div w:id="1856262414">
          <w:marLeft w:val="0"/>
          <w:marRight w:val="0"/>
          <w:marTop w:val="0"/>
          <w:marBottom w:val="0"/>
          <w:divBdr>
            <w:top w:val="none" w:sz="0" w:space="0" w:color="auto"/>
            <w:left w:val="none" w:sz="0" w:space="0" w:color="auto"/>
            <w:bottom w:val="none" w:sz="0" w:space="0" w:color="auto"/>
            <w:right w:val="none" w:sz="0" w:space="0" w:color="auto"/>
          </w:divBdr>
        </w:div>
      </w:divsChild>
    </w:div>
    <w:div w:id="793600288">
      <w:bodyDiv w:val="1"/>
      <w:marLeft w:val="0"/>
      <w:marRight w:val="0"/>
      <w:marTop w:val="0"/>
      <w:marBottom w:val="0"/>
      <w:divBdr>
        <w:top w:val="none" w:sz="0" w:space="0" w:color="auto"/>
        <w:left w:val="none" w:sz="0" w:space="0" w:color="auto"/>
        <w:bottom w:val="none" w:sz="0" w:space="0" w:color="auto"/>
        <w:right w:val="none" w:sz="0" w:space="0" w:color="auto"/>
      </w:divBdr>
    </w:div>
    <w:div w:id="794715018">
      <w:bodyDiv w:val="1"/>
      <w:marLeft w:val="0"/>
      <w:marRight w:val="0"/>
      <w:marTop w:val="0"/>
      <w:marBottom w:val="0"/>
      <w:divBdr>
        <w:top w:val="none" w:sz="0" w:space="0" w:color="auto"/>
        <w:left w:val="none" w:sz="0" w:space="0" w:color="auto"/>
        <w:bottom w:val="none" w:sz="0" w:space="0" w:color="auto"/>
        <w:right w:val="none" w:sz="0" w:space="0" w:color="auto"/>
      </w:divBdr>
    </w:div>
    <w:div w:id="817500834">
      <w:bodyDiv w:val="1"/>
      <w:marLeft w:val="0"/>
      <w:marRight w:val="0"/>
      <w:marTop w:val="0"/>
      <w:marBottom w:val="0"/>
      <w:divBdr>
        <w:top w:val="none" w:sz="0" w:space="0" w:color="auto"/>
        <w:left w:val="none" w:sz="0" w:space="0" w:color="auto"/>
        <w:bottom w:val="none" w:sz="0" w:space="0" w:color="auto"/>
        <w:right w:val="none" w:sz="0" w:space="0" w:color="auto"/>
      </w:divBdr>
    </w:div>
    <w:div w:id="826046639">
      <w:bodyDiv w:val="1"/>
      <w:marLeft w:val="0"/>
      <w:marRight w:val="0"/>
      <w:marTop w:val="0"/>
      <w:marBottom w:val="0"/>
      <w:divBdr>
        <w:top w:val="none" w:sz="0" w:space="0" w:color="auto"/>
        <w:left w:val="none" w:sz="0" w:space="0" w:color="auto"/>
        <w:bottom w:val="none" w:sz="0" w:space="0" w:color="auto"/>
        <w:right w:val="none" w:sz="0" w:space="0" w:color="auto"/>
      </w:divBdr>
    </w:div>
    <w:div w:id="826633560">
      <w:bodyDiv w:val="1"/>
      <w:marLeft w:val="0"/>
      <w:marRight w:val="0"/>
      <w:marTop w:val="0"/>
      <w:marBottom w:val="0"/>
      <w:divBdr>
        <w:top w:val="none" w:sz="0" w:space="0" w:color="auto"/>
        <w:left w:val="none" w:sz="0" w:space="0" w:color="auto"/>
        <w:bottom w:val="none" w:sz="0" w:space="0" w:color="auto"/>
        <w:right w:val="none" w:sz="0" w:space="0" w:color="auto"/>
      </w:divBdr>
    </w:div>
    <w:div w:id="831876140">
      <w:bodyDiv w:val="1"/>
      <w:marLeft w:val="0"/>
      <w:marRight w:val="0"/>
      <w:marTop w:val="0"/>
      <w:marBottom w:val="0"/>
      <w:divBdr>
        <w:top w:val="none" w:sz="0" w:space="0" w:color="auto"/>
        <w:left w:val="none" w:sz="0" w:space="0" w:color="auto"/>
        <w:bottom w:val="none" w:sz="0" w:space="0" w:color="auto"/>
        <w:right w:val="none" w:sz="0" w:space="0" w:color="auto"/>
      </w:divBdr>
    </w:div>
    <w:div w:id="834300720">
      <w:bodyDiv w:val="1"/>
      <w:marLeft w:val="0"/>
      <w:marRight w:val="0"/>
      <w:marTop w:val="0"/>
      <w:marBottom w:val="0"/>
      <w:divBdr>
        <w:top w:val="none" w:sz="0" w:space="0" w:color="auto"/>
        <w:left w:val="none" w:sz="0" w:space="0" w:color="auto"/>
        <w:bottom w:val="none" w:sz="0" w:space="0" w:color="auto"/>
        <w:right w:val="none" w:sz="0" w:space="0" w:color="auto"/>
      </w:divBdr>
    </w:div>
    <w:div w:id="868298553">
      <w:bodyDiv w:val="1"/>
      <w:marLeft w:val="0"/>
      <w:marRight w:val="0"/>
      <w:marTop w:val="0"/>
      <w:marBottom w:val="0"/>
      <w:divBdr>
        <w:top w:val="none" w:sz="0" w:space="0" w:color="auto"/>
        <w:left w:val="none" w:sz="0" w:space="0" w:color="auto"/>
        <w:bottom w:val="none" w:sz="0" w:space="0" w:color="auto"/>
        <w:right w:val="none" w:sz="0" w:space="0" w:color="auto"/>
      </w:divBdr>
    </w:div>
    <w:div w:id="872158546">
      <w:bodyDiv w:val="1"/>
      <w:marLeft w:val="0"/>
      <w:marRight w:val="0"/>
      <w:marTop w:val="0"/>
      <w:marBottom w:val="0"/>
      <w:divBdr>
        <w:top w:val="none" w:sz="0" w:space="0" w:color="auto"/>
        <w:left w:val="none" w:sz="0" w:space="0" w:color="auto"/>
        <w:bottom w:val="none" w:sz="0" w:space="0" w:color="auto"/>
        <w:right w:val="none" w:sz="0" w:space="0" w:color="auto"/>
      </w:divBdr>
    </w:div>
    <w:div w:id="872958409">
      <w:bodyDiv w:val="1"/>
      <w:marLeft w:val="0"/>
      <w:marRight w:val="0"/>
      <w:marTop w:val="0"/>
      <w:marBottom w:val="0"/>
      <w:divBdr>
        <w:top w:val="none" w:sz="0" w:space="0" w:color="auto"/>
        <w:left w:val="none" w:sz="0" w:space="0" w:color="auto"/>
        <w:bottom w:val="none" w:sz="0" w:space="0" w:color="auto"/>
        <w:right w:val="none" w:sz="0" w:space="0" w:color="auto"/>
      </w:divBdr>
    </w:div>
    <w:div w:id="876115916">
      <w:bodyDiv w:val="1"/>
      <w:marLeft w:val="0"/>
      <w:marRight w:val="0"/>
      <w:marTop w:val="0"/>
      <w:marBottom w:val="0"/>
      <w:divBdr>
        <w:top w:val="none" w:sz="0" w:space="0" w:color="auto"/>
        <w:left w:val="none" w:sz="0" w:space="0" w:color="auto"/>
        <w:bottom w:val="none" w:sz="0" w:space="0" w:color="auto"/>
        <w:right w:val="none" w:sz="0" w:space="0" w:color="auto"/>
      </w:divBdr>
    </w:div>
    <w:div w:id="919633136">
      <w:bodyDiv w:val="1"/>
      <w:marLeft w:val="0"/>
      <w:marRight w:val="0"/>
      <w:marTop w:val="0"/>
      <w:marBottom w:val="0"/>
      <w:divBdr>
        <w:top w:val="none" w:sz="0" w:space="0" w:color="auto"/>
        <w:left w:val="none" w:sz="0" w:space="0" w:color="auto"/>
        <w:bottom w:val="none" w:sz="0" w:space="0" w:color="auto"/>
        <w:right w:val="none" w:sz="0" w:space="0" w:color="auto"/>
      </w:divBdr>
    </w:div>
    <w:div w:id="938871266">
      <w:bodyDiv w:val="1"/>
      <w:marLeft w:val="0"/>
      <w:marRight w:val="0"/>
      <w:marTop w:val="0"/>
      <w:marBottom w:val="0"/>
      <w:divBdr>
        <w:top w:val="none" w:sz="0" w:space="0" w:color="auto"/>
        <w:left w:val="none" w:sz="0" w:space="0" w:color="auto"/>
        <w:bottom w:val="none" w:sz="0" w:space="0" w:color="auto"/>
        <w:right w:val="none" w:sz="0" w:space="0" w:color="auto"/>
      </w:divBdr>
      <w:divsChild>
        <w:div w:id="431629259">
          <w:marLeft w:val="0"/>
          <w:marRight w:val="30"/>
          <w:marTop w:val="0"/>
          <w:marBottom w:val="0"/>
          <w:divBdr>
            <w:top w:val="none" w:sz="0" w:space="0" w:color="auto"/>
            <w:left w:val="none" w:sz="0" w:space="0" w:color="auto"/>
            <w:bottom w:val="none" w:sz="0" w:space="0" w:color="auto"/>
            <w:right w:val="none" w:sz="0" w:space="0" w:color="auto"/>
          </w:divBdr>
        </w:div>
      </w:divsChild>
    </w:div>
    <w:div w:id="961038042">
      <w:bodyDiv w:val="1"/>
      <w:marLeft w:val="0"/>
      <w:marRight w:val="0"/>
      <w:marTop w:val="0"/>
      <w:marBottom w:val="0"/>
      <w:divBdr>
        <w:top w:val="none" w:sz="0" w:space="0" w:color="auto"/>
        <w:left w:val="none" w:sz="0" w:space="0" w:color="auto"/>
        <w:bottom w:val="none" w:sz="0" w:space="0" w:color="auto"/>
        <w:right w:val="none" w:sz="0" w:space="0" w:color="auto"/>
      </w:divBdr>
    </w:div>
    <w:div w:id="967517043">
      <w:bodyDiv w:val="1"/>
      <w:marLeft w:val="0"/>
      <w:marRight w:val="0"/>
      <w:marTop w:val="0"/>
      <w:marBottom w:val="0"/>
      <w:divBdr>
        <w:top w:val="none" w:sz="0" w:space="0" w:color="auto"/>
        <w:left w:val="none" w:sz="0" w:space="0" w:color="auto"/>
        <w:bottom w:val="none" w:sz="0" w:space="0" w:color="auto"/>
        <w:right w:val="none" w:sz="0" w:space="0" w:color="auto"/>
      </w:divBdr>
    </w:div>
    <w:div w:id="975404527">
      <w:bodyDiv w:val="1"/>
      <w:marLeft w:val="0"/>
      <w:marRight w:val="0"/>
      <w:marTop w:val="0"/>
      <w:marBottom w:val="0"/>
      <w:divBdr>
        <w:top w:val="none" w:sz="0" w:space="0" w:color="auto"/>
        <w:left w:val="none" w:sz="0" w:space="0" w:color="auto"/>
        <w:bottom w:val="none" w:sz="0" w:space="0" w:color="auto"/>
        <w:right w:val="none" w:sz="0" w:space="0" w:color="auto"/>
      </w:divBdr>
    </w:div>
    <w:div w:id="979382475">
      <w:bodyDiv w:val="1"/>
      <w:marLeft w:val="0"/>
      <w:marRight w:val="0"/>
      <w:marTop w:val="0"/>
      <w:marBottom w:val="0"/>
      <w:divBdr>
        <w:top w:val="none" w:sz="0" w:space="0" w:color="auto"/>
        <w:left w:val="none" w:sz="0" w:space="0" w:color="auto"/>
        <w:bottom w:val="none" w:sz="0" w:space="0" w:color="auto"/>
        <w:right w:val="none" w:sz="0" w:space="0" w:color="auto"/>
      </w:divBdr>
    </w:div>
    <w:div w:id="988051336">
      <w:bodyDiv w:val="1"/>
      <w:marLeft w:val="0"/>
      <w:marRight w:val="0"/>
      <w:marTop w:val="0"/>
      <w:marBottom w:val="0"/>
      <w:divBdr>
        <w:top w:val="none" w:sz="0" w:space="0" w:color="auto"/>
        <w:left w:val="none" w:sz="0" w:space="0" w:color="auto"/>
        <w:bottom w:val="none" w:sz="0" w:space="0" w:color="auto"/>
        <w:right w:val="none" w:sz="0" w:space="0" w:color="auto"/>
      </w:divBdr>
      <w:divsChild>
        <w:div w:id="970598637">
          <w:marLeft w:val="0"/>
          <w:marRight w:val="0"/>
          <w:marTop w:val="0"/>
          <w:marBottom w:val="0"/>
          <w:divBdr>
            <w:top w:val="none" w:sz="0" w:space="0" w:color="auto"/>
            <w:left w:val="none" w:sz="0" w:space="0" w:color="auto"/>
            <w:bottom w:val="none" w:sz="0" w:space="0" w:color="auto"/>
            <w:right w:val="none" w:sz="0" w:space="0" w:color="auto"/>
          </w:divBdr>
          <w:divsChild>
            <w:div w:id="348220375">
              <w:marLeft w:val="0"/>
              <w:marRight w:val="0"/>
              <w:marTop w:val="0"/>
              <w:marBottom w:val="0"/>
              <w:divBdr>
                <w:top w:val="none" w:sz="0" w:space="0" w:color="auto"/>
                <w:left w:val="none" w:sz="0" w:space="0" w:color="auto"/>
                <w:bottom w:val="none" w:sz="0" w:space="0" w:color="auto"/>
                <w:right w:val="none" w:sz="0" w:space="0" w:color="auto"/>
              </w:divBdr>
              <w:divsChild>
                <w:div w:id="32313582">
                  <w:marLeft w:val="0"/>
                  <w:marRight w:val="0"/>
                  <w:marTop w:val="0"/>
                  <w:marBottom w:val="0"/>
                  <w:divBdr>
                    <w:top w:val="none" w:sz="0" w:space="0" w:color="auto"/>
                    <w:left w:val="none" w:sz="0" w:space="0" w:color="auto"/>
                    <w:bottom w:val="none" w:sz="0" w:space="0" w:color="auto"/>
                    <w:right w:val="none" w:sz="0" w:space="0" w:color="auto"/>
                  </w:divBdr>
                  <w:divsChild>
                    <w:div w:id="113522845">
                      <w:marLeft w:val="0"/>
                      <w:marRight w:val="0"/>
                      <w:marTop w:val="0"/>
                      <w:marBottom w:val="0"/>
                      <w:divBdr>
                        <w:top w:val="none" w:sz="0" w:space="0" w:color="auto"/>
                        <w:left w:val="none" w:sz="0" w:space="0" w:color="auto"/>
                        <w:bottom w:val="none" w:sz="0" w:space="0" w:color="auto"/>
                        <w:right w:val="none" w:sz="0" w:space="0" w:color="auto"/>
                      </w:divBdr>
                      <w:divsChild>
                        <w:div w:id="731197236">
                          <w:marLeft w:val="0"/>
                          <w:marRight w:val="0"/>
                          <w:marTop w:val="0"/>
                          <w:marBottom w:val="0"/>
                          <w:divBdr>
                            <w:top w:val="none" w:sz="0" w:space="0" w:color="auto"/>
                            <w:left w:val="none" w:sz="0" w:space="0" w:color="auto"/>
                            <w:bottom w:val="none" w:sz="0" w:space="0" w:color="auto"/>
                            <w:right w:val="none" w:sz="0" w:space="0" w:color="auto"/>
                          </w:divBdr>
                          <w:divsChild>
                            <w:div w:id="544946508">
                              <w:marLeft w:val="0"/>
                              <w:marRight w:val="0"/>
                              <w:marTop w:val="0"/>
                              <w:marBottom w:val="0"/>
                              <w:divBdr>
                                <w:top w:val="none" w:sz="0" w:space="0" w:color="auto"/>
                                <w:left w:val="none" w:sz="0" w:space="0" w:color="auto"/>
                                <w:bottom w:val="none" w:sz="0" w:space="0" w:color="auto"/>
                                <w:right w:val="none" w:sz="0" w:space="0" w:color="auto"/>
                              </w:divBdr>
                              <w:divsChild>
                                <w:div w:id="1033921791">
                                  <w:marLeft w:val="0"/>
                                  <w:marRight w:val="0"/>
                                  <w:marTop w:val="0"/>
                                  <w:marBottom w:val="0"/>
                                  <w:divBdr>
                                    <w:top w:val="none" w:sz="0" w:space="0" w:color="auto"/>
                                    <w:left w:val="none" w:sz="0" w:space="0" w:color="auto"/>
                                    <w:bottom w:val="none" w:sz="0" w:space="0" w:color="auto"/>
                                    <w:right w:val="none" w:sz="0" w:space="0" w:color="auto"/>
                                  </w:divBdr>
                                  <w:divsChild>
                                    <w:div w:id="1271015662">
                                      <w:marLeft w:val="0"/>
                                      <w:marRight w:val="0"/>
                                      <w:marTop w:val="0"/>
                                      <w:marBottom w:val="0"/>
                                      <w:divBdr>
                                        <w:top w:val="none" w:sz="0" w:space="0" w:color="auto"/>
                                        <w:left w:val="none" w:sz="0" w:space="0" w:color="auto"/>
                                        <w:bottom w:val="none" w:sz="0" w:space="0" w:color="auto"/>
                                        <w:right w:val="none" w:sz="0" w:space="0" w:color="auto"/>
                                      </w:divBdr>
                                      <w:divsChild>
                                        <w:div w:id="1794210353">
                                          <w:marLeft w:val="0"/>
                                          <w:marRight w:val="0"/>
                                          <w:marTop w:val="0"/>
                                          <w:marBottom w:val="0"/>
                                          <w:divBdr>
                                            <w:top w:val="none" w:sz="0" w:space="0" w:color="auto"/>
                                            <w:left w:val="none" w:sz="0" w:space="0" w:color="auto"/>
                                            <w:bottom w:val="none" w:sz="0" w:space="0" w:color="auto"/>
                                            <w:right w:val="none" w:sz="0" w:space="0" w:color="auto"/>
                                          </w:divBdr>
                                          <w:divsChild>
                                            <w:div w:id="369234271">
                                              <w:marLeft w:val="0"/>
                                              <w:marRight w:val="0"/>
                                              <w:marTop w:val="0"/>
                                              <w:marBottom w:val="0"/>
                                              <w:divBdr>
                                                <w:top w:val="none" w:sz="0" w:space="0" w:color="auto"/>
                                                <w:left w:val="none" w:sz="0" w:space="0" w:color="auto"/>
                                                <w:bottom w:val="none" w:sz="0" w:space="0" w:color="auto"/>
                                                <w:right w:val="none" w:sz="0" w:space="0" w:color="auto"/>
                                              </w:divBdr>
                                              <w:divsChild>
                                                <w:div w:id="450131690">
                                                  <w:marLeft w:val="0"/>
                                                  <w:marRight w:val="0"/>
                                                  <w:marTop w:val="0"/>
                                                  <w:marBottom w:val="0"/>
                                                  <w:divBdr>
                                                    <w:top w:val="none" w:sz="0" w:space="0" w:color="auto"/>
                                                    <w:left w:val="none" w:sz="0" w:space="0" w:color="auto"/>
                                                    <w:bottom w:val="none" w:sz="0" w:space="0" w:color="auto"/>
                                                    <w:right w:val="none" w:sz="0" w:space="0" w:color="auto"/>
                                                  </w:divBdr>
                                                  <w:divsChild>
                                                    <w:div w:id="318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374216">
          <w:marLeft w:val="0"/>
          <w:marRight w:val="0"/>
          <w:marTop w:val="0"/>
          <w:marBottom w:val="0"/>
          <w:divBdr>
            <w:top w:val="none" w:sz="0" w:space="0" w:color="auto"/>
            <w:left w:val="none" w:sz="0" w:space="0" w:color="auto"/>
            <w:bottom w:val="none" w:sz="0" w:space="0" w:color="auto"/>
            <w:right w:val="none" w:sz="0" w:space="0" w:color="auto"/>
          </w:divBdr>
          <w:divsChild>
            <w:div w:id="128136412">
              <w:marLeft w:val="0"/>
              <w:marRight w:val="0"/>
              <w:marTop w:val="0"/>
              <w:marBottom w:val="0"/>
              <w:divBdr>
                <w:top w:val="none" w:sz="0" w:space="0" w:color="auto"/>
                <w:left w:val="none" w:sz="0" w:space="0" w:color="auto"/>
                <w:bottom w:val="none" w:sz="0" w:space="0" w:color="auto"/>
                <w:right w:val="none" w:sz="0" w:space="0" w:color="auto"/>
              </w:divBdr>
              <w:divsChild>
                <w:div w:id="1879513387">
                  <w:marLeft w:val="0"/>
                  <w:marRight w:val="0"/>
                  <w:marTop w:val="0"/>
                  <w:marBottom w:val="0"/>
                  <w:divBdr>
                    <w:top w:val="none" w:sz="0" w:space="0" w:color="auto"/>
                    <w:left w:val="none" w:sz="0" w:space="0" w:color="auto"/>
                    <w:bottom w:val="none" w:sz="0" w:space="0" w:color="auto"/>
                    <w:right w:val="none" w:sz="0" w:space="0" w:color="auto"/>
                  </w:divBdr>
                  <w:divsChild>
                    <w:div w:id="1555119875">
                      <w:marLeft w:val="0"/>
                      <w:marRight w:val="0"/>
                      <w:marTop w:val="0"/>
                      <w:marBottom w:val="0"/>
                      <w:divBdr>
                        <w:top w:val="none" w:sz="0" w:space="0" w:color="auto"/>
                        <w:left w:val="none" w:sz="0" w:space="0" w:color="auto"/>
                        <w:bottom w:val="none" w:sz="0" w:space="0" w:color="auto"/>
                        <w:right w:val="none" w:sz="0" w:space="0" w:color="auto"/>
                      </w:divBdr>
                      <w:divsChild>
                        <w:div w:id="1959415225">
                          <w:marLeft w:val="0"/>
                          <w:marRight w:val="0"/>
                          <w:marTop w:val="0"/>
                          <w:marBottom w:val="0"/>
                          <w:divBdr>
                            <w:top w:val="none" w:sz="0" w:space="0" w:color="auto"/>
                            <w:left w:val="none" w:sz="0" w:space="0" w:color="auto"/>
                            <w:bottom w:val="none" w:sz="0" w:space="0" w:color="auto"/>
                            <w:right w:val="none" w:sz="0" w:space="0" w:color="auto"/>
                          </w:divBdr>
                          <w:divsChild>
                            <w:div w:id="1639066116">
                              <w:marLeft w:val="0"/>
                              <w:marRight w:val="0"/>
                              <w:marTop w:val="0"/>
                              <w:marBottom w:val="0"/>
                              <w:divBdr>
                                <w:top w:val="none" w:sz="0" w:space="0" w:color="auto"/>
                                <w:left w:val="none" w:sz="0" w:space="0" w:color="auto"/>
                                <w:bottom w:val="none" w:sz="0" w:space="0" w:color="auto"/>
                                <w:right w:val="none" w:sz="0" w:space="0" w:color="auto"/>
                              </w:divBdr>
                              <w:divsChild>
                                <w:div w:id="287399485">
                                  <w:marLeft w:val="0"/>
                                  <w:marRight w:val="0"/>
                                  <w:marTop w:val="0"/>
                                  <w:marBottom w:val="0"/>
                                  <w:divBdr>
                                    <w:top w:val="none" w:sz="0" w:space="0" w:color="auto"/>
                                    <w:left w:val="none" w:sz="0" w:space="0" w:color="auto"/>
                                    <w:bottom w:val="none" w:sz="0" w:space="0" w:color="auto"/>
                                    <w:right w:val="none" w:sz="0" w:space="0" w:color="auto"/>
                                  </w:divBdr>
                                  <w:divsChild>
                                    <w:div w:id="2367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287890">
      <w:bodyDiv w:val="1"/>
      <w:marLeft w:val="0"/>
      <w:marRight w:val="0"/>
      <w:marTop w:val="0"/>
      <w:marBottom w:val="0"/>
      <w:divBdr>
        <w:top w:val="none" w:sz="0" w:space="0" w:color="auto"/>
        <w:left w:val="none" w:sz="0" w:space="0" w:color="auto"/>
        <w:bottom w:val="none" w:sz="0" w:space="0" w:color="auto"/>
        <w:right w:val="none" w:sz="0" w:space="0" w:color="auto"/>
      </w:divBdr>
    </w:div>
    <w:div w:id="1024592545">
      <w:bodyDiv w:val="1"/>
      <w:marLeft w:val="0"/>
      <w:marRight w:val="0"/>
      <w:marTop w:val="0"/>
      <w:marBottom w:val="0"/>
      <w:divBdr>
        <w:top w:val="none" w:sz="0" w:space="0" w:color="auto"/>
        <w:left w:val="none" w:sz="0" w:space="0" w:color="auto"/>
        <w:bottom w:val="none" w:sz="0" w:space="0" w:color="auto"/>
        <w:right w:val="none" w:sz="0" w:space="0" w:color="auto"/>
      </w:divBdr>
    </w:div>
    <w:div w:id="1070038094">
      <w:bodyDiv w:val="1"/>
      <w:marLeft w:val="0"/>
      <w:marRight w:val="0"/>
      <w:marTop w:val="0"/>
      <w:marBottom w:val="0"/>
      <w:divBdr>
        <w:top w:val="none" w:sz="0" w:space="0" w:color="auto"/>
        <w:left w:val="none" w:sz="0" w:space="0" w:color="auto"/>
        <w:bottom w:val="none" w:sz="0" w:space="0" w:color="auto"/>
        <w:right w:val="none" w:sz="0" w:space="0" w:color="auto"/>
      </w:divBdr>
    </w:div>
    <w:div w:id="1084838545">
      <w:bodyDiv w:val="1"/>
      <w:marLeft w:val="0"/>
      <w:marRight w:val="0"/>
      <w:marTop w:val="0"/>
      <w:marBottom w:val="0"/>
      <w:divBdr>
        <w:top w:val="none" w:sz="0" w:space="0" w:color="auto"/>
        <w:left w:val="none" w:sz="0" w:space="0" w:color="auto"/>
        <w:bottom w:val="none" w:sz="0" w:space="0" w:color="auto"/>
        <w:right w:val="none" w:sz="0" w:space="0" w:color="auto"/>
      </w:divBdr>
    </w:div>
    <w:div w:id="1087535729">
      <w:bodyDiv w:val="1"/>
      <w:marLeft w:val="0"/>
      <w:marRight w:val="0"/>
      <w:marTop w:val="0"/>
      <w:marBottom w:val="0"/>
      <w:divBdr>
        <w:top w:val="none" w:sz="0" w:space="0" w:color="auto"/>
        <w:left w:val="none" w:sz="0" w:space="0" w:color="auto"/>
        <w:bottom w:val="none" w:sz="0" w:space="0" w:color="auto"/>
        <w:right w:val="none" w:sz="0" w:space="0" w:color="auto"/>
      </w:divBdr>
    </w:div>
    <w:div w:id="1144008985">
      <w:bodyDiv w:val="1"/>
      <w:marLeft w:val="0"/>
      <w:marRight w:val="0"/>
      <w:marTop w:val="0"/>
      <w:marBottom w:val="0"/>
      <w:divBdr>
        <w:top w:val="none" w:sz="0" w:space="0" w:color="auto"/>
        <w:left w:val="none" w:sz="0" w:space="0" w:color="auto"/>
        <w:bottom w:val="none" w:sz="0" w:space="0" w:color="auto"/>
        <w:right w:val="none" w:sz="0" w:space="0" w:color="auto"/>
      </w:divBdr>
    </w:div>
    <w:div w:id="1147894629">
      <w:bodyDiv w:val="1"/>
      <w:marLeft w:val="0"/>
      <w:marRight w:val="0"/>
      <w:marTop w:val="0"/>
      <w:marBottom w:val="0"/>
      <w:divBdr>
        <w:top w:val="none" w:sz="0" w:space="0" w:color="auto"/>
        <w:left w:val="none" w:sz="0" w:space="0" w:color="auto"/>
        <w:bottom w:val="none" w:sz="0" w:space="0" w:color="auto"/>
        <w:right w:val="none" w:sz="0" w:space="0" w:color="auto"/>
      </w:divBdr>
    </w:div>
    <w:div w:id="1178810199">
      <w:bodyDiv w:val="1"/>
      <w:marLeft w:val="0"/>
      <w:marRight w:val="0"/>
      <w:marTop w:val="0"/>
      <w:marBottom w:val="0"/>
      <w:divBdr>
        <w:top w:val="none" w:sz="0" w:space="0" w:color="auto"/>
        <w:left w:val="none" w:sz="0" w:space="0" w:color="auto"/>
        <w:bottom w:val="none" w:sz="0" w:space="0" w:color="auto"/>
        <w:right w:val="none" w:sz="0" w:space="0" w:color="auto"/>
      </w:divBdr>
    </w:div>
    <w:div w:id="1190410692">
      <w:bodyDiv w:val="1"/>
      <w:marLeft w:val="0"/>
      <w:marRight w:val="0"/>
      <w:marTop w:val="0"/>
      <w:marBottom w:val="0"/>
      <w:divBdr>
        <w:top w:val="none" w:sz="0" w:space="0" w:color="auto"/>
        <w:left w:val="none" w:sz="0" w:space="0" w:color="auto"/>
        <w:bottom w:val="none" w:sz="0" w:space="0" w:color="auto"/>
        <w:right w:val="none" w:sz="0" w:space="0" w:color="auto"/>
      </w:divBdr>
    </w:div>
    <w:div w:id="1193574150">
      <w:bodyDiv w:val="1"/>
      <w:marLeft w:val="0"/>
      <w:marRight w:val="0"/>
      <w:marTop w:val="0"/>
      <w:marBottom w:val="0"/>
      <w:divBdr>
        <w:top w:val="none" w:sz="0" w:space="0" w:color="auto"/>
        <w:left w:val="none" w:sz="0" w:space="0" w:color="auto"/>
        <w:bottom w:val="none" w:sz="0" w:space="0" w:color="auto"/>
        <w:right w:val="none" w:sz="0" w:space="0" w:color="auto"/>
      </w:divBdr>
    </w:div>
    <w:div w:id="1197934116">
      <w:bodyDiv w:val="1"/>
      <w:marLeft w:val="0"/>
      <w:marRight w:val="0"/>
      <w:marTop w:val="0"/>
      <w:marBottom w:val="0"/>
      <w:divBdr>
        <w:top w:val="none" w:sz="0" w:space="0" w:color="auto"/>
        <w:left w:val="none" w:sz="0" w:space="0" w:color="auto"/>
        <w:bottom w:val="none" w:sz="0" w:space="0" w:color="auto"/>
        <w:right w:val="none" w:sz="0" w:space="0" w:color="auto"/>
      </w:divBdr>
    </w:div>
    <w:div w:id="1204052683">
      <w:bodyDiv w:val="1"/>
      <w:marLeft w:val="0"/>
      <w:marRight w:val="0"/>
      <w:marTop w:val="0"/>
      <w:marBottom w:val="0"/>
      <w:divBdr>
        <w:top w:val="none" w:sz="0" w:space="0" w:color="auto"/>
        <w:left w:val="none" w:sz="0" w:space="0" w:color="auto"/>
        <w:bottom w:val="none" w:sz="0" w:space="0" w:color="auto"/>
        <w:right w:val="none" w:sz="0" w:space="0" w:color="auto"/>
      </w:divBdr>
    </w:div>
    <w:div w:id="1229535754">
      <w:bodyDiv w:val="1"/>
      <w:marLeft w:val="0"/>
      <w:marRight w:val="0"/>
      <w:marTop w:val="0"/>
      <w:marBottom w:val="0"/>
      <w:divBdr>
        <w:top w:val="none" w:sz="0" w:space="0" w:color="auto"/>
        <w:left w:val="none" w:sz="0" w:space="0" w:color="auto"/>
        <w:bottom w:val="none" w:sz="0" w:space="0" w:color="auto"/>
        <w:right w:val="none" w:sz="0" w:space="0" w:color="auto"/>
      </w:divBdr>
    </w:div>
    <w:div w:id="1260406060">
      <w:bodyDiv w:val="1"/>
      <w:marLeft w:val="0"/>
      <w:marRight w:val="0"/>
      <w:marTop w:val="0"/>
      <w:marBottom w:val="0"/>
      <w:divBdr>
        <w:top w:val="none" w:sz="0" w:space="0" w:color="auto"/>
        <w:left w:val="none" w:sz="0" w:space="0" w:color="auto"/>
        <w:bottom w:val="none" w:sz="0" w:space="0" w:color="auto"/>
        <w:right w:val="none" w:sz="0" w:space="0" w:color="auto"/>
      </w:divBdr>
      <w:divsChild>
        <w:div w:id="1711414743">
          <w:marLeft w:val="0"/>
          <w:marRight w:val="0"/>
          <w:marTop w:val="0"/>
          <w:marBottom w:val="0"/>
          <w:divBdr>
            <w:top w:val="none" w:sz="0" w:space="0" w:color="auto"/>
            <w:left w:val="none" w:sz="0" w:space="0" w:color="auto"/>
            <w:bottom w:val="none" w:sz="0" w:space="0" w:color="auto"/>
            <w:right w:val="none" w:sz="0" w:space="0" w:color="auto"/>
          </w:divBdr>
          <w:divsChild>
            <w:div w:id="999891683">
              <w:marLeft w:val="0"/>
              <w:marRight w:val="0"/>
              <w:marTop w:val="0"/>
              <w:marBottom w:val="0"/>
              <w:divBdr>
                <w:top w:val="none" w:sz="0" w:space="0" w:color="auto"/>
                <w:left w:val="none" w:sz="0" w:space="0" w:color="auto"/>
                <w:bottom w:val="none" w:sz="0" w:space="0" w:color="auto"/>
                <w:right w:val="none" w:sz="0" w:space="0" w:color="auto"/>
              </w:divBdr>
              <w:divsChild>
                <w:div w:id="1062172235">
                  <w:marLeft w:val="0"/>
                  <w:marRight w:val="0"/>
                  <w:marTop w:val="0"/>
                  <w:marBottom w:val="0"/>
                  <w:divBdr>
                    <w:top w:val="none" w:sz="0" w:space="0" w:color="auto"/>
                    <w:left w:val="none" w:sz="0" w:space="0" w:color="auto"/>
                    <w:bottom w:val="none" w:sz="0" w:space="0" w:color="auto"/>
                    <w:right w:val="none" w:sz="0" w:space="0" w:color="auto"/>
                  </w:divBdr>
                  <w:divsChild>
                    <w:div w:id="556749261">
                      <w:marLeft w:val="0"/>
                      <w:marRight w:val="0"/>
                      <w:marTop w:val="0"/>
                      <w:marBottom w:val="0"/>
                      <w:divBdr>
                        <w:top w:val="none" w:sz="0" w:space="0" w:color="auto"/>
                        <w:left w:val="none" w:sz="0" w:space="0" w:color="auto"/>
                        <w:bottom w:val="none" w:sz="0" w:space="0" w:color="auto"/>
                        <w:right w:val="none" w:sz="0" w:space="0" w:color="auto"/>
                      </w:divBdr>
                      <w:divsChild>
                        <w:div w:id="1897087328">
                          <w:marLeft w:val="0"/>
                          <w:marRight w:val="0"/>
                          <w:marTop w:val="0"/>
                          <w:marBottom w:val="0"/>
                          <w:divBdr>
                            <w:top w:val="none" w:sz="0" w:space="0" w:color="auto"/>
                            <w:left w:val="none" w:sz="0" w:space="0" w:color="auto"/>
                            <w:bottom w:val="none" w:sz="0" w:space="0" w:color="auto"/>
                            <w:right w:val="none" w:sz="0" w:space="0" w:color="auto"/>
                          </w:divBdr>
                          <w:divsChild>
                            <w:div w:id="92747082">
                              <w:marLeft w:val="0"/>
                              <w:marRight w:val="0"/>
                              <w:marTop w:val="0"/>
                              <w:marBottom w:val="0"/>
                              <w:divBdr>
                                <w:top w:val="none" w:sz="0" w:space="0" w:color="auto"/>
                                <w:left w:val="none" w:sz="0" w:space="0" w:color="auto"/>
                                <w:bottom w:val="none" w:sz="0" w:space="0" w:color="auto"/>
                                <w:right w:val="none" w:sz="0" w:space="0" w:color="auto"/>
                              </w:divBdr>
                              <w:divsChild>
                                <w:div w:id="268467305">
                                  <w:marLeft w:val="0"/>
                                  <w:marRight w:val="0"/>
                                  <w:marTop w:val="0"/>
                                  <w:marBottom w:val="0"/>
                                  <w:divBdr>
                                    <w:top w:val="none" w:sz="0" w:space="0" w:color="auto"/>
                                    <w:left w:val="none" w:sz="0" w:space="0" w:color="auto"/>
                                    <w:bottom w:val="none" w:sz="0" w:space="0" w:color="auto"/>
                                    <w:right w:val="none" w:sz="0" w:space="0" w:color="auto"/>
                                  </w:divBdr>
                                  <w:divsChild>
                                    <w:div w:id="701638476">
                                      <w:marLeft w:val="0"/>
                                      <w:marRight w:val="0"/>
                                      <w:marTop w:val="0"/>
                                      <w:marBottom w:val="0"/>
                                      <w:divBdr>
                                        <w:top w:val="none" w:sz="0" w:space="0" w:color="auto"/>
                                        <w:left w:val="none" w:sz="0" w:space="0" w:color="auto"/>
                                        <w:bottom w:val="none" w:sz="0" w:space="0" w:color="auto"/>
                                        <w:right w:val="none" w:sz="0" w:space="0" w:color="auto"/>
                                      </w:divBdr>
                                      <w:divsChild>
                                        <w:div w:id="1016153014">
                                          <w:marLeft w:val="0"/>
                                          <w:marRight w:val="0"/>
                                          <w:marTop w:val="0"/>
                                          <w:marBottom w:val="0"/>
                                          <w:divBdr>
                                            <w:top w:val="none" w:sz="0" w:space="0" w:color="auto"/>
                                            <w:left w:val="none" w:sz="0" w:space="0" w:color="auto"/>
                                            <w:bottom w:val="none" w:sz="0" w:space="0" w:color="auto"/>
                                            <w:right w:val="none" w:sz="0" w:space="0" w:color="auto"/>
                                          </w:divBdr>
                                          <w:divsChild>
                                            <w:div w:id="218706712">
                                              <w:marLeft w:val="0"/>
                                              <w:marRight w:val="0"/>
                                              <w:marTop w:val="0"/>
                                              <w:marBottom w:val="0"/>
                                              <w:divBdr>
                                                <w:top w:val="none" w:sz="0" w:space="0" w:color="auto"/>
                                                <w:left w:val="none" w:sz="0" w:space="0" w:color="auto"/>
                                                <w:bottom w:val="none" w:sz="0" w:space="0" w:color="auto"/>
                                                <w:right w:val="none" w:sz="0" w:space="0" w:color="auto"/>
                                              </w:divBdr>
                                              <w:divsChild>
                                                <w:div w:id="3227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465272">
      <w:bodyDiv w:val="1"/>
      <w:marLeft w:val="0"/>
      <w:marRight w:val="0"/>
      <w:marTop w:val="0"/>
      <w:marBottom w:val="0"/>
      <w:divBdr>
        <w:top w:val="none" w:sz="0" w:space="0" w:color="auto"/>
        <w:left w:val="none" w:sz="0" w:space="0" w:color="auto"/>
        <w:bottom w:val="none" w:sz="0" w:space="0" w:color="auto"/>
        <w:right w:val="none" w:sz="0" w:space="0" w:color="auto"/>
      </w:divBdr>
    </w:div>
    <w:div w:id="1311977404">
      <w:bodyDiv w:val="1"/>
      <w:marLeft w:val="0"/>
      <w:marRight w:val="0"/>
      <w:marTop w:val="0"/>
      <w:marBottom w:val="0"/>
      <w:divBdr>
        <w:top w:val="none" w:sz="0" w:space="0" w:color="auto"/>
        <w:left w:val="none" w:sz="0" w:space="0" w:color="auto"/>
        <w:bottom w:val="none" w:sz="0" w:space="0" w:color="auto"/>
        <w:right w:val="none" w:sz="0" w:space="0" w:color="auto"/>
      </w:divBdr>
    </w:div>
    <w:div w:id="1343436534">
      <w:bodyDiv w:val="1"/>
      <w:marLeft w:val="0"/>
      <w:marRight w:val="0"/>
      <w:marTop w:val="0"/>
      <w:marBottom w:val="0"/>
      <w:divBdr>
        <w:top w:val="none" w:sz="0" w:space="0" w:color="auto"/>
        <w:left w:val="none" w:sz="0" w:space="0" w:color="auto"/>
        <w:bottom w:val="none" w:sz="0" w:space="0" w:color="auto"/>
        <w:right w:val="none" w:sz="0" w:space="0" w:color="auto"/>
      </w:divBdr>
    </w:div>
    <w:div w:id="1347290513">
      <w:bodyDiv w:val="1"/>
      <w:marLeft w:val="0"/>
      <w:marRight w:val="0"/>
      <w:marTop w:val="0"/>
      <w:marBottom w:val="0"/>
      <w:divBdr>
        <w:top w:val="none" w:sz="0" w:space="0" w:color="auto"/>
        <w:left w:val="none" w:sz="0" w:space="0" w:color="auto"/>
        <w:bottom w:val="none" w:sz="0" w:space="0" w:color="auto"/>
        <w:right w:val="none" w:sz="0" w:space="0" w:color="auto"/>
      </w:divBdr>
    </w:div>
    <w:div w:id="1358777635">
      <w:bodyDiv w:val="1"/>
      <w:marLeft w:val="0"/>
      <w:marRight w:val="0"/>
      <w:marTop w:val="0"/>
      <w:marBottom w:val="0"/>
      <w:divBdr>
        <w:top w:val="none" w:sz="0" w:space="0" w:color="auto"/>
        <w:left w:val="none" w:sz="0" w:space="0" w:color="auto"/>
        <w:bottom w:val="none" w:sz="0" w:space="0" w:color="auto"/>
        <w:right w:val="none" w:sz="0" w:space="0" w:color="auto"/>
      </w:divBdr>
    </w:div>
    <w:div w:id="1371612211">
      <w:bodyDiv w:val="1"/>
      <w:marLeft w:val="0"/>
      <w:marRight w:val="0"/>
      <w:marTop w:val="0"/>
      <w:marBottom w:val="0"/>
      <w:divBdr>
        <w:top w:val="none" w:sz="0" w:space="0" w:color="auto"/>
        <w:left w:val="none" w:sz="0" w:space="0" w:color="auto"/>
        <w:bottom w:val="none" w:sz="0" w:space="0" w:color="auto"/>
        <w:right w:val="none" w:sz="0" w:space="0" w:color="auto"/>
      </w:divBdr>
    </w:div>
    <w:div w:id="1376193938">
      <w:bodyDiv w:val="1"/>
      <w:marLeft w:val="0"/>
      <w:marRight w:val="0"/>
      <w:marTop w:val="0"/>
      <w:marBottom w:val="0"/>
      <w:divBdr>
        <w:top w:val="none" w:sz="0" w:space="0" w:color="auto"/>
        <w:left w:val="none" w:sz="0" w:space="0" w:color="auto"/>
        <w:bottom w:val="none" w:sz="0" w:space="0" w:color="auto"/>
        <w:right w:val="none" w:sz="0" w:space="0" w:color="auto"/>
      </w:divBdr>
    </w:div>
    <w:div w:id="1407612397">
      <w:bodyDiv w:val="1"/>
      <w:marLeft w:val="0"/>
      <w:marRight w:val="0"/>
      <w:marTop w:val="0"/>
      <w:marBottom w:val="0"/>
      <w:divBdr>
        <w:top w:val="none" w:sz="0" w:space="0" w:color="auto"/>
        <w:left w:val="none" w:sz="0" w:space="0" w:color="auto"/>
        <w:bottom w:val="none" w:sz="0" w:space="0" w:color="auto"/>
        <w:right w:val="none" w:sz="0" w:space="0" w:color="auto"/>
      </w:divBdr>
    </w:div>
    <w:div w:id="1415397740">
      <w:bodyDiv w:val="1"/>
      <w:marLeft w:val="0"/>
      <w:marRight w:val="0"/>
      <w:marTop w:val="0"/>
      <w:marBottom w:val="0"/>
      <w:divBdr>
        <w:top w:val="none" w:sz="0" w:space="0" w:color="auto"/>
        <w:left w:val="none" w:sz="0" w:space="0" w:color="auto"/>
        <w:bottom w:val="none" w:sz="0" w:space="0" w:color="auto"/>
        <w:right w:val="none" w:sz="0" w:space="0" w:color="auto"/>
      </w:divBdr>
    </w:div>
    <w:div w:id="1416778014">
      <w:bodyDiv w:val="1"/>
      <w:marLeft w:val="0"/>
      <w:marRight w:val="0"/>
      <w:marTop w:val="0"/>
      <w:marBottom w:val="0"/>
      <w:divBdr>
        <w:top w:val="none" w:sz="0" w:space="0" w:color="auto"/>
        <w:left w:val="none" w:sz="0" w:space="0" w:color="auto"/>
        <w:bottom w:val="none" w:sz="0" w:space="0" w:color="auto"/>
        <w:right w:val="none" w:sz="0" w:space="0" w:color="auto"/>
      </w:divBdr>
    </w:div>
    <w:div w:id="1432160153">
      <w:bodyDiv w:val="1"/>
      <w:marLeft w:val="0"/>
      <w:marRight w:val="0"/>
      <w:marTop w:val="0"/>
      <w:marBottom w:val="0"/>
      <w:divBdr>
        <w:top w:val="none" w:sz="0" w:space="0" w:color="auto"/>
        <w:left w:val="none" w:sz="0" w:space="0" w:color="auto"/>
        <w:bottom w:val="none" w:sz="0" w:space="0" w:color="auto"/>
        <w:right w:val="none" w:sz="0" w:space="0" w:color="auto"/>
      </w:divBdr>
    </w:div>
    <w:div w:id="1435173094">
      <w:bodyDiv w:val="1"/>
      <w:marLeft w:val="0"/>
      <w:marRight w:val="0"/>
      <w:marTop w:val="0"/>
      <w:marBottom w:val="0"/>
      <w:divBdr>
        <w:top w:val="none" w:sz="0" w:space="0" w:color="auto"/>
        <w:left w:val="none" w:sz="0" w:space="0" w:color="auto"/>
        <w:bottom w:val="none" w:sz="0" w:space="0" w:color="auto"/>
        <w:right w:val="none" w:sz="0" w:space="0" w:color="auto"/>
      </w:divBdr>
    </w:div>
    <w:div w:id="1439721372">
      <w:bodyDiv w:val="1"/>
      <w:marLeft w:val="0"/>
      <w:marRight w:val="0"/>
      <w:marTop w:val="0"/>
      <w:marBottom w:val="0"/>
      <w:divBdr>
        <w:top w:val="none" w:sz="0" w:space="0" w:color="auto"/>
        <w:left w:val="none" w:sz="0" w:space="0" w:color="auto"/>
        <w:bottom w:val="none" w:sz="0" w:space="0" w:color="auto"/>
        <w:right w:val="none" w:sz="0" w:space="0" w:color="auto"/>
      </w:divBdr>
    </w:div>
    <w:div w:id="1439792128">
      <w:bodyDiv w:val="1"/>
      <w:marLeft w:val="0"/>
      <w:marRight w:val="0"/>
      <w:marTop w:val="0"/>
      <w:marBottom w:val="0"/>
      <w:divBdr>
        <w:top w:val="none" w:sz="0" w:space="0" w:color="auto"/>
        <w:left w:val="none" w:sz="0" w:space="0" w:color="auto"/>
        <w:bottom w:val="none" w:sz="0" w:space="0" w:color="auto"/>
        <w:right w:val="none" w:sz="0" w:space="0" w:color="auto"/>
      </w:divBdr>
      <w:divsChild>
        <w:div w:id="761990594">
          <w:marLeft w:val="0"/>
          <w:marRight w:val="0"/>
          <w:marTop w:val="0"/>
          <w:marBottom w:val="0"/>
          <w:divBdr>
            <w:top w:val="none" w:sz="0" w:space="0" w:color="auto"/>
            <w:left w:val="none" w:sz="0" w:space="0" w:color="auto"/>
            <w:bottom w:val="none" w:sz="0" w:space="0" w:color="auto"/>
            <w:right w:val="none" w:sz="0" w:space="0" w:color="auto"/>
          </w:divBdr>
          <w:divsChild>
            <w:div w:id="674570347">
              <w:marLeft w:val="0"/>
              <w:marRight w:val="0"/>
              <w:marTop w:val="0"/>
              <w:marBottom w:val="0"/>
              <w:divBdr>
                <w:top w:val="none" w:sz="0" w:space="0" w:color="auto"/>
                <w:left w:val="none" w:sz="0" w:space="0" w:color="auto"/>
                <w:bottom w:val="none" w:sz="0" w:space="0" w:color="auto"/>
                <w:right w:val="none" w:sz="0" w:space="0" w:color="auto"/>
              </w:divBdr>
              <w:divsChild>
                <w:div w:id="1028069575">
                  <w:marLeft w:val="0"/>
                  <w:marRight w:val="0"/>
                  <w:marTop w:val="0"/>
                  <w:marBottom w:val="0"/>
                  <w:divBdr>
                    <w:top w:val="none" w:sz="0" w:space="0" w:color="auto"/>
                    <w:left w:val="none" w:sz="0" w:space="0" w:color="auto"/>
                    <w:bottom w:val="none" w:sz="0" w:space="0" w:color="auto"/>
                    <w:right w:val="none" w:sz="0" w:space="0" w:color="auto"/>
                  </w:divBdr>
                  <w:divsChild>
                    <w:div w:id="1772816800">
                      <w:marLeft w:val="0"/>
                      <w:marRight w:val="0"/>
                      <w:marTop w:val="0"/>
                      <w:marBottom w:val="0"/>
                      <w:divBdr>
                        <w:top w:val="none" w:sz="0" w:space="0" w:color="auto"/>
                        <w:left w:val="none" w:sz="0" w:space="0" w:color="auto"/>
                        <w:bottom w:val="none" w:sz="0" w:space="0" w:color="auto"/>
                        <w:right w:val="none" w:sz="0" w:space="0" w:color="auto"/>
                      </w:divBdr>
                      <w:divsChild>
                        <w:div w:id="1120149936">
                          <w:marLeft w:val="0"/>
                          <w:marRight w:val="0"/>
                          <w:marTop w:val="0"/>
                          <w:marBottom w:val="0"/>
                          <w:divBdr>
                            <w:top w:val="none" w:sz="0" w:space="0" w:color="auto"/>
                            <w:left w:val="none" w:sz="0" w:space="0" w:color="auto"/>
                            <w:bottom w:val="none" w:sz="0" w:space="0" w:color="auto"/>
                            <w:right w:val="none" w:sz="0" w:space="0" w:color="auto"/>
                          </w:divBdr>
                          <w:divsChild>
                            <w:div w:id="1322736665">
                              <w:marLeft w:val="0"/>
                              <w:marRight w:val="0"/>
                              <w:marTop w:val="0"/>
                              <w:marBottom w:val="0"/>
                              <w:divBdr>
                                <w:top w:val="none" w:sz="0" w:space="0" w:color="auto"/>
                                <w:left w:val="none" w:sz="0" w:space="0" w:color="auto"/>
                                <w:bottom w:val="none" w:sz="0" w:space="0" w:color="auto"/>
                                <w:right w:val="none" w:sz="0" w:space="0" w:color="auto"/>
                              </w:divBdr>
                              <w:divsChild>
                                <w:div w:id="925113178">
                                  <w:marLeft w:val="0"/>
                                  <w:marRight w:val="0"/>
                                  <w:marTop w:val="0"/>
                                  <w:marBottom w:val="0"/>
                                  <w:divBdr>
                                    <w:top w:val="none" w:sz="0" w:space="0" w:color="auto"/>
                                    <w:left w:val="none" w:sz="0" w:space="0" w:color="auto"/>
                                    <w:bottom w:val="none" w:sz="0" w:space="0" w:color="auto"/>
                                    <w:right w:val="none" w:sz="0" w:space="0" w:color="auto"/>
                                  </w:divBdr>
                                  <w:divsChild>
                                    <w:div w:id="1920286676">
                                      <w:marLeft w:val="0"/>
                                      <w:marRight w:val="0"/>
                                      <w:marTop w:val="0"/>
                                      <w:marBottom w:val="0"/>
                                      <w:divBdr>
                                        <w:top w:val="none" w:sz="0" w:space="0" w:color="auto"/>
                                        <w:left w:val="none" w:sz="0" w:space="0" w:color="auto"/>
                                        <w:bottom w:val="none" w:sz="0" w:space="0" w:color="auto"/>
                                        <w:right w:val="none" w:sz="0" w:space="0" w:color="auto"/>
                                      </w:divBdr>
                                      <w:divsChild>
                                        <w:div w:id="517306152">
                                          <w:marLeft w:val="0"/>
                                          <w:marRight w:val="0"/>
                                          <w:marTop w:val="0"/>
                                          <w:marBottom w:val="0"/>
                                          <w:divBdr>
                                            <w:top w:val="none" w:sz="0" w:space="0" w:color="auto"/>
                                            <w:left w:val="none" w:sz="0" w:space="0" w:color="auto"/>
                                            <w:bottom w:val="none" w:sz="0" w:space="0" w:color="auto"/>
                                            <w:right w:val="none" w:sz="0" w:space="0" w:color="auto"/>
                                          </w:divBdr>
                                          <w:divsChild>
                                            <w:div w:id="1867520196">
                                              <w:marLeft w:val="0"/>
                                              <w:marRight w:val="0"/>
                                              <w:marTop w:val="0"/>
                                              <w:marBottom w:val="0"/>
                                              <w:divBdr>
                                                <w:top w:val="none" w:sz="0" w:space="0" w:color="auto"/>
                                                <w:left w:val="none" w:sz="0" w:space="0" w:color="auto"/>
                                                <w:bottom w:val="none" w:sz="0" w:space="0" w:color="auto"/>
                                                <w:right w:val="none" w:sz="0" w:space="0" w:color="auto"/>
                                              </w:divBdr>
                                              <w:divsChild>
                                                <w:div w:id="925920333">
                                                  <w:marLeft w:val="0"/>
                                                  <w:marRight w:val="0"/>
                                                  <w:marTop w:val="0"/>
                                                  <w:marBottom w:val="0"/>
                                                  <w:divBdr>
                                                    <w:top w:val="none" w:sz="0" w:space="0" w:color="auto"/>
                                                    <w:left w:val="none" w:sz="0" w:space="0" w:color="auto"/>
                                                    <w:bottom w:val="none" w:sz="0" w:space="0" w:color="auto"/>
                                                    <w:right w:val="none" w:sz="0" w:space="0" w:color="auto"/>
                                                  </w:divBdr>
                                                  <w:divsChild>
                                                    <w:div w:id="726299174">
                                                      <w:marLeft w:val="0"/>
                                                      <w:marRight w:val="0"/>
                                                      <w:marTop w:val="0"/>
                                                      <w:marBottom w:val="0"/>
                                                      <w:divBdr>
                                                        <w:top w:val="none" w:sz="0" w:space="0" w:color="auto"/>
                                                        <w:left w:val="none" w:sz="0" w:space="0" w:color="auto"/>
                                                        <w:bottom w:val="none" w:sz="0" w:space="0" w:color="auto"/>
                                                        <w:right w:val="none" w:sz="0" w:space="0" w:color="auto"/>
                                                      </w:divBdr>
                                                      <w:divsChild>
                                                        <w:div w:id="890920310">
                                                          <w:marLeft w:val="0"/>
                                                          <w:marRight w:val="0"/>
                                                          <w:marTop w:val="0"/>
                                                          <w:marBottom w:val="0"/>
                                                          <w:divBdr>
                                                            <w:top w:val="none" w:sz="0" w:space="0" w:color="auto"/>
                                                            <w:left w:val="none" w:sz="0" w:space="0" w:color="auto"/>
                                                            <w:bottom w:val="none" w:sz="0" w:space="0" w:color="auto"/>
                                                            <w:right w:val="none" w:sz="0" w:space="0" w:color="auto"/>
                                                          </w:divBdr>
                                                          <w:divsChild>
                                                            <w:div w:id="253518222">
                                                              <w:marLeft w:val="0"/>
                                                              <w:marRight w:val="0"/>
                                                              <w:marTop w:val="0"/>
                                                              <w:marBottom w:val="0"/>
                                                              <w:divBdr>
                                                                <w:top w:val="none" w:sz="0" w:space="0" w:color="auto"/>
                                                                <w:left w:val="none" w:sz="0" w:space="0" w:color="auto"/>
                                                                <w:bottom w:val="none" w:sz="0" w:space="0" w:color="auto"/>
                                                                <w:right w:val="none" w:sz="0" w:space="0" w:color="auto"/>
                                                              </w:divBdr>
                                                              <w:divsChild>
                                                                <w:div w:id="7108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6849071">
      <w:bodyDiv w:val="1"/>
      <w:marLeft w:val="0"/>
      <w:marRight w:val="0"/>
      <w:marTop w:val="0"/>
      <w:marBottom w:val="0"/>
      <w:divBdr>
        <w:top w:val="none" w:sz="0" w:space="0" w:color="auto"/>
        <w:left w:val="none" w:sz="0" w:space="0" w:color="auto"/>
        <w:bottom w:val="none" w:sz="0" w:space="0" w:color="auto"/>
        <w:right w:val="none" w:sz="0" w:space="0" w:color="auto"/>
      </w:divBdr>
    </w:div>
    <w:div w:id="1459570592">
      <w:bodyDiv w:val="1"/>
      <w:marLeft w:val="0"/>
      <w:marRight w:val="0"/>
      <w:marTop w:val="0"/>
      <w:marBottom w:val="0"/>
      <w:divBdr>
        <w:top w:val="none" w:sz="0" w:space="0" w:color="auto"/>
        <w:left w:val="none" w:sz="0" w:space="0" w:color="auto"/>
        <w:bottom w:val="none" w:sz="0" w:space="0" w:color="auto"/>
        <w:right w:val="none" w:sz="0" w:space="0" w:color="auto"/>
      </w:divBdr>
    </w:div>
    <w:div w:id="1479302159">
      <w:bodyDiv w:val="1"/>
      <w:marLeft w:val="0"/>
      <w:marRight w:val="0"/>
      <w:marTop w:val="0"/>
      <w:marBottom w:val="0"/>
      <w:divBdr>
        <w:top w:val="none" w:sz="0" w:space="0" w:color="auto"/>
        <w:left w:val="none" w:sz="0" w:space="0" w:color="auto"/>
        <w:bottom w:val="none" w:sz="0" w:space="0" w:color="auto"/>
        <w:right w:val="none" w:sz="0" w:space="0" w:color="auto"/>
      </w:divBdr>
    </w:div>
    <w:div w:id="1480613311">
      <w:bodyDiv w:val="1"/>
      <w:marLeft w:val="0"/>
      <w:marRight w:val="0"/>
      <w:marTop w:val="0"/>
      <w:marBottom w:val="0"/>
      <w:divBdr>
        <w:top w:val="none" w:sz="0" w:space="0" w:color="auto"/>
        <w:left w:val="none" w:sz="0" w:space="0" w:color="auto"/>
        <w:bottom w:val="none" w:sz="0" w:space="0" w:color="auto"/>
        <w:right w:val="none" w:sz="0" w:space="0" w:color="auto"/>
      </w:divBdr>
    </w:div>
    <w:div w:id="1505362941">
      <w:bodyDiv w:val="1"/>
      <w:marLeft w:val="0"/>
      <w:marRight w:val="0"/>
      <w:marTop w:val="0"/>
      <w:marBottom w:val="0"/>
      <w:divBdr>
        <w:top w:val="none" w:sz="0" w:space="0" w:color="auto"/>
        <w:left w:val="none" w:sz="0" w:space="0" w:color="auto"/>
        <w:bottom w:val="none" w:sz="0" w:space="0" w:color="auto"/>
        <w:right w:val="none" w:sz="0" w:space="0" w:color="auto"/>
      </w:divBdr>
    </w:div>
    <w:div w:id="1511869478">
      <w:bodyDiv w:val="1"/>
      <w:marLeft w:val="0"/>
      <w:marRight w:val="0"/>
      <w:marTop w:val="0"/>
      <w:marBottom w:val="0"/>
      <w:divBdr>
        <w:top w:val="none" w:sz="0" w:space="0" w:color="auto"/>
        <w:left w:val="none" w:sz="0" w:space="0" w:color="auto"/>
        <w:bottom w:val="none" w:sz="0" w:space="0" w:color="auto"/>
        <w:right w:val="none" w:sz="0" w:space="0" w:color="auto"/>
      </w:divBdr>
    </w:div>
    <w:div w:id="1535849218">
      <w:bodyDiv w:val="1"/>
      <w:marLeft w:val="0"/>
      <w:marRight w:val="0"/>
      <w:marTop w:val="0"/>
      <w:marBottom w:val="0"/>
      <w:divBdr>
        <w:top w:val="none" w:sz="0" w:space="0" w:color="auto"/>
        <w:left w:val="none" w:sz="0" w:space="0" w:color="auto"/>
        <w:bottom w:val="none" w:sz="0" w:space="0" w:color="auto"/>
        <w:right w:val="none" w:sz="0" w:space="0" w:color="auto"/>
      </w:divBdr>
    </w:div>
    <w:div w:id="1535924868">
      <w:bodyDiv w:val="1"/>
      <w:marLeft w:val="0"/>
      <w:marRight w:val="0"/>
      <w:marTop w:val="0"/>
      <w:marBottom w:val="0"/>
      <w:divBdr>
        <w:top w:val="none" w:sz="0" w:space="0" w:color="auto"/>
        <w:left w:val="none" w:sz="0" w:space="0" w:color="auto"/>
        <w:bottom w:val="none" w:sz="0" w:space="0" w:color="auto"/>
        <w:right w:val="none" w:sz="0" w:space="0" w:color="auto"/>
      </w:divBdr>
    </w:div>
    <w:div w:id="1603412984">
      <w:bodyDiv w:val="1"/>
      <w:marLeft w:val="0"/>
      <w:marRight w:val="0"/>
      <w:marTop w:val="0"/>
      <w:marBottom w:val="0"/>
      <w:divBdr>
        <w:top w:val="none" w:sz="0" w:space="0" w:color="auto"/>
        <w:left w:val="none" w:sz="0" w:space="0" w:color="auto"/>
        <w:bottom w:val="none" w:sz="0" w:space="0" w:color="auto"/>
        <w:right w:val="none" w:sz="0" w:space="0" w:color="auto"/>
      </w:divBdr>
    </w:div>
    <w:div w:id="1614361505">
      <w:bodyDiv w:val="1"/>
      <w:marLeft w:val="0"/>
      <w:marRight w:val="0"/>
      <w:marTop w:val="0"/>
      <w:marBottom w:val="0"/>
      <w:divBdr>
        <w:top w:val="none" w:sz="0" w:space="0" w:color="auto"/>
        <w:left w:val="none" w:sz="0" w:space="0" w:color="auto"/>
        <w:bottom w:val="none" w:sz="0" w:space="0" w:color="auto"/>
        <w:right w:val="none" w:sz="0" w:space="0" w:color="auto"/>
      </w:divBdr>
      <w:divsChild>
        <w:div w:id="504787051">
          <w:marLeft w:val="0"/>
          <w:marRight w:val="0"/>
          <w:marTop w:val="0"/>
          <w:marBottom w:val="0"/>
          <w:divBdr>
            <w:top w:val="none" w:sz="0" w:space="0" w:color="auto"/>
            <w:left w:val="none" w:sz="0" w:space="0" w:color="auto"/>
            <w:bottom w:val="none" w:sz="0" w:space="0" w:color="auto"/>
            <w:right w:val="none" w:sz="0" w:space="0" w:color="auto"/>
          </w:divBdr>
          <w:divsChild>
            <w:div w:id="118035812">
              <w:marLeft w:val="0"/>
              <w:marRight w:val="0"/>
              <w:marTop w:val="0"/>
              <w:marBottom w:val="0"/>
              <w:divBdr>
                <w:top w:val="none" w:sz="0" w:space="0" w:color="auto"/>
                <w:left w:val="none" w:sz="0" w:space="0" w:color="auto"/>
                <w:bottom w:val="none" w:sz="0" w:space="0" w:color="auto"/>
                <w:right w:val="none" w:sz="0" w:space="0" w:color="auto"/>
              </w:divBdr>
              <w:divsChild>
                <w:div w:id="1598446979">
                  <w:marLeft w:val="0"/>
                  <w:marRight w:val="0"/>
                  <w:marTop w:val="0"/>
                  <w:marBottom w:val="0"/>
                  <w:divBdr>
                    <w:top w:val="none" w:sz="0" w:space="0" w:color="auto"/>
                    <w:left w:val="none" w:sz="0" w:space="0" w:color="auto"/>
                    <w:bottom w:val="none" w:sz="0" w:space="0" w:color="auto"/>
                    <w:right w:val="none" w:sz="0" w:space="0" w:color="auto"/>
                  </w:divBdr>
                  <w:divsChild>
                    <w:div w:id="1310013266">
                      <w:marLeft w:val="0"/>
                      <w:marRight w:val="0"/>
                      <w:marTop w:val="0"/>
                      <w:marBottom w:val="0"/>
                      <w:divBdr>
                        <w:top w:val="none" w:sz="0" w:space="0" w:color="auto"/>
                        <w:left w:val="none" w:sz="0" w:space="0" w:color="auto"/>
                        <w:bottom w:val="none" w:sz="0" w:space="0" w:color="auto"/>
                        <w:right w:val="none" w:sz="0" w:space="0" w:color="auto"/>
                      </w:divBdr>
                      <w:divsChild>
                        <w:div w:id="1043751001">
                          <w:marLeft w:val="0"/>
                          <w:marRight w:val="0"/>
                          <w:marTop w:val="0"/>
                          <w:marBottom w:val="0"/>
                          <w:divBdr>
                            <w:top w:val="none" w:sz="0" w:space="0" w:color="auto"/>
                            <w:left w:val="none" w:sz="0" w:space="0" w:color="auto"/>
                            <w:bottom w:val="none" w:sz="0" w:space="0" w:color="auto"/>
                            <w:right w:val="none" w:sz="0" w:space="0" w:color="auto"/>
                          </w:divBdr>
                          <w:divsChild>
                            <w:div w:id="958924145">
                              <w:marLeft w:val="0"/>
                              <w:marRight w:val="0"/>
                              <w:marTop w:val="0"/>
                              <w:marBottom w:val="0"/>
                              <w:divBdr>
                                <w:top w:val="none" w:sz="0" w:space="0" w:color="auto"/>
                                <w:left w:val="none" w:sz="0" w:space="0" w:color="auto"/>
                                <w:bottom w:val="none" w:sz="0" w:space="0" w:color="auto"/>
                                <w:right w:val="none" w:sz="0" w:space="0" w:color="auto"/>
                              </w:divBdr>
                              <w:divsChild>
                                <w:div w:id="1470319676">
                                  <w:marLeft w:val="0"/>
                                  <w:marRight w:val="0"/>
                                  <w:marTop w:val="0"/>
                                  <w:marBottom w:val="0"/>
                                  <w:divBdr>
                                    <w:top w:val="none" w:sz="0" w:space="0" w:color="auto"/>
                                    <w:left w:val="none" w:sz="0" w:space="0" w:color="auto"/>
                                    <w:bottom w:val="none" w:sz="0" w:space="0" w:color="auto"/>
                                    <w:right w:val="none" w:sz="0" w:space="0" w:color="auto"/>
                                  </w:divBdr>
                                  <w:divsChild>
                                    <w:div w:id="334234750">
                                      <w:marLeft w:val="0"/>
                                      <w:marRight w:val="0"/>
                                      <w:marTop w:val="0"/>
                                      <w:marBottom w:val="0"/>
                                      <w:divBdr>
                                        <w:top w:val="none" w:sz="0" w:space="0" w:color="auto"/>
                                        <w:left w:val="none" w:sz="0" w:space="0" w:color="auto"/>
                                        <w:bottom w:val="none" w:sz="0" w:space="0" w:color="auto"/>
                                        <w:right w:val="none" w:sz="0" w:space="0" w:color="auto"/>
                                      </w:divBdr>
                                      <w:divsChild>
                                        <w:div w:id="679165730">
                                          <w:marLeft w:val="0"/>
                                          <w:marRight w:val="0"/>
                                          <w:marTop w:val="0"/>
                                          <w:marBottom w:val="0"/>
                                          <w:divBdr>
                                            <w:top w:val="none" w:sz="0" w:space="0" w:color="auto"/>
                                            <w:left w:val="none" w:sz="0" w:space="0" w:color="auto"/>
                                            <w:bottom w:val="none" w:sz="0" w:space="0" w:color="auto"/>
                                            <w:right w:val="none" w:sz="0" w:space="0" w:color="auto"/>
                                          </w:divBdr>
                                          <w:divsChild>
                                            <w:div w:id="1733579065">
                                              <w:marLeft w:val="0"/>
                                              <w:marRight w:val="0"/>
                                              <w:marTop w:val="0"/>
                                              <w:marBottom w:val="0"/>
                                              <w:divBdr>
                                                <w:top w:val="none" w:sz="0" w:space="0" w:color="auto"/>
                                                <w:left w:val="none" w:sz="0" w:space="0" w:color="auto"/>
                                                <w:bottom w:val="none" w:sz="0" w:space="0" w:color="auto"/>
                                                <w:right w:val="none" w:sz="0" w:space="0" w:color="auto"/>
                                              </w:divBdr>
                                              <w:divsChild>
                                                <w:div w:id="1129906826">
                                                  <w:marLeft w:val="0"/>
                                                  <w:marRight w:val="0"/>
                                                  <w:marTop w:val="0"/>
                                                  <w:marBottom w:val="0"/>
                                                  <w:divBdr>
                                                    <w:top w:val="none" w:sz="0" w:space="0" w:color="auto"/>
                                                    <w:left w:val="none" w:sz="0" w:space="0" w:color="auto"/>
                                                    <w:bottom w:val="none" w:sz="0" w:space="0" w:color="auto"/>
                                                    <w:right w:val="none" w:sz="0" w:space="0" w:color="auto"/>
                                                  </w:divBdr>
                                                  <w:divsChild>
                                                    <w:div w:id="2070223795">
                                                      <w:marLeft w:val="0"/>
                                                      <w:marRight w:val="0"/>
                                                      <w:marTop w:val="0"/>
                                                      <w:marBottom w:val="0"/>
                                                      <w:divBdr>
                                                        <w:top w:val="none" w:sz="0" w:space="0" w:color="auto"/>
                                                        <w:left w:val="none" w:sz="0" w:space="0" w:color="auto"/>
                                                        <w:bottom w:val="none" w:sz="0" w:space="0" w:color="auto"/>
                                                        <w:right w:val="none" w:sz="0" w:space="0" w:color="auto"/>
                                                      </w:divBdr>
                                                      <w:divsChild>
                                                        <w:div w:id="1090740821">
                                                          <w:marLeft w:val="0"/>
                                                          <w:marRight w:val="0"/>
                                                          <w:marTop w:val="0"/>
                                                          <w:marBottom w:val="0"/>
                                                          <w:divBdr>
                                                            <w:top w:val="none" w:sz="0" w:space="0" w:color="auto"/>
                                                            <w:left w:val="none" w:sz="0" w:space="0" w:color="auto"/>
                                                            <w:bottom w:val="none" w:sz="0" w:space="0" w:color="auto"/>
                                                            <w:right w:val="none" w:sz="0" w:space="0" w:color="auto"/>
                                                          </w:divBdr>
                                                          <w:divsChild>
                                                            <w:div w:id="1839272773">
                                                              <w:marLeft w:val="0"/>
                                                              <w:marRight w:val="0"/>
                                                              <w:marTop w:val="0"/>
                                                              <w:marBottom w:val="0"/>
                                                              <w:divBdr>
                                                                <w:top w:val="none" w:sz="0" w:space="0" w:color="auto"/>
                                                                <w:left w:val="none" w:sz="0" w:space="0" w:color="auto"/>
                                                                <w:bottom w:val="none" w:sz="0" w:space="0" w:color="auto"/>
                                                                <w:right w:val="none" w:sz="0" w:space="0" w:color="auto"/>
                                                              </w:divBdr>
                                                              <w:divsChild>
                                                                <w:div w:id="468940254">
                                                                  <w:marLeft w:val="0"/>
                                                                  <w:marRight w:val="0"/>
                                                                  <w:marTop w:val="0"/>
                                                                  <w:marBottom w:val="0"/>
                                                                  <w:divBdr>
                                                                    <w:top w:val="none" w:sz="0" w:space="0" w:color="auto"/>
                                                                    <w:left w:val="none" w:sz="0" w:space="0" w:color="auto"/>
                                                                    <w:bottom w:val="none" w:sz="0" w:space="0" w:color="auto"/>
                                                                    <w:right w:val="none" w:sz="0" w:space="0" w:color="auto"/>
                                                                  </w:divBdr>
                                                                  <w:divsChild>
                                                                    <w:div w:id="11065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8634494">
      <w:bodyDiv w:val="1"/>
      <w:marLeft w:val="0"/>
      <w:marRight w:val="0"/>
      <w:marTop w:val="0"/>
      <w:marBottom w:val="0"/>
      <w:divBdr>
        <w:top w:val="none" w:sz="0" w:space="0" w:color="auto"/>
        <w:left w:val="none" w:sz="0" w:space="0" w:color="auto"/>
        <w:bottom w:val="none" w:sz="0" w:space="0" w:color="auto"/>
        <w:right w:val="none" w:sz="0" w:space="0" w:color="auto"/>
      </w:divBdr>
    </w:div>
    <w:div w:id="1718817378">
      <w:bodyDiv w:val="1"/>
      <w:marLeft w:val="0"/>
      <w:marRight w:val="0"/>
      <w:marTop w:val="0"/>
      <w:marBottom w:val="0"/>
      <w:divBdr>
        <w:top w:val="none" w:sz="0" w:space="0" w:color="auto"/>
        <w:left w:val="none" w:sz="0" w:space="0" w:color="auto"/>
        <w:bottom w:val="none" w:sz="0" w:space="0" w:color="auto"/>
        <w:right w:val="none" w:sz="0" w:space="0" w:color="auto"/>
      </w:divBdr>
    </w:div>
    <w:div w:id="1730958617">
      <w:bodyDiv w:val="1"/>
      <w:marLeft w:val="0"/>
      <w:marRight w:val="0"/>
      <w:marTop w:val="0"/>
      <w:marBottom w:val="0"/>
      <w:divBdr>
        <w:top w:val="none" w:sz="0" w:space="0" w:color="auto"/>
        <w:left w:val="none" w:sz="0" w:space="0" w:color="auto"/>
        <w:bottom w:val="none" w:sz="0" w:space="0" w:color="auto"/>
        <w:right w:val="none" w:sz="0" w:space="0" w:color="auto"/>
      </w:divBdr>
    </w:div>
    <w:div w:id="1745713020">
      <w:bodyDiv w:val="1"/>
      <w:marLeft w:val="0"/>
      <w:marRight w:val="0"/>
      <w:marTop w:val="0"/>
      <w:marBottom w:val="0"/>
      <w:divBdr>
        <w:top w:val="none" w:sz="0" w:space="0" w:color="auto"/>
        <w:left w:val="none" w:sz="0" w:space="0" w:color="auto"/>
        <w:bottom w:val="none" w:sz="0" w:space="0" w:color="auto"/>
        <w:right w:val="none" w:sz="0" w:space="0" w:color="auto"/>
      </w:divBdr>
    </w:div>
    <w:div w:id="1746999733">
      <w:bodyDiv w:val="1"/>
      <w:marLeft w:val="0"/>
      <w:marRight w:val="0"/>
      <w:marTop w:val="0"/>
      <w:marBottom w:val="0"/>
      <w:divBdr>
        <w:top w:val="none" w:sz="0" w:space="0" w:color="auto"/>
        <w:left w:val="none" w:sz="0" w:space="0" w:color="auto"/>
        <w:bottom w:val="none" w:sz="0" w:space="0" w:color="auto"/>
        <w:right w:val="none" w:sz="0" w:space="0" w:color="auto"/>
      </w:divBdr>
    </w:div>
    <w:div w:id="1758820212">
      <w:bodyDiv w:val="1"/>
      <w:marLeft w:val="0"/>
      <w:marRight w:val="0"/>
      <w:marTop w:val="0"/>
      <w:marBottom w:val="0"/>
      <w:divBdr>
        <w:top w:val="none" w:sz="0" w:space="0" w:color="auto"/>
        <w:left w:val="none" w:sz="0" w:space="0" w:color="auto"/>
        <w:bottom w:val="none" w:sz="0" w:space="0" w:color="auto"/>
        <w:right w:val="none" w:sz="0" w:space="0" w:color="auto"/>
      </w:divBdr>
    </w:div>
    <w:div w:id="1767919518">
      <w:bodyDiv w:val="1"/>
      <w:marLeft w:val="0"/>
      <w:marRight w:val="0"/>
      <w:marTop w:val="0"/>
      <w:marBottom w:val="0"/>
      <w:divBdr>
        <w:top w:val="none" w:sz="0" w:space="0" w:color="auto"/>
        <w:left w:val="none" w:sz="0" w:space="0" w:color="auto"/>
        <w:bottom w:val="none" w:sz="0" w:space="0" w:color="auto"/>
        <w:right w:val="none" w:sz="0" w:space="0" w:color="auto"/>
      </w:divBdr>
    </w:div>
    <w:div w:id="1769539932">
      <w:bodyDiv w:val="1"/>
      <w:marLeft w:val="0"/>
      <w:marRight w:val="0"/>
      <w:marTop w:val="0"/>
      <w:marBottom w:val="0"/>
      <w:divBdr>
        <w:top w:val="none" w:sz="0" w:space="0" w:color="auto"/>
        <w:left w:val="none" w:sz="0" w:space="0" w:color="auto"/>
        <w:bottom w:val="none" w:sz="0" w:space="0" w:color="auto"/>
        <w:right w:val="none" w:sz="0" w:space="0" w:color="auto"/>
      </w:divBdr>
    </w:div>
    <w:div w:id="1782258567">
      <w:bodyDiv w:val="1"/>
      <w:marLeft w:val="0"/>
      <w:marRight w:val="0"/>
      <w:marTop w:val="0"/>
      <w:marBottom w:val="0"/>
      <w:divBdr>
        <w:top w:val="none" w:sz="0" w:space="0" w:color="auto"/>
        <w:left w:val="none" w:sz="0" w:space="0" w:color="auto"/>
        <w:bottom w:val="none" w:sz="0" w:space="0" w:color="auto"/>
        <w:right w:val="none" w:sz="0" w:space="0" w:color="auto"/>
      </w:divBdr>
    </w:div>
    <w:div w:id="1811903764">
      <w:bodyDiv w:val="1"/>
      <w:marLeft w:val="0"/>
      <w:marRight w:val="0"/>
      <w:marTop w:val="0"/>
      <w:marBottom w:val="0"/>
      <w:divBdr>
        <w:top w:val="none" w:sz="0" w:space="0" w:color="auto"/>
        <w:left w:val="none" w:sz="0" w:space="0" w:color="auto"/>
        <w:bottom w:val="none" w:sz="0" w:space="0" w:color="auto"/>
        <w:right w:val="none" w:sz="0" w:space="0" w:color="auto"/>
      </w:divBdr>
      <w:divsChild>
        <w:div w:id="901525607">
          <w:marLeft w:val="0"/>
          <w:marRight w:val="0"/>
          <w:marTop w:val="0"/>
          <w:marBottom w:val="0"/>
          <w:divBdr>
            <w:top w:val="none" w:sz="0" w:space="0" w:color="auto"/>
            <w:left w:val="none" w:sz="0" w:space="0" w:color="auto"/>
            <w:bottom w:val="none" w:sz="0" w:space="0" w:color="auto"/>
            <w:right w:val="none" w:sz="0" w:space="0" w:color="auto"/>
          </w:divBdr>
          <w:divsChild>
            <w:div w:id="2127577287">
              <w:marLeft w:val="0"/>
              <w:marRight w:val="0"/>
              <w:marTop w:val="0"/>
              <w:marBottom w:val="0"/>
              <w:divBdr>
                <w:top w:val="none" w:sz="0" w:space="0" w:color="auto"/>
                <w:left w:val="none" w:sz="0" w:space="0" w:color="auto"/>
                <w:bottom w:val="none" w:sz="0" w:space="0" w:color="auto"/>
                <w:right w:val="none" w:sz="0" w:space="0" w:color="auto"/>
              </w:divBdr>
              <w:divsChild>
                <w:div w:id="114108445">
                  <w:marLeft w:val="0"/>
                  <w:marRight w:val="0"/>
                  <w:marTop w:val="0"/>
                  <w:marBottom w:val="0"/>
                  <w:divBdr>
                    <w:top w:val="none" w:sz="0" w:space="0" w:color="auto"/>
                    <w:left w:val="none" w:sz="0" w:space="0" w:color="auto"/>
                    <w:bottom w:val="none" w:sz="0" w:space="0" w:color="auto"/>
                    <w:right w:val="none" w:sz="0" w:space="0" w:color="auto"/>
                  </w:divBdr>
                  <w:divsChild>
                    <w:div w:id="747966418">
                      <w:marLeft w:val="0"/>
                      <w:marRight w:val="0"/>
                      <w:marTop w:val="0"/>
                      <w:marBottom w:val="0"/>
                      <w:divBdr>
                        <w:top w:val="none" w:sz="0" w:space="0" w:color="auto"/>
                        <w:left w:val="none" w:sz="0" w:space="0" w:color="auto"/>
                        <w:bottom w:val="none" w:sz="0" w:space="0" w:color="auto"/>
                        <w:right w:val="none" w:sz="0" w:space="0" w:color="auto"/>
                      </w:divBdr>
                      <w:divsChild>
                        <w:div w:id="1237935703">
                          <w:marLeft w:val="0"/>
                          <w:marRight w:val="0"/>
                          <w:marTop w:val="0"/>
                          <w:marBottom w:val="0"/>
                          <w:divBdr>
                            <w:top w:val="none" w:sz="0" w:space="0" w:color="auto"/>
                            <w:left w:val="none" w:sz="0" w:space="0" w:color="auto"/>
                            <w:bottom w:val="none" w:sz="0" w:space="0" w:color="auto"/>
                            <w:right w:val="none" w:sz="0" w:space="0" w:color="auto"/>
                          </w:divBdr>
                          <w:divsChild>
                            <w:div w:id="2050061489">
                              <w:marLeft w:val="0"/>
                              <w:marRight w:val="0"/>
                              <w:marTop w:val="0"/>
                              <w:marBottom w:val="0"/>
                              <w:divBdr>
                                <w:top w:val="none" w:sz="0" w:space="0" w:color="auto"/>
                                <w:left w:val="none" w:sz="0" w:space="0" w:color="auto"/>
                                <w:bottom w:val="none" w:sz="0" w:space="0" w:color="auto"/>
                                <w:right w:val="none" w:sz="0" w:space="0" w:color="auto"/>
                              </w:divBdr>
                              <w:divsChild>
                                <w:div w:id="1342775391">
                                  <w:marLeft w:val="0"/>
                                  <w:marRight w:val="0"/>
                                  <w:marTop w:val="0"/>
                                  <w:marBottom w:val="0"/>
                                  <w:divBdr>
                                    <w:top w:val="none" w:sz="0" w:space="0" w:color="auto"/>
                                    <w:left w:val="none" w:sz="0" w:space="0" w:color="auto"/>
                                    <w:bottom w:val="none" w:sz="0" w:space="0" w:color="auto"/>
                                    <w:right w:val="none" w:sz="0" w:space="0" w:color="auto"/>
                                  </w:divBdr>
                                  <w:divsChild>
                                    <w:div w:id="321593238">
                                      <w:marLeft w:val="0"/>
                                      <w:marRight w:val="0"/>
                                      <w:marTop w:val="0"/>
                                      <w:marBottom w:val="0"/>
                                      <w:divBdr>
                                        <w:top w:val="none" w:sz="0" w:space="0" w:color="auto"/>
                                        <w:left w:val="none" w:sz="0" w:space="0" w:color="auto"/>
                                        <w:bottom w:val="none" w:sz="0" w:space="0" w:color="auto"/>
                                        <w:right w:val="none" w:sz="0" w:space="0" w:color="auto"/>
                                      </w:divBdr>
                                      <w:divsChild>
                                        <w:div w:id="75443073">
                                          <w:marLeft w:val="0"/>
                                          <w:marRight w:val="0"/>
                                          <w:marTop w:val="0"/>
                                          <w:marBottom w:val="0"/>
                                          <w:divBdr>
                                            <w:top w:val="none" w:sz="0" w:space="0" w:color="auto"/>
                                            <w:left w:val="none" w:sz="0" w:space="0" w:color="auto"/>
                                            <w:bottom w:val="none" w:sz="0" w:space="0" w:color="auto"/>
                                            <w:right w:val="none" w:sz="0" w:space="0" w:color="auto"/>
                                          </w:divBdr>
                                          <w:divsChild>
                                            <w:div w:id="1332567083">
                                              <w:marLeft w:val="0"/>
                                              <w:marRight w:val="0"/>
                                              <w:marTop w:val="0"/>
                                              <w:marBottom w:val="0"/>
                                              <w:divBdr>
                                                <w:top w:val="none" w:sz="0" w:space="0" w:color="auto"/>
                                                <w:left w:val="none" w:sz="0" w:space="0" w:color="auto"/>
                                                <w:bottom w:val="none" w:sz="0" w:space="0" w:color="auto"/>
                                                <w:right w:val="none" w:sz="0" w:space="0" w:color="auto"/>
                                              </w:divBdr>
                                              <w:divsChild>
                                                <w:div w:id="1401366599">
                                                  <w:marLeft w:val="0"/>
                                                  <w:marRight w:val="0"/>
                                                  <w:marTop w:val="0"/>
                                                  <w:marBottom w:val="0"/>
                                                  <w:divBdr>
                                                    <w:top w:val="none" w:sz="0" w:space="0" w:color="auto"/>
                                                    <w:left w:val="none" w:sz="0" w:space="0" w:color="auto"/>
                                                    <w:bottom w:val="none" w:sz="0" w:space="0" w:color="auto"/>
                                                    <w:right w:val="none" w:sz="0" w:space="0" w:color="auto"/>
                                                  </w:divBdr>
                                                  <w:divsChild>
                                                    <w:div w:id="2023241113">
                                                      <w:marLeft w:val="0"/>
                                                      <w:marRight w:val="0"/>
                                                      <w:marTop w:val="0"/>
                                                      <w:marBottom w:val="0"/>
                                                      <w:divBdr>
                                                        <w:top w:val="none" w:sz="0" w:space="0" w:color="auto"/>
                                                        <w:left w:val="none" w:sz="0" w:space="0" w:color="auto"/>
                                                        <w:bottom w:val="none" w:sz="0" w:space="0" w:color="auto"/>
                                                        <w:right w:val="none" w:sz="0" w:space="0" w:color="auto"/>
                                                      </w:divBdr>
                                                      <w:divsChild>
                                                        <w:div w:id="1694839281">
                                                          <w:marLeft w:val="0"/>
                                                          <w:marRight w:val="0"/>
                                                          <w:marTop w:val="0"/>
                                                          <w:marBottom w:val="0"/>
                                                          <w:divBdr>
                                                            <w:top w:val="none" w:sz="0" w:space="0" w:color="auto"/>
                                                            <w:left w:val="none" w:sz="0" w:space="0" w:color="auto"/>
                                                            <w:bottom w:val="none" w:sz="0" w:space="0" w:color="auto"/>
                                                            <w:right w:val="none" w:sz="0" w:space="0" w:color="auto"/>
                                                          </w:divBdr>
                                                          <w:divsChild>
                                                            <w:div w:id="1936353403">
                                                              <w:marLeft w:val="0"/>
                                                              <w:marRight w:val="0"/>
                                                              <w:marTop w:val="0"/>
                                                              <w:marBottom w:val="0"/>
                                                              <w:divBdr>
                                                                <w:top w:val="none" w:sz="0" w:space="0" w:color="auto"/>
                                                                <w:left w:val="none" w:sz="0" w:space="0" w:color="auto"/>
                                                                <w:bottom w:val="none" w:sz="0" w:space="0" w:color="auto"/>
                                                                <w:right w:val="none" w:sz="0" w:space="0" w:color="auto"/>
                                                              </w:divBdr>
                                                              <w:divsChild>
                                                                <w:div w:id="1167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2503369">
      <w:bodyDiv w:val="1"/>
      <w:marLeft w:val="0"/>
      <w:marRight w:val="0"/>
      <w:marTop w:val="0"/>
      <w:marBottom w:val="0"/>
      <w:divBdr>
        <w:top w:val="none" w:sz="0" w:space="0" w:color="auto"/>
        <w:left w:val="none" w:sz="0" w:space="0" w:color="auto"/>
        <w:bottom w:val="none" w:sz="0" w:space="0" w:color="auto"/>
        <w:right w:val="none" w:sz="0" w:space="0" w:color="auto"/>
      </w:divBdr>
    </w:div>
    <w:div w:id="1824540684">
      <w:bodyDiv w:val="1"/>
      <w:marLeft w:val="0"/>
      <w:marRight w:val="0"/>
      <w:marTop w:val="0"/>
      <w:marBottom w:val="0"/>
      <w:divBdr>
        <w:top w:val="none" w:sz="0" w:space="0" w:color="auto"/>
        <w:left w:val="none" w:sz="0" w:space="0" w:color="auto"/>
        <w:bottom w:val="none" w:sz="0" w:space="0" w:color="auto"/>
        <w:right w:val="none" w:sz="0" w:space="0" w:color="auto"/>
      </w:divBdr>
    </w:div>
    <w:div w:id="1825782637">
      <w:bodyDiv w:val="1"/>
      <w:marLeft w:val="0"/>
      <w:marRight w:val="0"/>
      <w:marTop w:val="0"/>
      <w:marBottom w:val="0"/>
      <w:divBdr>
        <w:top w:val="none" w:sz="0" w:space="0" w:color="auto"/>
        <w:left w:val="none" w:sz="0" w:space="0" w:color="auto"/>
        <w:bottom w:val="none" w:sz="0" w:space="0" w:color="auto"/>
        <w:right w:val="none" w:sz="0" w:space="0" w:color="auto"/>
      </w:divBdr>
      <w:divsChild>
        <w:div w:id="1217397102">
          <w:marLeft w:val="0"/>
          <w:marRight w:val="0"/>
          <w:marTop w:val="0"/>
          <w:marBottom w:val="0"/>
          <w:divBdr>
            <w:top w:val="none" w:sz="0" w:space="0" w:color="auto"/>
            <w:left w:val="none" w:sz="0" w:space="0" w:color="auto"/>
            <w:bottom w:val="none" w:sz="0" w:space="0" w:color="auto"/>
            <w:right w:val="none" w:sz="0" w:space="0" w:color="auto"/>
          </w:divBdr>
          <w:divsChild>
            <w:div w:id="1563710845">
              <w:marLeft w:val="0"/>
              <w:marRight w:val="0"/>
              <w:marTop w:val="0"/>
              <w:marBottom w:val="0"/>
              <w:divBdr>
                <w:top w:val="none" w:sz="0" w:space="0" w:color="auto"/>
                <w:left w:val="none" w:sz="0" w:space="0" w:color="auto"/>
                <w:bottom w:val="none" w:sz="0" w:space="0" w:color="auto"/>
                <w:right w:val="none" w:sz="0" w:space="0" w:color="auto"/>
              </w:divBdr>
              <w:divsChild>
                <w:div w:id="951981970">
                  <w:marLeft w:val="0"/>
                  <w:marRight w:val="0"/>
                  <w:marTop w:val="0"/>
                  <w:marBottom w:val="0"/>
                  <w:divBdr>
                    <w:top w:val="none" w:sz="0" w:space="0" w:color="auto"/>
                    <w:left w:val="none" w:sz="0" w:space="0" w:color="auto"/>
                    <w:bottom w:val="none" w:sz="0" w:space="0" w:color="auto"/>
                    <w:right w:val="none" w:sz="0" w:space="0" w:color="auto"/>
                  </w:divBdr>
                  <w:divsChild>
                    <w:div w:id="20596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602211">
      <w:bodyDiv w:val="1"/>
      <w:marLeft w:val="0"/>
      <w:marRight w:val="0"/>
      <w:marTop w:val="0"/>
      <w:marBottom w:val="0"/>
      <w:divBdr>
        <w:top w:val="none" w:sz="0" w:space="0" w:color="auto"/>
        <w:left w:val="none" w:sz="0" w:space="0" w:color="auto"/>
        <w:bottom w:val="none" w:sz="0" w:space="0" w:color="auto"/>
        <w:right w:val="none" w:sz="0" w:space="0" w:color="auto"/>
      </w:divBdr>
    </w:div>
    <w:div w:id="1860771198">
      <w:bodyDiv w:val="1"/>
      <w:marLeft w:val="0"/>
      <w:marRight w:val="0"/>
      <w:marTop w:val="0"/>
      <w:marBottom w:val="0"/>
      <w:divBdr>
        <w:top w:val="none" w:sz="0" w:space="0" w:color="auto"/>
        <w:left w:val="none" w:sz="0" w:space="0" w:color="auto"/>
        <w:bottom w:val="none" w:sz="0" w:space="0" w:color="auto"/>
        <w:right w:val="none" w:sz="0" w:space="0" w:color="auto"/>
      </w:divBdr>
    </w:div>
    <w:div w:id="1874422711">
      <w:bodyDiv w:val="1"/>
      <w:marLeft w:val="0"/>
      <w:marRight w:val="0"/>
      <w:marTop w:val="0"/>
      <w:marBottom w:val="0"/>
      <w:divBdr>
        <w:top w:val="none" w:sz="0" w:space="0" w:color="auto"/>
        <w:left w:val="none" w:sz="0" w:space="0" w:color="auto"/>
        <w:bottom w:val="none" w:sz="0" w:space="0" w:color="auto"/>
        <w:right w:val="none" w:sz="0" w:space="0" w:color="auto"/>
      </w:divBdr>
    </w:div>
    <w:div w:id="1919437657">
      <w:bodyDiv w:val="1"/>
      <w:marLeft w:val="0"/>
      <w:marRight w:val="0"/>
      <w:marTop w:val="0"/>
      <w:marBottom w:val="0"/>
      <w:divBdr>
        <w:top w:val="none" w:sz="0" w:space="0" w:color="auto"/>
        <w:left w:val="none" w:sz="0" w:space="0" w:color="auto"/>
        <w:bottom w:val="none" w:sz="0" w:space="0" w:color="auto"/>
        <w:right w:val="none" w:sz="0" w:space="0" w:color="auto"/>
      </w:divBdr>
    </w:div>
    <w:div w:id="1924145501">
      <w:bodyDiv w:val="1"/>
      <w:marLeft w:val="0"/>
      <w:marRight w:val="0"/>
      <w:marTop w:val="0"/>
      <w:marBottom w:val="0"/>
      <w:divBdr>
        <w:top w:val="none" w:sz="0" w:space="0" w:color="auto"/>
        <w:left w:val="none" w:sz="0" w:space="0" w:color="auto"/>
        <w:bottom w:val="none" w:sz="0" w:space="0" w:color="auto"/>
        <w:right w:val="none" w:sz="0" w:space="0" w:color="auto"/>
      </w:divBdr>
    </w:div>
    <w:div w:id="1933010847">
      <w:bodyDiv w:val="1"/>
      <w:marLeft w:val="0"/>
      <w:marRight w:val="0"/>
      <w:marTop w:val="0"/>
      <w:marBottom w:val="0"/>
      <w:divBdr>
        <w:top w:val="none" w:sz="0" w:space="0" w:color="auto"/>
        <w:left w:val="none" w:sz="0" w:space="0" w:color="auto"/>
        <w:bottom w:val="none" w:sz="0" w:space="0" w:color="auto"/>
        <w:right w:val="none" w:sz="0" w:space="0" w:color="auto"/>
      </w:divBdr>
    </w:div>
    <w:div w:id="1965693901">
      <w:bodyDiv w:val="1"/>
      <w:marLeft w:val="0"/>
      <w:marRight w:val="0"/>
      <w:marTop w:val="0"/>
      <w:marBottom w:val="0"/>
      <w:divBdr>
        <w:top w:val="none" w:sz="0" w:space="0" w:color="auto"/>
        <w:left w:val="none" w:sz="0" w:space="0" w:color="auto"/>
        <w:bottom w:val="none" w:sz="0" w:space="0" w:color="auto"/>
        <w:right w:val="none" w:sz="0" w:space="0" w:color="auto"/>
      </w:divBdr>
    </w:div>
    <w:div w:id="2011328393">
      <w:bodyDiv w:val="1"/>
      <w:marLeft w:val="0"/>
      <w:marRight w:val="0"/>
      <w:marTop w:val="0"/>
      <w:marBottom w:val="0"/>
      <w:divBdr>
        <w:top w:val="none" w:sz="0" w:space="0" w:color="auto"/>
        <w:left w:val="none" w:sz="0" w:space="0" w:color="auto"/>
        <w:bottom w:val="none" w:sz="0" w:space="0" w:color="auto"/>
        <w:right w:val="none" w:sz="0" w:space="0" w:color="auto"/>
      </w:divBdr>
    </w:div>
    <w:div w:id="2034727332">
      <w:bodyDiv w:val="1"/>
      <w:marLeft w:val="0"/>
      <w:marRight w:val="0"/>
      <w:marTop w:val="0"/>
      <w:marBottom w:val="0"/>
      <w:divBdr>
        <w:top w:val="none" w:sz="0" w:space="0" w:color="auto"/>
        <w:left w:val="none" w:sz="0" w:space="0" w:color="auto"/>
        <w:bottom w:val="none" w:sz="0" w:space="0" w:color="auto"/>
        <w:right w:val="none" w:sz="0" w:space="0" w:color="auto"/>
      </w:divBdr>
    </w:div>
    <w:div w:id="2047171525">
      <w:bodyDiv w:val="1"/>
      <w:marLeft w:val="0"/>
      <w:marRight w:val="0"/>
      <w:marTop w:val="0"/>
      <w:marBottom w:val="0"/>
      <w:divBdr>
        <w:top w:val="none" w:sz="0" w:space="0" w:color="auto"/>
        <w:left w:val="none" w:sz="0" w:space="0" w:color="auto"/>
        <w:bottom w:val="none" w:sz="0" w:space="0" w:color="auto"/>
        <w:right w:val="none" w:sz="0" w:space="0" w:color="auto"/>
      </w:divBdr>
    </w:div>
    <w:div w:id="2048098199">
      <w:bodyDiv w:val="1"/>
      <w:marLeft w:val="0"/>
      <w:marRight w:val="0"/>
      <w:marTop w:val="0"/>
      <w:marBottom w:val="0"/>
      <w:divBdr>
        <w:top w:val="none" w:sz="0" w:space="0" w:color="auto"/>
        <w:left w:val="none" w:sz="0" w:space="0" w:color="auto"/>
        <w:bottom w:val="none" w:sz="0" w:space="0" w:color="auto"/>
        <w:right w:val="none" w:sz="0" w:space="0" w:color="auto"/>
      </w:divBdr>
      <w:divsChild>
        <w:div w:id="2062049506">
          <w:marLeft w:val="0"/>
          <w:marRight w:val="0"/>
          <w:marTop w:val="0"/>
          <w:marBottom w:val="0"/>
          <w:divBdr>
            <w:top w:val="none" w:sz="0" w:space="0" w:color="auto"/>
            <w:left w:val="none" w:sz="0" w:space="0" w:color="auto"/>
            <w:bottom w:val="none" w:sz="0" w:space="0" w:color="auto"/>
            <w:right w:val="none" w:sz="0" w:space="0" w:color="auto"/>
          </w:divBdr>
        </w:div>
        <w:div w:id="1589196426">
          <w:marLeft w:val="0"/>
          <w:marRight w:val="0"/>
          <w:marTop w:val="0"/>
          <w:marBottom w:val="0"/>
          <w:divBdr>
            <w:top w:val="none" w:sz="0" w:space="0" w:color="auto"/>
            <w:left w:val="none" w:sz="0" w:space="0" w:color="auto"/>
            <w:bottom w:val="none" w:sz="0" w:space="0" w:color="auto"/>
            <w:right w:val="none" w:sz="0" w:space="0" w:color="auto"/>
          </w:divBdr>
        </w:div>
        <w:div w:id="1654794076">
          <w:marLeft w:val="0"/>
          <w:marRight w:val="0"/>
          <w:marTop w:val="0"/>
          <w:marBottom w:val="0"/>
          <w:divBdr>
            <w:top w:val="none" w:sz="0" w:space="0" w:color="auto"/>
            <w:left w:val="none" w:sz="0" w:space="0" w:color="auto"/>
            <w:bottom w:val="none" w:sz="0" w:space="0" w:color="auto"/>
            <w:right w:val="none" w:sz="0" w:space="0" w:color="auto"/>
          </w:divBdr>
        </w:div>
      </w:divsChild>
    </w:div>
    <w:div w:id="2084176808">
      <w:bodyDiv w:val="1"/>
      <w:marLeft w:val="0"/>
      <w:marRight w:val="0"/>
      <w:marTop w:val="0"/>
      <w:marBottom w:val="0"/>
      <w:divBdr>
        <w:top w:val="none" w:sz="0" w:space="0" w:color="auto"/>
        <w:left w:val="none" w:sz="0" w:space="0" w:color="auto"/>
        <w:bottom w:val="none" w:sz="0" w:space="0" w:color="auto"/>
        <w:right w:val="none" w:sz="0" w:space="0" w:color="auto"/>
      </w:divBdr>
    </w:div>
    <w:div w:id="2095545195">
      <w:bodyDiv w:val="1"/>
      <w:marLeft w:val="0"/>
      <w:marRight w:val="0"/>
      <w:marTop w:val="0"/>
      <w:marBottom w:val="0"/>
      <w:divBdr>
        <w:top w:val="none" w:sz="0" w:space="0" w:color="auto"/>
        <w:left w:val="none" w:sz="0" w:space="0" w:color="auto"/>
        <w:bottom w:val="none" w:sz="0" w:space="0" w:color="auto"/>
        <w:right w:val="none" w:sz="0" w:space="0" w:color="auto"/>
      </w:divBdr>
    </w:div>
    <w:div w:id="2104717481">
      <w:bodyDiv w:val="1"/>
      <w:marLeft w:val="0"/>
      <w:marRight w:val="0"/>
      <w:marTop w:val="0"/>
      <w:marBottom w:val="0"/>
      <w:divBdr>
        <w:top w:val="none" w:sz="0" w:space="0" w:color="auto"/>
        <w:left w:val="none" w:sz="0" w:space="0" w:color="auto"/>
        <w:bottom w:val="none" w:sz="0" w:space="0" w:color="auto"/>
        <w:right w:val="none" w:sz="0" w:space="0" w:color="auto"/>
      </w:divBdr>
      <w:divsChild>
        <w:div w:id="197623077">
          <w:marLeft w:val="0"/>
          <w:marRight w:val="0"/>
          <w:marTop w:val="0"/>
          <w:marBottom w:val="0"/>
          <w:divBdr>
            <w:top w:val="none" w:sz="0" w:space="0" w:color="auto"/>
            <w:left w:val="none" w:sz="0" w:space="0" w:color="auto"/>
            <w:bottom w:val="none" w:sz="0" w:space="0" w:color="auto"/>
            <w:right w:val="none" w:sz="0" w:space="0" w:color="auto"/>
          </w:divBdr>
        </w:div>
        <w:div w:id="593788123">
          <w:marLeft w:val="0"/>
          <w:marRight w:val="0"/>
          <w:marTop w:val="0"/>
          <w:marBottom w:val="0"/>
          <w:divBdr>
            <w:top w:val="none" w:sz="0" w:space="0" w:color="auto"/>
            <w:left w:val="none" w:sz="0" w:space="0" w:color="auto"/>
            <w:bottom w:val="none" w:sz="0" w:space="0" w:color="auto"/>
            <w:right w:val="none" w:sz="0" w:space="0" w:color="auto"/>
          </w:divBdr>
        </w:div>
        <w:div w:id="472718643">
          <w:marLeft w:val="0"/>
          <w:marRight w:val="0"/>
          <w:marTop w:val="0"/>
          <w:marBottom w:val="0"/>
          <w:divBdr>
            <w:top w:val="none" w:sz="0" w:space="0" w:color="auto"/>
            <w:left w:val="none" w:sz="0" w:space="0" w:color="auto"/>
            <w:bottom w:val="none" w:sz="0" w:space="0" w:color="auto"/>
            <w:right w:val="none" w:sz="0" w:space="0" w:color="auto"/>
          </w:divBdr>
        </w:div>
        <w:div w:id="883177925">
          <w:marLeft w:val="0"/>
          <w:marRight w:val="0"/>
          <w:marTop w:val="0"/>
          <w:marBottom w:val="0"/>
          <w:divBdr>
            <w:top w:val="none" w:sz="0" w:space="0" w:color="auto"/>
            <w:left w:val="none" w:sz="0" w:space="0" w:color="auto"/>
            <w:bottom w:val="none" w:sz="0" w:space="0" w:color="auto"/>
            <w:right w:val="none" w:sz="0" w:space="0" w:color="auto"/>
          </w:divBdr>
        </w:div>
        <w:div w:id="1408723651">
          <w:marLeft w:val="0"/>
          <w:marRight w:val="0"/>
          <w:marTop w:val="0"/>
          <w:marBottom w:val="0"/>
          <w:divBdr>
            <w:top w:val="none" w:sz="0" w:space="0" w:color="auto"/>
            <w:left w:val="none" w:sz="0" w:space="0" w:color="auto"/>
            <w:bottom w:val="none" w:sz="0" w:space="0" w:color="auto"/>
            <w:right w:val="none" w:sz="0" w:space="0" w:color="auto"/>
          </w:divBdr>
        </w:div>
        <w:div w:id="1711300194">
          <w:marLeft w:val="0"/>
          <w:marRight w:val="0"/>
          <w:marTop w:val="0"/>
          <w:marBottom w:val="0"/>
          <w:divBdr>
            <w:top w:val="none" w:sz="0" w:space="0" w:color="auto"/>
            <w:left w:val="none" w:sz="0" w:space="0" w:color="auto"/>
            <w:bottom w:val="none" w:sz="0" w:space="0" w:color="auto"/>
            <w:right w:val="none" w:sz="0" w:space="0" w:color="auto"/>
          </w:divBdr>
        </w:div>
      </w:divsChild>
    </w:div>
    <w:div w:id="2108576748">
      <w:bodyDiv w:val="1"/>
      <w:marLeft w:val="0"/>
      <w:marRight w:val="0"/>
      <w:marTop w:val="0"/>
      <w:marBottom w:val="0"/>
      <w:divBdr>
        <w:top w:val="none" w:sz="0" w:space="0" w:color="auto"/>
        <w:left w:val="none" w:sz="0" w:space="0" w:color="auto"/>
        <w:bottom w:val="none" w:sz="0" w:space="0" w:color="auto"/>
        <w:right w:val="none" w:sz="0" w:space="0" w:color="auto"/>
      </w:divBdr>
    </w:div>
    <w:div w:id="2132740679">
      <w:bodyDiv w:val="1"/>
      <w:marLeft w:val="0"/>
      <w:marRight w:val="0"/>
      <w:marTop w:val="0"/>
      <w:marBottom w:val="0"/>
      <w:divBdr>
        <w:top w:val="none" w:sz="0" w:space="0" w:color="auto"/>
        <w:left w:val="none" w:sz="0" w:space="0" w:color="auto"/>
        <w:bottom w:val="none" w:sz="0" w:space="0" w:color="auto"/>
        <w:right w:val="none" w:sz="0" w:space="0" w:color="auto"/>
      </w:divBdr>
    </w:div>
    <w:div w:id="213662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5" Type="http://schemas.openxmlformats.org/officeDocument/2006/relationships/settings" Target="settings.xml"/><Relationship Id="rId77"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8" Type="http://schemas.openxmlformats.org/officeDocument/2006/relationships/header" Target="header5.xml"/><Relationship Id="rId4" Type="http://schemas.openxmlformats.org/officeDocument/2006/relationships/styles" Target="styles.xml"/><Relationship Id="rId76"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29" Type="http://schemas.openxmlformats.org/officeDocument/2006/relationships/header" Target="header6.xml"/><Relationship Id="rId9" Type="http://schemas.openxmlformats.org/officeDocument/2006/relationships/image" Target="media/image1.jpg"/><Relationship Id="rId10" Type="http://schemas.openxmlformats.org/officeDocument/2006/relationships/image" Target="media/image2.png"/><Relationship Id="rId13"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jp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9.png"/></Relationships>
</file>

<file path=word/_rels/header6.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35000F-DF81-4178-812A-7448FA69319E}">
  <we:reference id="wa104381727" version="1.0.0.9" store="pt-BR"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dAdghMBXPKzUIY/W3vfLUD4FFeQ==">AMUW2mUJq0/pb1wOaXJ7yTY9fvi71q+iw9wqt88OulE1wccecnumY93x97oLtiVPvVPRfq2DIHaMa+lHUyZJDJB9EnXF4RDQ1sOzYtorkYTaO7ERodqbQIB029CYBA3oMGhKIByd11ONkE0LIGXqpmL31qvhEeMjz2J/PNJ+ZBeTK7+woECKlxxB8yU2Gdswqd9zC6P3fMBDoN/9mEeFLtetv59OgfiyZ7ghY4K2LAJ2s8yPdG/HhAre2TZvXBYDei4/YvNU2XC+8GCgNhbLv1g7pv9LXZPhgamE+L6mpsDjlXDWdWKE0C9Rk8/pGx1+RhxMxY2snSX3DDOVqOvjzFd0gDL+YwLjwJBbzCdxrMzcFt9GQ07qc36xvC3ihxe2IQWKEtEQkJLwfkNu4JN0Tafs/SkchUSJqs6UTPvzELNdWFDXxt7FO2dkprNlvs06XErSekvKnEhNmxm9sZ+SGwC+wgnCcLrCU4sCejpCXRGprBE4koz3wPvVa0UBwsh05JC89xvFLMMgMiK05hZrWUtveRUjzklI4WWPTWawS3HQgb3pBUwdqfRMFrFxFRHQOuvagyk0CAixTLK4KfuYOdXKRQZdDiFk3oxO677YaFIwJZ9YjAaTB78VQeuSL6N9ripAe0rws/zGAtG/3fQ2lh2ZNdL813tv+N/5tpEpITNAG1GhpUXx2Kp9trpYu0XoSh2L0tPmReAkAYwDdTFmWcpI18ABaFXhTNJuzId55WdTW7OcOSkjV2/4XcaAy4bXkGDSGUgg3eLcJkjcfQ1SSN3eddPWMov/BBq2UEHhgOdxNzdjOxnxa+cVNxuVJyte91lme57Lztqtm8e3u4np6mdABAZeQNentW2iqRwXJdiA5SDbNdqyLzynpzagjyZFeva2mxHQZMwiFiZj3ZXFBcr1TsgcXiNBi3Paf7cJVUM1+nmb11KBpNhytd0fweZbCWtB2v/y/dze6ujO0lXJwfJzCWXFHtTGVzSRiZgiiM5bwcinUqZl9j3+XgHmDokPD+9n+ujUYREjCma40A9jutswThGE14WfpvvnMLTfxm0v+fDnut98BPeuft35/5wCQXywe4+xOpMBvmwv5x38ZBsgUimx+GmMPx+nOqdsMR5Y8Ew1qdGglLJMzLNyY7VaRIX8fZLHFNbYsvMt0DmvDZ1TmqxLKjzqTOhGqpzzfBeKiuRPBc3HL2GeyM2V4WBJ8qgpYAV764fMeXukbQ6l/9AqP0ZgJGla0wpgy9W2w8ZqgQrOy6595w0RUw5qgANg/w7aA+xQe0HDQ4gzch4XnARJXf/qN6PI0nlR34e5b122tDgIVua8FclprWM021Ij7C6onO0BagPuNSL42AghS/27oH6okOmPwW/zxuGbscbkJM+TzOK7BAyAHndFf2hyEl/7qiNOPnqyeKUMOQzzo4f1zLYL+TsTP3dlHJ8BIjKNW+ZpSU9+nBl/SvxDkYrCuQfIFh8FkllleHhISsbBUdBA6SVRFMAMPRtRPlb5lwMI9NOWKYyeVLkvyXfhZo9+DDD4BoGDezTdDHvM7k+HE0E/cdXG8gEbV8HgMrl/AGgjvt4eVIL4PYSROyNvDq9qvc/nKN1w0b/16Fp2W3Tk1HZl9he3JbinYSw8FaPFLBbNUvNh/gQcjULSL11QLrZVsXDYa5RqaNCR8ln3GtVyTvy6Gt7m1HG2Aq8XW156pr313NJEYvcoA5gfB3GW4yEkjfQL0fu9YWqx2NoqwYhgVrdKycZwi8FlfrtcU3AKZdtY4uOAyF1QjdXmJd2TrxQaxYfnDkPjZ+2fOTptAhH9+xcmoI5tgVjR+nwf8VYAhRBfXc5uMURJZreiy4IrkT/M+08m4FNIilG1G/OsiY81WFmbJjBRmR6emA/qQMkazFLK8jL9UZLTJS+TN6xW4jDhwhsNTpveNv96r91EFwgrgYS8t7RV1Xe8J9BWZph8xZzMsB4JMfOhEeXQbl06VeE3GKyhInrYO//XRhvKdeAYoe37LgInhY3LzGBVU29k2bXNffp1J0loNtyN4ASRJAZAW1XZA+/dB49h3NdnMW3Y7mBi0ujbxIKTSEIjtGbKVEXlSJC4JSaf7DEfRclAy76wkp5eov6WVWNVbttKzvQgCdbUlrtXu4WbIWxSNn2m8vYcnJPRq1aqgwJuB7NnyQJcQGHRyYxbM0wFTxVyDN80vvsei/guyNqz5Jq5xA8zI1l5XOH1LD+0/cBolIB06YlHEqNKUh6NZ9zo9mVbiKby2UHWXJqAyvfqPkALOA38+tW9q9h3Y0j4jAUXb1T4O47/noERB14c8JiVIZvgKmqTg2g0K5nMgGJxZmPg8bWWRdVzvFzFN6GjnoCCFG7AWkpyJYwMFX3F+sPD5HP+KGjWAg0XNlsQMBZWVyMc5GpqXTNsnE2ZJrRciGphppL1jq+oNljq90mrKD5aLl+3ZS4dWGf7vzFlemOMDjjKBHBZsTp0+jWTFP3874eKB/ygo+UGZUqxg9lzJo8g6OYxTs00kJICUliU2KtC+3K27tCr3ZZ2FTti2CV2cItCyPlEBK3OixMekcLekVbv5EBcUJkWG8yZ85D/j4iKhaVusUyleRoCCMH7QbxhD+o+9eonqPTErYXl+Mg8C2Xfam/VNe4+Luga/uLBdx008GyQbscmQ7u8JZHPK/85E5EYnlI8K99yLX/eUvTymXCXxoH0bcXg+FZFuCD6hd6dEy7di34/vA7Tv29DZQrrk3MTzLxaVq6SXfHxG7BKU5q28Tou0xuwNVdnOZVv+4yHELRmjUYDA36vBgLNkdfA21YV2GS5zW4cg/6dc/N2C+0BpU4eQ0XFoU+nTqmu/DGXBOjDQO4crLktam7/bGE3LcEkEVNf8te4z9p+hP51us+K8TqtcbKuMcUBmjDiYPNAtbTlqu0/tR5ZJ0L6xXJtKEgifWGBoaNQf8kA4q2TWTC/CCtK72+POW7okyLstIjARl27q017Jpz5QWvhdFUBgwPzh6i7VM5GNadjuPTtqQIRdt7m51vG6kUq40ZULzDvFF79vGLVqUyaqqQEo+X1k+nS2MMVaKqvf7DrE0IIibtjJpInFnNTUkyfti2NPAsiBpvlgtaQZ25VgLkN+3bUL4nvdr6X6QC9uHKwty/Dp2uJdm1j7LaTC0ABMXnrtSxS41PHpZWnl9af7+CXXZrLgDyCJvwwXn6ZPv3icjibROnWTNnlcSlX+yHSMmY81YapsUx8VbSY+JDiQe1+xuCUBGOZAjOEiIfE5xjawboXs+2EwIhmSBEDRwvw4a66Jkud+7qVzK/W8aNTTRf8HgBTenaT3QVcK6TaUWs/6mFh0RX01EJfDVx/W/73u+OF0GJbUaB7bM/7/IVU1ItqXfEyOKJgKw2crB/HddBSbDWx2CnlrpednnKIe65byWmgZPEXzyj27aCCZK/sTepul/8mTnTzQiWzuqf1rt73feYZCTid9xwkyH2v5jNMUtzDmYwP5+tMtzylGyhkgYBJ1mJxACSwVh6LvRJRGPCH1z39ba4kMocTLV8PihMIKwKiiEBYdvwHN5N12CX8G/ohxClloQ3jYWFHnu5zI3WdnNVe0xXV4bdIBf1xzSZw+BHfew0Cjn9rOWpMieVracxVOCIF8OwSF1ECXiUr2QvjfFsc9I8zLVC1wE6Ium3cHTXviqDK3kBI7bn2qToNyowip+iFEkZK6UEW+o+Js5+ZsxcXb13KZnFMPiew0GFVnUOFGrwYlLYq7ejwO90W8/mo3isCo2r+PYvYSq4J1pjXkAFkonT0TMy4r1kG3MxtNDDJUvmay6AcK7fE0HF/Z0cDeOn1ICRMZkqBA4zOC89iE9eE0ZzOJKUH+dX6vWoIUr0WyNUUmW8b1l/hk8Jl5bqp+9EW3xsxoRn5COIGk7/jUFKwUumSLwjK/Y17V9UUal3jXny0CftqSz7Xf0OsONp8NqztAw4tHR6Ou0mCTOHvgWqjpBjax9lo6AL8Bo72BdYwAcjGV0ZXD08UA++k4N+/8VVuEmOCZURDn7EPTtimM8m/1cHpW+ci839A7QbSJi9NTV81BaQb6ENnbkjTP697tJA/cdrBLKOQIf1GG0hvVyNe0ADeegZicry/dRtXc9Q/u+xP4M9JEQSmTE17nl9G1MKPNqofsrm+jy0XGQtcsjWo/AuJBp2rcvXR8Me4D5j6uJ7hWeBYiDaOkbma7AJss06XVNR0rcU6jgIunp/52RJ7JpLZ/o0mk8g8fMaiVLuKKFOmjWdGl4I3iYIbudZ3d2ZDmEvmwZk7XUF0tuloPVyh7kxofMkK/ejAuhC0d191j8pzq8NHvaEuIs/mPfVOfhmpCSmrePOIr9Tn9cYQP57vuXlZZvfOd3m4YiLflmw8Trnw+uagxWbQwqK1ZCc3afb/Q/BzoXtzolxeojhbuB4Q4qjmMeO++Xtx5U7UAwveiZL74SFinLPi6JBTRxH9GQyVlb5aHsRKZOzmNr2Kdcp2GA08i4Ugr0vuEzCT2PJZXdF2kqbmFMU14sImPbptEX3aYmtd+d2wE/PtUvmW3m2v2FDfcVR6oA2KAmJ1aVLyMD9LDhJKiG0z2h7zxrzldVVPPGrxe1sKVDiIDLPhA7uo8NVDZP1CNGq4NrQAemtfxzEiKXs8wYmoEaDD3UHX+12G++rx8amW/sOjrj2rmtvAM1BStgwIYXIjLfJ/zYklBtPW8Nlv7IX5Zcf9CxoipPrHT9OlShoIpDdx7N9odOEV4HKg9ED5YqjMeTZFnbHyPKoO9yGTWklomaxsl7nlEuUKAtFXgu8gCvBTen3otNa5zei9xhdk1UfdsV6V8eOcuJIG+J2B3qtGUjv4evRuuVYqwbHgY1fgkLukvgfxvAmxWCxZ7C5hkrA0FxYcutvGuGFjuuL+UFZQbI8TWE94QLS3IBMYFB6UdVVnc+tmxl2Ws7TcWK81+TVvLwGM8gzq26cQFEAJ8bu1uIfGYBpg24pExZZP639VWr1/7lDTksnqxJDcU2YCEEZMQ5Hpvj8qY77Q7syH9nTM2WMt1AXqB4qMzA4mOsH1KFen/CxLI5B8LY9HNv0O8Byj5X8w9/xKf6/q6MkFNPb6+8Lasgow6AscycmuXD7gqHYJIe9CzoLGsD+DZxp6Q6SjtcSDY0IrpWRmpEFqt7pHwe/kfvM01BZ4nsh7DM2Q4ZCFZ6Vk2nugfoHrsdf8A2B3CpIVEitQT/BpGbzmjDuamKO9Z4m8UYXiRHP+4n46CyGfVBsj3eb6un6Q4o75Is82uUD6lqcU+JtdgZPx8EtcdnRgNYJu5N5/e9gytnf1Gsd/a+jc9DVfYc8xqPtXtKtNs+Xx/6NK+3k0G1ezealEMoQJEQwTYN1ItPJAkbAWTNoF2Do2mrj3vi/DQEXDwGf0YIAOp53Ven5bL8UANNKDTi3/vwb71ogNgR1EzPwqRg3awPoLa+h/smsFV+ITgv6hM3Yki1pNq+ptQY2kJu5HCsyqS8xNOECE+UD1EkKDt9Jq9dNIHivVFXTHfMCArXLA1g8NOUaKxDrheiqRVR/UMMtQj3YyTaVrDMVGxRklU3gWoMxcDflCXAHpr+Zkn41mbSg90CgT6OvNGxXB0Bm9n8Jgfj9fn2DUQa54gjgw4RFDkbWygsrqYAF11PUhVsNofNvXuCudccKl8lBKyC0Gxd0KvtYQ3WyH8kUM/hWMNTlhTN5YUCz7n4Ah4dwfLuRssqMpscOAYHnbEmni9o0AJzMxvkIkyPpLAHLFqZiWI1+PN27F03QdqzQluXv9zfPybbs2QY7EYcyHID9JGHpT7POT2TqT2k+yUJpsV0oNgCrvfJqo4JV24Bqi/wzTJuetyL8+yy0+ZZDdXw0jivnMnu5X6/l/pEEyW3U9W51NWbk2mJmO4jeC7w2GVlIgZxUv2QvN6Hk+PeIbciXo6ag/AfAvWKFbRmv/OhadP1pcAMLWa+TQhr+mZY7nlmCsaRbshUJOS+jYHhsSo3MuHb/NE/a9mLNasIBYPSBvX33uA9wXlMpR4vPLFMyxW/y/PIaufBNppBxQyxQ586gU1e4ngJYRk9d61jKuQ4J/f1KdCSf9vSlaDmWHoDigvVLAmrCGVjQOPe6MLPmicDpw+fS7U2s4zhlvNNd6dL8BQgNSl1TWW3nKMJw/pzS8kvziw+Tvj2DMq+8DKszD7UZZ+EeWuaI1cOPSzvl0GMcAsuWlcZ44LTg9WT1YUUf3Qp8Yu9ya9gKFLVY7mc36mNevcNqvBmzQcseDtgsrdEk1rOcLpvpY9bsoEE8gK57Lbstio+41M96RRKli9rilQ6VVLAlRVlTk24xRailxvFQHpl9IIuO38pL5xWikZIw0dOEydf1ebvD0noyO/2GA4yURT7QxrN62ZjevQHpNE//Pvl2NwXTZguwNDuEsHtV4wrD1niitQl/dij2/4fB+3O7rGTsLY4adp6M+RfmG0YjUiawswJMw8JGsksTrsDpYsP7BZ/yf1o+CRdbOOHzG2PJWtNboeKVOE1fzZegeMu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DAC20AE-D522-40EB-9708-67CD08636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69</Pages>
  <Words>9928</Words>
  <Characters>53617</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Jordana Wilm Doninelli</cp:lastModifiedBy>
  <cp:revision>4</cp:revision>
  <cp:lastPrinted>2026-10-05T19:57:00Z</cp:lastPrinted>
  <dcterms:created xsi:type="dcterms:W3CDTF">2026-10-05T19:54:00Z</dcterms:created>
  <dcterms:modified xsi:type="dcterms:W3CDTF">2026-10-05T19:58:00Z</dcterms:modified>
</cp:coreProperties>
</file>