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2A3C0DFE" w:rsidR="009344B4" w:rsidRPr="006D4498" w:rsidRDefault="00907C18" w:rsidP="21B1B8DB">
            <w:r>
              <w:fldChar w:fldCharType="begin"/>
            </w:r>
            <w:r>
              <w:instrText xml:space="preserve"> MERGEFIELD student </w:instrText>
            </w:r>
            <w:r>
              <w:fldChar w:fldCharType="separate"/>
            </w:r>
            <w:r>
              <w:rPr>
                <w:noProof/>
              </w:rPr>
              <w:t>Maria Buitenzorg</w:t>
            </w:r>
            <w:r>
              <w:rPr>
                <w:noProof/>
              </w:rP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513C0D6F" w:rsidR="009344B4" w:rsidRPr="006D4498" w:rsidRDefault="00907C18"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3E5ECA16" w:rsidR="009344B4" w:rsidRPr="006D4498" w:rsidRDefault="002D7D0E" w:rsidP="21B1B8DB">
            <w:r>
              <w:fldChar w:fldCharType="begin"/>
            </w:r>
            <w:r>
              <w:instrText xml:space="preserve"> MERGEFIELD datum </w:instrText>
            </w:r>
            <w:r w:rsidRPr="002D7D0E">
              <w:instrText>\@ "dd MMMM YYYY"</w:instrText>
            </w:r>
            <w:r>
              <w:fldChar w:fldCharType="separate"/>
            </w:r>
            <w:r w:rsidR="00907C18">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907C18"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3F1A99B" w:rsidR="00F22EB9" w:rsidRPr="0088383D" w:rsidRDefault="00F202DC" w:rsidP="0002040B">
    <w:pPr>
      <w:pStyle w:val="Footer"/>
      <w:ind w:right="360"/>
      <w:rPr>
        <w:rFonts w:asciiTheme="majorHAnsi" w:hAnsiTheme="majorHAnsi" w:cstheme="majorHAnsi"/>
        <w:lang w:val="en-US"/>
      </w:rPr>
    </w:pPr>
    <w:r>
      <w:rPr>
        <w:rFonts w:asciiTheme="majorHAnsi" w:hAnsiTheme="majorHAnsi" w:cstheme="majorHAnsi"/>
        <w:lang w:val="en-US"/>
      </w:rPr>
      <w:t>V3</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07C18"/>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02DC"/>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5" ma:contentTypeDescription="Create a new document." ma:contentTypeScope="" ma:versionID="ab5b87eb85d010590ca6a6c53848b66a">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780cdece2b0fc576c8d839329d793dce"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1EF68822-C39C-4041-9812-E9809DC49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26</cp:revision>
  <dcterms:created xsi:type="dcterms:W3CDTF">2022-06-09T06:52:00Z</dcterms:created>
  <dcterms:modified xsi:type="dcterms:W3CDTF">2023-11-07T19:47:00Z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