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07F3" w14:textId="77777777" w:rsidR="00EF2236" w:rsidRDefault="00EF2236">
      <w:pPr>
        <w:spacing w:after="40"/>
        <w:rPr>
          <w:b/>
          <w:bCs/>
          <w:color w:val="000000" w:themeColor="text1"/>
          <w:sz w:val="32"/>
          <w:szCs w:val="32"/>
        </w:rPr>
      </w:pPr>
    </w:p>
    <w:p w14:paraId="43AC452F" w14:textId="77777777" w:rsidR="00EF2236" w:rsidRDefault="00EF2236">
      <w:pPr>
        <w:spacing w:after="40"/>
        <w:rPr>
          <w:b/>
          <w:bCs/>
          <w:color w:val="000000" w:themeColor="text1"/>
          <w:sz w:val="32"/>
          <w:szCs w:val="32"/>
        </w:rPr>
      </w:pPr>
    </w:p>
    <w:p w14:paraId="1D7D256A" w14:textId="0913478B" w:rsidR="00C4264E" w:rsidRPr="007C594B" w:rsidRDefault="00000000">
      <w:pPr>
        <w:spacing w:after="40"/>
        <w:rPr>
          <w:color w:val="000000" w:themeColor="text1"/>
        </w:rPr>
      </w:pPr>
      <w:r w:rsidRPr="007C594B">
        <w:rPr>
          <w:b/>
          <w:bCs/>
          <w:color w:val="000000" w:themeColor="text1"/>
          <w:sz w:val="32"/>
          <w:szCs w:val="32"/>
        </w:rPr>
        <w:t>PARTNERS GROUP HOLDING AG (PGHN.SW)</w:t>
      </w:r>
    </w:p>
    <w:p w14:paraId="59A1BF14" w14:textId="77777777" w:rsidR="00C4264E" w:rsidRDefault="00000000">
      <w:pPr>
        <w:pStyle w:val="Titre1"/>
        <w:pBdr>
          <w:bottom w:val="single" w:sz="4" w:space="2" w:color="2C3E50"/>
        </w:pBdr>
      </w:pPr>
      <w:r w:rsidRPr="007C594B">
        <w:t>Snapshot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430"/>
        <w:gridCol w:w="2430"/>
        <w:gridCol w:w="2430"/>
      </w:tblGrid>
      <w:tr w:rsidR="00C4264E" w14:paraId="33AD7BCC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513C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4503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Market cap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523D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AUM 2025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D94F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Dividend yield</w:t>
            </w:r>
          </w:p>
        </w:tc>
      </w:tr>
      <w:tr w:rsidR="00C4264E" w14:paraId="2CEFF3ED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219F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CHF ~836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D8270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CHF 20.5bn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ECF0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$185bn (+21%)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7C65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5.3%</w:t>
            </w:r>
          </w:p>
        </w:tc>
      </w:tr>
      <w:tr w:rsidR="00C4264E" w14:paraId="4C6DDBA4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9EA5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52-week range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E7B9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Discount from peak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57E80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EBITDA margin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A341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Consensus target</w:t>
            </w:r>
          </w:p>
        </w:tc>
      </w:tr>
      <w:tr w:rsidR="00C4264E" w14:paraId="4FC74601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F30D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776 - 1,268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16B6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-34% from peak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078D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60-63%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9859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CHF 1,230 (+47%)</w:t>
            </w:r>
          </w:p>
        </w:tc>
      </w:tr>
    </w:tbl>
    <w:p w14:paraId="2AD56CA1" w14:textId="50BE6C7C" w:rsidR="00C4264E" w:rsidRPr="007C594B" w:rsidRDefault="00000000">
      <w:pPr>
        <w:pStyle w:val="Titre1"/>
        <w:pBdr>
          <w:bottom w:val="single" w:sz="4" w:space="2" w:color="2C3E50"/>
        </w:pBdr>
        <w:rPr>
          <w:lang w:val="en-US"/>
        </w:rPr>
      </w:pPr>
      <w:r w:rsidRPr="007C594B">
        <w:rPr>
          <w:lang w:val="en-US"/>
        </w:rPr>
        <w:t>I. Business Model and Revenue Sources</w:t>
      </w:r>
    </w:p>
    <w:p w14:paraId="58B53547" w14:textId="77777777" w:rsidR="00C4264E" w:rsidRDefault="00000000">
      <w:pPr>
        <w:spacing w:before="40" w:after="40"/>
      </w:pPr>
      <w:r>
        <w:t>Partners Group is a Swiss alternative asset manager founded in 1996 in Baar, listed on SIX since 2006. It operates as a General Partner across four main asset classes (Private Equity, Infrastructure, Private Debt, Real Estate) plus Royalties since 2024. Headcount: ~2,040 professionals across 20+ offices. CEO: David Layton.</w:t>
      </w:r>
    </w:p>
    <w:p w14:paraId="3AC9C800" w14:textId="708E0A86" w:rsidR="00C4264E" w:rsidRDefault="00000000">
      <w:pPr>
        <w:spacing w:before="40" w:after="40"/>
      </w:pPr>
      <w:r>
        <w:t xml:space="preserve">Revenues come from two </w:t>
      </w:r>
      <w:r w:rsidR="007C594B">
        <w:t>sources:</w:t>
      </w:r>
      <w:r>
        <w:t xml:space="preserve"> (1) recurring management fees (~60-75% of revenues, calculated on fee-paying AUM at 1.0-1.5%, highly predictable), and (2) performance fees / carried interest (25-40% per guidance, lumpy, generated upon realizations). Distinctive AUM mix: Mandates 38%, Evergreens 30%, Traditional 32% — 68% of AUM therefore comes from sticky and recurring channels, a structural advantage vs. conventional closed-end funds.</w:t>
      </w:r>
    </w:p>
    <w:p w14:paraId="6A0A6E5B" w14:textId="77777777" w:rsidR="00C4264E" w:rsidRDefault="00000000">
      <w:pPr>
        <w:spacing w:before="40" w:after="40"/>
      </w:pPr>
      <w:r>
        <w:t>Partners Group is a pioneer of evergreens (perpetual semi-liquid vehicles): $52bn in 2025 vs $28bn in 2020. This channel is the primary growth engine, with 37% of H1 2025 performance fees coming from evergreens. Internationalized distribution through multiple JVs (Deutsche Bank, PGIM, Generali, BBVA, Lincoln Financial).</w:t>
      </w:r>
    </w:p>
    <w:p w14:paraId="41A42223" w14:textId="77777777" w:rsidR="00EF2236" w:rsidRDefault="00EF2236">
      <w:pPr>
        <w:spacing w:before="40" w:after="40"/>
      </w:pPr>
    </w:p>
    <w:p w14:paraId="2D388867" w14:textId="77777777" w:rsidR="00C4264E" w:rsidRPr="007C594B" w:rsidRDefault="00000000">
      <w:pPr>
        <w:pStyle w:val="Titre1"/>
        <w:pBdr>
          <w:bottom w:val="single" w:sz="4" w:space="2" w:color="2C3E50"/>
        </w:pBdr>
        <w:rPr>
          <w:lang w:val="en-US"/>
        </w:rPr>
      </w:pPr>
      <w:r w:rsidRPr="007C594B">
        <w:rPr>
          <w:lang w:val="en-US"/>
        </w:rPr>
        <w:t>II. Fee-Related Earnings — Historical Trajectory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1900"/>
        <w:gridCol w:w="2200"/>
        <w:gridCol w:w="2620"/>
      </w:tblGrid>
      <w:tr w:rsidR="00C4264E" w14:paraId="69729B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AE1C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4814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AUM ($bn)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144A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Fundraising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1960" w14:textId="77777777" w:rsidR="00C4264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Mgmt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fees H1 (CHF M)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3E15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Perf fees FY (CHF M)</w:t>
            </w:r>
          </w:p>
        </w:tc>
      </w:tr>
      <w:tr w:rsidR="00C4264E" w14:paraId="112C2F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A06C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2022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3F8E" w14:textId="77777777" w:rsidR="00C4264E" w:rsidRDefault="00000000">
            <w:r>
              <w:rPr>
                <w:color w:val="2C2C2C"/>
                <w:sz w:val="18"/>
                <w:szCs w:val="18"/>
              </w:rPr>
              <w:t>135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E8DA" w14:textId="77777777" w:rsidR="00C4264E" w:rsidRDefault="00000000">
            <w:r>
              <w:rPr>
                <w:color w:val="2C2C2C"/>
                <w:sz w:val="18"/>
                <w:szCs w:val="18"/>
              </w:rPr>
              <w:t>$22bn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CADC" w14:textId="77777777" w:rsidR="00C4264E" w:rsidRDefault="00000000">
            <w:r>
              <w:rPr>
                <w:color w:val="2C2C2C"/>
                <w:sz w:val="18"/>
                <w:szCs w:val="18"/>
              </w:rPr>
              <w:t>~800 est.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47B2" w14:textId="77777777" w:rsidR="00C4264E" w:rsidRDefault="00000000">
            <w:r>
              <w:rPr>
                <w:color w:val="2C2C2C"/>
                <w:sz w:val="18"/>
                <w:szCs w:val="18"/>
              </w:rPr>
              <w:t>269</w:t>
            </w:r>
          </w:p>
        </w:tc>
      </w:tr>
      <w:tr w:rsidR="00C4264E" w14:paraId="075C52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0EC4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2023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61BD" w14:textId="77777777" w:rsidR="00C4264E" w:rsidRDefault="00000000">
            <w:r>
              <w:rPr>
                <w:color w:val="2C2C2C"/>
                <w:sz w:val="18"/>
                <w:szCs w:val="18"/>
              </w:rPr>
              <w:t>147 (+8%)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5A71" w14:textId="77777777" w:rsidR="00C4264E" w:rsidRDefault="00000000">
            <w:r>
              <w:rPr>
                <w:color w:val="2C2C2C"/>
                <w:sz w:val="18"/>
                <w:szCs w:val="18"/>
              </w:rPr>
              <w:t>$18bn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5F2B" w14:textId="77777777" w:rsidR="00C4264E" w:rsidRDefault="00000000">
            <w:r>
              <w:rPr>
                <w:color w:val="2C2C2C"/>
                <w:sz w:val="18"/>
                <w:szCs w:val="18"/>
              </w:rPr>
              <w:t>815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BE59" w14:textId="77777777" w:rsidR="00C4264E" w:rsidRDefault="00000000">
            <w:r>
              <w:rPr>
                <w:color w:val="2C2C2C"/>
                <w:sz w:val="18"/>
                <w:szCs w:val="18"/>
              </w:rPr>
              <w:t>369 (+37%)</w:t>
            </w:r>
          </w:p>
        </w:tc>
      </w:tr>
      <w:tr w:rsidR="00C4264E" w14:paraId="3CC106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D707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2024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184F" w14:textId="77777777" w:rsidR="00C4264E" w:rsidRDefault="00000000">
            <w:r>
              <w:rPr>
                <w:color w:val="2C2C2C"/>
                <w:sz w:val="18"/>
                <w:szCs w:val="18"/>
              </w:rPr>
              <w:t>152 (+3%)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76C7" w14:textId="77777777" w:rsidR="00C4264E" w:rsidRDefault="00000000">
            <w:r>
              <w:rPr>
                <w:color w:val="2C2C2C"/>
                <w:sz w:val="18"/>
                <w:szCs w:val="18"/>
              </w:rPr>
              <w:t>$22bn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6F4E" w14:textId="77777777" w:rsidR="00C4264E" w:rsidRDefault="00000000">
            <w:r>
              <w:rPr>
                <w:color w:val="2C2C2C"/>
                <w:sz w:val="18"/>
                <w:szCs w:val="18"/>
              </w:rPr>
              <w:t>815 (flat)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FA53" w14:textId="77777777" w:rsidR="00C4264E" w:rsidRDefault="00000000">
            <w:r>
              <w:rPr>
                <w:color w:val="2C2C2C"/>
                <w:sz w:val="18"/>
                <w:szCs w:val="18"/>
              </w:rPr>
              <w:t>~300 est.</w:t>
            </w:r>
          </w:p>
        </w:tc>
      </w:tr>
      <w:tr w:rsidR="00C4264E" w14:paraId="695DF8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55AC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2025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945C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185 (+21%)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3DFA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$30bn record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6E45" w14:textId="77777777" w:rsidR="00C4264E" w:rsidRDefault="00000000">
            <w:r>
              <w:rPr>
                <w:color w:val="2C2C2C"/>
                <w:sz w:val="18"/>
                <w:szCs w:val="18"/>
              </w:rPr>
              <w:t>854 (+5% H1)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2DBA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&gt;600 est.</w:t>
            </w:r>
          </w:p>
        </w:tc>
      </w:tr>
      <w:tr w:rsidR="00C4264E" w14:paraId="5B294E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0514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2026E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C096" w14:textId="77777777" w:rsidR="00C4264E" w:rsidRDefault="00000000">
            <w:r>
              <w:rPr>
                <w:color w:val="2C2C2C"/>
                <w:sz w:val="18"/>
                <w:szCs w:val="18"/>
              </w:rPr>
              <w:t>~205-215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F8AE" w14:textId="77777777" w:rsidR="00C4264E" w:rsidRDefault="00000000">
            <w:r>
              <w:rPr>
                <w:color w:val="2C2C2C"/>
                <w:sz w:val="18"/>
                <w:szCs w:val="18"/>
              </w:rPr>
              <w:t>$26-32bn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2246" w14:textId="77777777" w:rsidR="00C4264E" w:rsidRDefault="00000000">
            <w:r>
              <w:rPr>
                <w:color w:val="2C2C2C"/>
                <w:sz w:val="18"/>
                <w:szCs w:val="18"/>
              </w:rPr>
              <w:t xml:space="preserve">~900-950 </w:t>
            </w:r>
            <w:proofErr w:type="spellStart"/>
            <w:r>
              <w:rPr>
                <w:color w:val="2C2C2C"/>
                <w:sz w:val="18"/>
                <w:szCs w:val="18"/>
              </w:rPr>
              <w:t>proj</w:t>
            </w:r>
            <w:proofErr w:type="spellEnd"/>
            <w:r>
              <w:rPr>
                <w:color w:val="2C2C2C"/>
                <w:sz w:val="18"/>
                <w:szCs w:val="18"/>
              </w:rPr>
              <w:t>.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A309" w14:textId="77777777" w:rsidR="00C4264E" w:rsidRDefault="00000000">
            <w:r>
              <w:rPr>
                <w:color w:val="2C2C2C"/>
                <w:sz w:val="18"/>
                <w:szCs w:val="18"/>
              </w:rPr>
              <w:t>~500 (base -20%)</w:t>
            </w:r>
          </w:p>
        </w:tc>
      </w:tr>
    </w:tbl>
    <w:p w14:paraId="5AAE15D3" w14:textId="77777777" w:rsidR="00C4264E" w:rsidRDefault="00C4264E">
      <w:pPr>
        <w:spacing w:before="40" w:after="40"/>
      </w:pPr>
    </w:p>
    <w:p w14:paraId="765DF2EB" w14:textId="362C7D07" w:rsidR="00C4264E" w:rsidRDefault="00000000">
      <w:pPr>
        <w:pStyle w:val="Paragraphedeliste"/>
        <w:numPr>
          <w:ilvl w:val="0"/>
          <w:numId w:val="2"/>
        </w:numPr>
        <w:spacing w:before="30" w:after="30"/>
      </w:pPr>
      <w:r w:rsidRPr="007C594B">
        <w:rPr>
          <w:b/>
          <w:bCs/>
          <w:lang w:val="en-US"/>
        </w:rPr>
        <w:t xml:space="preserve">Watch </w:t>
      </w:r>
      <w:r w:rsidR="00EF2236" w:rsidRPr="007C594B">
        <w:rPr>
          <w:b/>
          <w:bCs/>
          <w:lang w:val="en-US"/>
        </w:rPr>
        <w:t>point:</w:t>
      </w:r>
      <w:r w:rsidRPr="007C594B">
        <w:rPr>
          <w:b/>
          <w:bCs/>
          <w:lang w:val="en-US"/>
        </w:rPr>
        <w:t xml:space="preserve"> </w:t>
      </w:r>
      <w:r w:rsidRPr="007C594B">
        <w:rPr>
          <w:lang w:val="en-US"/>
        </w:rPr>
        <w:t xml:space="preserve">H1 2025 divergence — AUM +17% YoY but management fees only +5%. ~3 points explained by FX (strong CHF), leaving ~9 points unexplained (mandate mix shift / fee waivers). </w:t>
      </w:r>
      <w:r>
        <w:t>Signal to monitor in H1 2026.</w:t>
      </w:r>
    </w:p>
    <w:p w14:paraId="0D3D15AA" w14:textId="2194CA85" w:rsidR="00C4264E" w:rsidRPr="007C594B" w:rsidRDefault="00000000">
      <w:pPr>
        <w:pStyle w:val="Paragraphedeliste"/>
        <w:numPr>
          <w:ilvl w:val="0"/>
          <w:numId w:val="2"/>
        </w:numPr>
        <w:spacing w:before="30" w:after="30"/>
        <w:rPr>
          <w:lang w:val="en-US"/>
        </w:rPr>
      </w:pPr>
      <w:r w:rsidRPr="007C594B">
        <w:rPr>
          <w:b/>
          <w:bCs/>
          <w:lang w:val="en-US"/>
        </w:rPr>
        <w:t xml:space="preserve">Optical </w:t>
      </w:r>
      <w:r w:rsidR="007C594B" w:rsidRPr="007C594B">
        <w:rPr>
          <w:b/>
          <w:bCs/>
          <w:lang w:val="en-US"/>
        </w:rPr>
        <w:t>Risk</w:t>
      </w:r>
      <w:r w:rsidRPr="007C594B">
        <w:rPr>
          <w:b/>
          <w:bCs/>
          <w:lang w:val="en-US"/>
        </w:rPr>
        <w:t xml:space="preserve"> </w:t>
      </w:r>
      <w:r w:rsidR="00EF2236" w:rsidRPr="007C594B">
        <w:rPr>
          <w:b/>
          <w:bCs/>
          <w:lang w:val="en-US"/>
        </w:rPr>
        <w:t>2026:</w:t>
      </w:r>
      <w:r w:rsidRPr="007C594B">
        <w:rPr>
          <w:b/>
          <w:bCs/>
          <w:lang w:val="en-US"/>
        </w:rPr>
        <w:t xml:space="preserve"> </w:t>
      </w:r>
      <w:r w:rsidRPr="007C594B">
        <w:rPr>
          <w:lang w:val="en-US"/>
        </w:rPr>
        <w:t>Management pulled forward into 2025 realizations originally planned for 2026. Performance fees 2026 will be mechanically lower — a difficult comparable base to anticipate in the narrative.</w:t>
      </w:r>
    </w:p>
    <w:p w14:paraId="7B74CAA2" w14:textId="77777777" w:rsidR="00C4264E" w:rsidRDefault="00000000">
      <w:pPr>
        <w:pStyle w:val="Titre1"/>
        <w:pBdr>
          <w:bottom w:val="single" w:sz="4" w:space="2" w:color="2C3E50"/>
        </w:pBdr>
      </w:pPr>
      <w:r>
        <w:t>III. 18-Month Scenarios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00"/>
        <w:gridCol w:w="2100"/>
        <w:gridCol w:w="2200"/>
        <w:gridCol w:w="2520"/>
      </w:tblGrid>
      <w:tr w:rsidR="00C4264E" w14:paraId="0313E4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ABAD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EB3B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9190A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Price 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6FF9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Total return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670B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</w:tr>
      <w:tr w:rsidR="00C4264E" w14:paraId="389F78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3005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BULL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01DE" w14:textId="77777777" w:rsidR="00C4264E" w:rsidRDefault="00000000">
            <w:r>
              <w:rPr>
                <w:color w:val="2C2C2C"/>
                <w:sz w:val="18"/>
                <w:szCs w:val="18"/>
              </w:rPr>
              <w:t>25-30%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6827" w14:textId="77777777" w:rsidR="00C4264E" w:rsidRDefault="00000000">
            <w:r>
              <w:rPr>
                <w:color w:val="2C2C2C"/>
                <w:sz w:val="18"/>
                <w:szCs w:val="18"/>
              </w:rPr>
              <w:t>CHF 1,200-1,400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9D72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+50 to +75%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133A" w14:textId="77777777" w:rsidR="00C4264E" w:rsidRDefault="00000000">
            <w:r>
              <w:rPr>
                <w:color w:val="2C2C2C"/>
                <w:sz w:val="18"/>
                <w:szCs w:val="18"/>
              </w:rPr>
              <w:t>IPO/M&amp;A recovery + retail wealth acceleration</w:t>
            </w:r>
          </w:p>
        </w:tc>
      </w:tr>
      <w:tr w:rsidR="00C4264E" w14:paraId="5A5FC6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5D8C" w14:textId="75C0932F" w:rsidR="00C4264E" w:rsidRPr="00EF2236" w:rsidRDefault="00EF2236">
            <w:pPr>
              <w:rPr>
                <w:b/>
                <w:bCs/>
              </w:rPr>
            </w:pPr>
            <w:r w:rsidRPr="00EF2236">
              <w:rPr>
                <w:b/>
                <w:bCs/>
              </w:rPr>
              <w:t>N</w:t>
            </w:r>
            <w:r>
              <w:rPr>
                <w:b/>
                <w:bCs/>
              </w:rPr>
              <w:t>ORMAL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A5DE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45-55%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FF99" w14:textId="77777777" w:rsidR="00C4264E" w:rsidRDefault="00000000">
            <w:r>
              <w:rPr>
                <w:color w:val="2C2C2C"/>
                <w:sz w:val="18"/>
                <w:szCs w:val="18"/>
              </w:rPr>
              <w:t>CHF 900-1,050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9B7F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+15 to +30%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4E33" w14:textId="77777777" w:rsidR="00C4264E" w:rsidRDefault="00000000">
            <w:r>
              <w:rPr>
                <w:color w:val="2C2C2C"/>
                <w:sz w:val="18"/>
                <w:szCs w:val="18"/>
              </w:rPr>
              <w:t>Moderate growth, stable divergence</w:t>
            </w:r>
          </w:p>
        </w:tc>
      </w:tr>
      <w:tr w:rsidR="00C4264E" w14:paraId="4415C7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E486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BEAR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AF91" w14:textId="77777777" w:rsidR="00C4264E" w:rsidRDefault="00000000">
            <w:r>
              <w:rPr>
                <w:color w:val="2C2C2C"/>
                <w:sz w:val="18"/>
                <w:szCs w:val="18"/>
              </w:rPr>
              <w:t>20-25%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FAB4" w14:textId="77777777" w:rsidR="00C4264E" w:rsidRDefault="00000000">
            <w:r>
              <w:rPr>
                <w:color w:val="2C2C2C"/>
                <w:sz w:val="18"/>
                <w:szCs w:val="18"/>
              </w:rPr>
              <w:t>CHF 650-750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D1F7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-5 to -17%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ACE7" w14:textId="77777777" w:rsidR="00C4264E" w:rsidRDefault="00000000">
            <w:r>
              <w:rPr>
                <w:color w:val="2C2C2C"/>
                <w:sz w:val="18"/>
                <w:szCs w:val="18"/>
              </w:rPr>
              <w:t xml:space="preserve">Evergreen gating contagion + </w:t>
            </w:r>
            <w:proofErr w:type="spellStart"/>
            <w:r>
              <w:rPr>
                <w:color w:val="2C2C2C"/>
                <w:sz w:val="18"/>
                <w:szCs w:val="18"/>
              </w:rPr>
              <w:t>mgmt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fees erode</w:t>
            </w:r>
          </w:p>
        </w:tc>
      </w:tr>
    </w:tbl>
    <w:p w14:paraId="11EBB251" w14:textId="77777777" w:rsidR="00EF2236" w:rsidRDefault="00EF2236">
      <w:pPr>
        <w:spacing w:before="40" w:after="40"/>
      </w:pPr>
    </w:p>
    <w:p w14:paraId="0588EE8F" w14:textId="77777777" w:rsidR="00EF2236" w:rsidRDefault="00EF2236">
      <w:pPr>
        <w:spacing w:before="40" w:after="40"/>
      </w:pPr>
    </w:p>
    <w:p w14:paraId="37FD99CD" w14:textId="77777777" w:rsidR="00EF2236" w:rsidRDefault="00EF2236">
      <w:pPr>
        <w:pStyle w:val="Titre1"/>
        <w:pBdr>
          <w:bottom w:val="single" w:sz="4" w:space="2" w:color="2C3E50"/>
        </w:pBdr>
      </w:pPr>
    </w:p>
    <w:p w14:paraId="3D8C75A4" w14:textId="77777777" w:rsidR="00EF2236" w:rsidRDefault="00EF2236">
      <w:pPr>
        <w:pStyle w:val="Titre1"/>
        <w:pBdr>
          <w:bottom w:val="single" w:sz="4" w:space="2" w:color="2C3E50"/>
        </w:pBdr>
      </w:pPr>
    </w:p>
    <w:p w14:paraId="28DD3028" w14:textId="642A15A0" w:rsidR="00C4264E" w:rsidRDefault="00000000">
      <w:pPr>
        <w:pStyle w:val="Titre1"/>
        <w:pBdr>
          <w:bottom w:val="single" w:sz="4" w:space="2" w:color="2C3E50"/>
        </w:pBdr>
      </w:pPr>
      <w:r>
        <w:t xml:space="preserve">IV. Comparative </w:t>
      </w:r>
      <w:proofErr w:type="spellStart"/>
      <w:r>
        <w:t>Analysis</w:t>
      </w:r>
      <w:proofErr w:type="spellEnd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50"/>
        <w:gridCol w:w="1850"/>
        <w:gridCol w:w="1850"/>
        <w:gridCol w:w="1970"/>
      </w:tblGrid>
      <w:tr w:rsidR="00C4264E" w14:paraId="43F42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47C5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3737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PGH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3358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CVC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5BE9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Brookfield AM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C22E" w14:textId="77777777" w:rsidR="00C4264E" w:rsidRDefault="00000000">
            <w:r>
              <w:rPr>
                <w:b/>
                <w:bCs/>
                <w:color w:val="FFFFFF"/>
                <w:sz w:val="18"/>
                <w:szCs w:val="18"/>
              </w:rPr>
              <w:t>Blackstone</w:t>
            </w:r>
          </w:p>
        </w:tc>
      </w:tr>
      <w:tr w:rsidR="00C4264E" w14:paraId="1B203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10CA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AUM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DA9E" w14:textId="77777777" w:rsidR="00C4264E" w:rsidRDefault="00000000">
            <w:r>
              <w:rPr>
                <w:color w:val="2C2C2C"/>
                <w:sz w:val="18"/>
                <w:szCs w:val="18"/>
              </w:rPr>
              <w:t>$185bn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B2F1" w14:textId="77777777" w:rsidR="00C4264E" w:rsidRDefault="00000000">
            <w:r>
              <w:rPr>
                <w:color w:val="2C2C2C"/>
                <w:sz w:val="18"/>
                <w:szCs w:val="18"/>
              </w:rPr>
              <w:t>$225bn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B5B2" w14:textId="77777777" w:rsidR="00C4264E" w:rsidRDefault="00000000">
            <w:r>
              <w:rPr>
                <w:color w:val="2C2C2C"/>
                <w:sz w:val="18"/>
                <w:szCs w:val="18"/>
              </w:rPr>
              <w:t>$1T+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47F3" w14:textId="77777777" w:rsidR="00C4264E" w:rsidRDefault="00000000">
            <w:r>
              <w:rPr>
                <w:color w:val="2C2C2C"/>
                <w:sz w:val="18"/>
                <w:szCs w:val="18"/>
              </w:rPr>
              <w:t>$1.27T</w:t>
            </w:r>
          </w:p>
        </w:tc>
      </w:tr>
      <w:tr w:rsidR="00C4264E" w14:paraId="0037E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6981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Market cap/AUM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4A57" w14:textId="77777777" w:rsidR="00C4264E" w:rsidRDefault="00000000">
            <w:r>
              <w:rPr>
                <w:color w:val="2C2C2C"/>
                <w:sz w:val="18"/>
                <w:szCs w:val="18"/>
              </w:rPr>
              <w:t>12%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A23B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7%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74DF" w14:textId="77777777" w:rsidR="00C4264E" w:rsidRDefault="00000000">
            <w:r>
              <w:rPr>
                <w:color w:val="2C2C2C"/>
                <w:sz w:val="18"/>
                <w:szCs w:val="18"/>
              </w:rPr>
              <w:t>~9%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54C5" w14:textId="77777777" w:rsidR="00C4264E" w:rsidRDefault="00000000">
            <w:r>
              <w:rPr>
                <w:color w:val="2C2C2C"/>
                <w:sz w:val="18"/>
                <w:szCs w:val="18"/>
              </w:rPr>
              <w:t>~13%</w:t>
            </w:r>
          </w:p>
        </w:tc>
      </w:tr>
      <w:tr w:rsidR="00C4264E" w14:paraId="09C62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F756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EBITDA margin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A185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60-63%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362C" w14:textId="77777777" w:rsidR="00C4264E" w:rsidRDefault="00000000">
            <w:r>
              <w:rPr>
                <w:color w:val="2C2C2C"/>
                <w:sz w:val="18"/>
                <w:szCs w:val="18"/>
              </w:rPr>
              <w:t>58%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FB12" w14:textId="77777777" w:rsidR="00C4264E" w:rsidRDefault="00000000">
            <w:r>
              <w:rPr>
                <w:color w:val="2C2C2C"/>
                <w:sz w:val="18"/>
                <w:szCs w:val="18"/>
              </w:rPr>
              <w:t>~55%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A725" w14:textId="77777777" w:rsidR="00C4264E" w:rsidRDefault="00000000">
            <w:r>
              <w:rPr>
                <w:color w:val="2C2C2C"/>
                <w:sz w:val="18"/>
                <w:szCs w:val="18"/>
              </w:rPr>
              <w:t>~55%</w:t>
            </w:r>
          </w:p>
        </w:tc>
      </w:tr>
      <w:tr w:rsidR="00C4264E" w14:paraId="10AF1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9A8F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Dividend yield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15BF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5.3%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2A42" w14:textId="77777777" w:rsidR="00C4264E" w:rsidRDefault="00000000">
            <w:r>
              <w:rPr>
                <w:color w:val="2C2C2C"/>
                <w:sz w:val="18"/>
                <w:szCs w:val="18"/>
              </w:rPr>
              <w:t>~2.5%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1912" w14:textId="77777777" w:rsidR="00C4264E" w:rsidRDefault="00000000">
            <w:r>
              <w:rPr>
                <w:color w:val="2C2C2C"/>
                <w:sz w:val="18"/>
                <w:szCs w:val="18"/>
              </w:rPr>
              <w:t>~3.5%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7B03" w14:textId="77777777" w:rsidR="00C4264E" w:rsidRDefault="00000000">
            <w:r>
              <w:rPr>
                <w:color w:val="2C2C2C"/>
                <w:sz w:val="18"/>
                <w:szCs w:val="18"/>
              </w:rPr>
              <w:t>~2.5%</w:t>
            </w:r>
          </w:p>
        </w:tc>
      </w:tr>
      <w:tr w:rsidR="00C4264E" w14:paraId="45EB8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1704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YTD 2026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C2AD" w14:textId="77777777" w:rsidR="00C4264E" w:rsidRDefault="00000000">
            <w:r>
              <w:rPr>
                <w:color w:val="2C2C2C"/>
                <w:sz w:val="18"/>
                <w:szCs w:val="18"/>
              </w:rPr>
              <w:t>-10 to -15%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58F6" w14:textId="77777777" w:rsidR="00C4264E" w:rsidRDefault="00000000">
            <w:r>
              <w:rPr>
                <w:color w:val="2C2C2C"/>
                <w:sz w:val="18"/>
                <w:szCs w:val="18"/>
              </w:rPr>
              <w:t>Variable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C7B5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+1%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4BA2" w14:textId="77777777" w:rsidR="00C4264E" w:rsidRDefault="00000000">
            <w:r>
              <w:rPr>
                <w:color w:val="2C2C2C"/>
                <w:sz w:val="18"/>
                <w:szCs w:val="18"/>
              </w:rPr>
              <w:t>-12%</w:t>
            </w:r>
          </w:p>
        </w:tc>
      </w:tr>
      <w:tr w:rsidR="00C4264E" w14:paraId="07433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81F0" w14:textId="77777777" w:rsidR="00C4264E" w:rsidRDefault="00000000">
            <w:r>
              <w:rPr>
                <w:b/>
                <w:bCs/>
                <w:color w:val="2C2C2C"/>
                <w:sz w:val="18"/>
                <w:szCs w:val="18"/>
              </w:rPr>
              <w:t>Dominant profile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C5A1" w14:textId="77777777" w:rsidR="00C4264E" w:rsidRDefault="00000000">
            <w:r>
              <w:rPr>
                <w:color w:val="2C2C2C"/>
                <w:sz w:val="18"/>
                <w:szCs w:val="18"/>
              </w:rPr>
              <w:t>Multi-asset evergreen-led, Swiss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8B79" w14:textId="77777777" w:rsidR="00C4264E" w:rsidRDefault="00000000">
            <w:r>
              <w:rPr>
                <w:color w:val="2C2C2C"/>
                <w:sz w:val="18"/>
                <w:szCs w:val="18"/>
              </w:rPr>
              <w:t>PE-led + Credit expansion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A6EE" w14:textId="77777777" w:rsidR="00C4264E" w:rsidRDefault="00000000">
            <w:r>
              <w:rPr>
                <w:color w:val="2C2C2C"/>
                <w:sz w:val="18"/>
                <w:szCs w:val="18"/>
              </w:rPr>
              <w:t>Real assets defensive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C99C" w14:textId="77777777" w:rsidR="00C4264E" w:rsidRDefault="00000000">
            <w:r>
              <w:rPr>
                <w:color w:val="2C2C2C"/>
                <w:sz w:val="18"/>
                <w:szCs w:val="18"/>
              </w:rPr>
              <w:t>Global diversified leader</w:t>
            </w:r>
          </w:p>
        </w:tc>
      </w:tr>
    </w:tbl>
    <w:p w14:paraId="38478904" w14:textId="77777777" w:rsidR="00C4264E" w:rsidRDefault="00C4264E">
      <w:pPr>
        <w:spacing w:before="40" w:after="40"/>
      </w:pPr>
    </w:p>
    <w:p w14:paraId="7DA66521" w14:textId="7382A7C3" w:rsidR="007C594B" w:rsidRDefault="00000000">
      <w:pPr>
        <w:spacing w:before="40" w:after="40"/>
      </w:pPr>
      <w:r>
        <w:t>The raw figures above must be read through the allocation mandate: stability, demonstrated operational quality, resilience to US private credit stress, preference for CH/EU framework. On these specific criteria, PGH dominates its direct competitors for the following reasons:</w:t>
      </w:r>
    </w:p>
    <w:p w14:paraId="7AA7AF2D" w14:textId="77777777" w:rsidR="007C594B" w:rsidRDefault="007C594B">
      <w:pPr>
        <w:spacing w:before="40" w:after="40"/>
      </w:pPr>
    </w:p>
    <w:p w14:paraId="1E3F6AF5" w14:textId="07D41878" w:rsidR="007C594B" w:rsidRDefault="00000000" w:rsidP="00EF2236">
      <w:pPr>
        <w:pStyle w:val="Paragraphedeliste"/>
        <w:numPr>
          <w:ilvl w:val="0"/>
          <w:numId w:val="2"/>
        </w:numPr>
        <w:spacing w:before="30" w:after="30"/>
        <w:rPr>
          <w:lang w:val="en-US"/>
        </w:rPr>
      </w:pPr>
      <w:r w:rsidRPr="007C594B">
        <w:rPr>
          <w:b/>
          <w:bCs/>
          <w:lang w:val="en-US"/>
        </w:rPr>
        <w:t xml:space="preserve">Why not CVC: </w:t>
      </w:r>
      <w:r w:rsidRPr="007C594B">
        <w:rPr>
          <w:lang w:val="en-US"/>
        </w:rPr>
        <w:t xml:space="preserve">More favorable </w:t>
      </w:r>
      <w:proofErr w:type="spellStart"/>
      <w:r w:rsidRPr="007C594B">
        <w:rPr>
          <w:lang w:val="en-US"/>
        </w:rPr>
        <w:t>Mcap</w:t>
      </w:r>
      <w:proofErr w:type="spellEnd"/>
      <w:r w:rsidRPr="007C594B">
        <w:rPr>
          <w:lang w:val="en-US"/>
        </w:rPr>
        <w:t>/AUM discount (7% vs 12%) but offset by: (a) only 2 years listed vs 20 years for PGH (b) Mackay-Lucas family governance untested in public environment</w:t>
      </w:r>
      <w:r w:rsidR="007C594B" w:rsidRPr="007C594B">
        <w:rPr>
          <w:lang w:val="en-US"/>
        </w:rPr>
        <w:t xml:space="preserve">. </w:t>
      </w:r>
      <w:r w:rsidRPr="007C594B">
        <w:rPr>
          <w:lang w:val="en-US"/>
        </w:rPr>
        <w:t>The CVC discount compensates a real execution risk, not a mispricing.</w:t>
      </w:r>
    </w:p>
    <w:p w14:paraId="763D2E50" w14:textId="77777777" w:rsidR="00C9079B" w:rsidRPr="00EF2236" w:rsidRDefault="00C9079B" w:rsidP="00C9079B">
      <w:pPr>
        <w:pStyle w:val="Paragraphedeliste"/>
        <w:spacing w:before="30" w:after="30"/>
        <w:ind w:left="540"/>
        <w:rPr>
          <w:lang w:val="en-US"/>
        </w:rPr>
      </w:pPr>
    </w:p>
    <w:p w14:paraId="0818BA19" w14:textId="125EDF5B" w:rsidR="007C594B" w:rsidRDefault="00000000" w:rsidP="00EF2236">
      <w:pPr>
        <w:pStyle w:val="Paragraphedeliste"/>
        <w:numPr>
          <w:ilvl w:val="0"/>
          <w:numId w:val="2"/>
        </w:numPr>
        <w:spacing w:before="30" w:after="30"/>
        <w:rPr>
          <w:lang w:val="en-US"/>
        </w:rPr>
      </w:pPr>
      <w:r w:rsidRPr="007C594B">
        <w:rPr>
          <w:b/>
          <w:bCs/>
          <w:lang w:val="en-US"/>
        </w:rPr>
        <w:t xml:space="preserve">Why not Brookfield: </w:t>
      </w:r>
      <w:r w:rsidRPr="007C594B">
        <w:rPr>
          <w:lang w:val="en-US"/>
        </w:rPr>
        <w:t>Attractive defensive real assets exposure (+1% YTD) but complex Canadian conglomerate structure</w:t>
      </w:r>
      <w:r w:rsidR="007C594B" w:rsidRPr="007C594B">
        <w:rPr>
          <w:lang w:val="en-US"/>
        </w:rPr>
        <w:t>, plus reporting complexities</w:t>
      </w:r>
      <w:r w:rsidR="00EF2236">
        <w:rPr>
          <w:lang w:val="en-US"/>
        </w:rPr>
        <w:t>.</w:t>
      </w:r>
    </w:p>
    <w:p w14:paraId="0DA85A2B" w14:textId="77777777" w:rsidR="00C9079B" w:rsidRPr="00C9079B" w:rsidRDefault="00C9079B" w:rsidP="00C9079B">
      <w:pPr>
        <w:pStyle w:val="Paragraphedeliste"/>
        <w:rPr>
          <w:lang w:val="en-US"/>
        </w:rPr>
      </w:pPr>
    </w:p>
    <w:p w14:paraId="7B33CF65" w14:textId="77777777" w:rsidR="00C9079B" w:rsidRPr="00EF2236" w:rsidRDefault="00C9079B" w:rsidP="00C9079B">
      <w:pPr>
        <w:pStyle w:val="Paragraphedeliste"/>
        <w:spacing w:before="30" w:after="30"/>
        <w:ind w:left="540"/>
        <w:rPr>
          <w:lang w:val="en-US"/>
        </w:rPr>
      </w:pPr>
    </w:p>
    <w:p w14:paraId="5A4220C3" w14:textId="4BFD78C2" w:rsidR="007C594B" w:rsidRDefault="00000000" w:rsidP="00EF2236">
      <w:pPr>
        <w:pStyle w:val="Paragraphedeliste"/>
        <w:numPr>
          <w:ilvl w:val="0"/>
          <w:numId w:val="2"/>
        </w:numPr>
        <w:spacing w:before="30" w:after="30"/>
        <w:rPr>
          <w:lang w:val="en-US"/>
        </w:rPr>
      </w:pPr>
      <w:r w:rsidRPr="007C594B">
        <w:rPr>
          <w:b/>
          <w:bCs/>
          <w:lang w:val="en-US"/>
        </w:rPr>
        <w:t xml:space="preserve">Why not Blackstone: </w:t>
      </w:r>
      <w:r w:rsidRPr="007C594B">
        <w:rPr>
          <w:lang w:val="en-US"/>
        </w:rPr>
        <w:t xml:space="preserve">Best-in-class US quality in absolute </w:t>
      </w:r>
      <w:r w:rsidR="007C594B" w:rsidRPr="007C594B">
        <w:rPr>
          <w:lang w:val="en-US"/>
        </w:rPr>
        <w:t>terms but</w:t>
      </w:r>
      <w:r w:rsidRPr="007C594B">
        <w:rPr>
          <w:lang w:val="en-US"/>
        </w:rPr>
        <w:t xml:space="preserve"> precisely exposes to the American narrative the thesis seeks to avoid. Similar </w:t>
      </w:r>
      <w:proofErr w:type="spellStart"/>
      <w:r w:rsidRPr="007C594B">
        <w:rPr>
          <w:lang w:val="en-US"/>
        </w:rPr>
        <w:t>Mcap</w:t>
      </w:r>
      <w:proofErr w:type="spellEnd"/>
      <w:r w:rsidRPr="007C594B">
        <w:rPr>
          <w:lang w:val="en-US"/>
        </w:rPr>
        <w:t>/AUM multiple (13% vs 12%) — no price advantage</w:t>
      </w:r>
      <w:r w:rsidR="007C594B" w:rsidRPr="007C594B">
        <w:rPr>
          <w:lang w:val="en-US"/>
        </w:rPr>
        <w:t xml:space="preserve"> and over our value cap</w:t>
      </w:r>
      <w:r w:rsidRPr="007C594B">
        <w:rPr>
          <w:lang w:val="en-US"/>
        </w:rPr>
        <w:t>.</w:t>
      </w:r>
    </w:p>
    <w:p w14:paraId="616FF474" w14:textId="77777777" w:rsidR="00C9079B" w:rsidRPr="00EF2236" w:rsidRDefault="00C9079B" w:rsidP="00C9079B">
      <w:pPr>
        <w:pStyle w:val="Paragraphedeliste"/>
        <w:spacing w:before="30" w:after="30"/>
        <w:ind w:left="540"/>
        <w:rPr>
          <w:lang w:val="en-US"/>
        </w:rPr>
      </w:pPr>
    </w:p>
    <w:p w14:paraId="47926FCA" w14:textId="4BEDAE54" w:rsidR="007C594B" w:rsidRDefault="00000000" w:rsidP="00EF2236">
      <w:pPr>
        <w:pStyle w:val="Paragraphedeliste"/>
        <w:numPr>
          <w:ilvl w:val="0"/>
          <w:numId w:val="2"/>
        </w:numPr>
        <w:spacing w:before="30" w:after="30"/>
        <w:rPr>
          <w:lang w:val="en-US"/>
        </w:rPr>
      </w:pPr>
      <w:r w:rsidRPr="007C594B">
        <w:rPr>
          <w:b/>
          <w:bCs/>
          <w:lang w:val="en-US"/>
        </w:rPr>
        <w:t xml:space="preserve">Why not EQT: </w:t>
      </w:r>
      <w:r w:rsidRPr="007C594B">
        <w:rPr>
          <w:lang w:val="en-US"/>
        </w:rPr>
        <w:t xml:space="preserve">Larger AUM ($280bn) and interesting growth/VC exposure, but more stretched </w:t>
      </w:r>
      <w:proofErr w:type="spellStart"/>
      <w:r w:rsidRPr="007C594B">
        <w:rPr>
          <w:lang w:val="en-US"/>
        </w:rPr>
        <w:t>Mcap</w:t>
      </w:r>
      <w:proofErr w:type="spellEnd"/>
      <w:r w:rsidRPr="007C594B">
        <w:rPr>
          <w:lang w:val="en-US"/>
        </w:rPr>
        <w:t>/AUM (~14%), lower yield, and crucially no comparable evergreen leadership — EQT has only been catching up since 2024-2025. PGH has a 15-year structural lead on evergreens, the key channel for retail wealth growth.</w:t>
      </w:r>
    </w:p>
    <w:p w14:paraId="66002E8E" w14:textId="77777777" w:rsidR="00C9079B" w:rsidRPr="00C9079B" w:rsidRDefault="00C9079B" w:rsidP="00C9079B">
      <w:pPr>
        <w:pStyle w:val="Paragraphedeliste"/>
        <w:rPr>
          <w:lang w:val="en-US"/>
        </w:rPr>
      </w:pPr>
    </w:p>
    <w:p w14:paraId="29D185A1" w14:textId="77777777" w:rsidR="00C9079B" w:rsidRPr="00EF2236" w:rsidRDefault="00C9079B" w:rsidP="00C9079B">
      <w:pPr>
        <w:pStyle w:val="Paragraphedeliste"/>
        <w:spacing w:before="30" w:after="30"/>
        <w:ind w:left="540"/>
        <w:rPr>
          <w:lang w:val="en-US"/>
        </w:rPr>
      </w:pPr>
    </w:p>
    <w:p w14:paraId="6BACDE4D" w14:textId="2B65544C" w:rsidR="00C4264E" w:rsidRPr="00EF2236" w:rsidRDefault="00000000">
      <w:pPr>
        <w:pStyle w:val="Paragraphedeliste"/>
        <w:numPr>
          <w:ilvl w:val="0"/>
          <w:numId w:val="2"/>
        </w:numPr>
        <w:spacing w:before="30" w:after="30"/>
        <w:rPr>
          <w:lang w:val="en-US"/>
        </w:rPr>
      </w:pPr>
      <w:r w:rsidRPr="007C594B">
        <w:rPr>
          <w:b/>
          <w:bCs/>
          <w:lang w:val="en-US"/>
        </w:rPr>
        <w:t xml:space="preserve">Why not Apollo / Ares / Blue Owl: </w:t>
      </w:r>
      <w:r w:rsidRPr="007C594B">
        <w:rPr>
          <w:lang w:val="en-US"/>
        </w:rPr>
        <w:t xml:space="preserve">Mechanically excluded — excessive US credit exposure (86%, 66%, 53% respectively), precisely the segment under stress in 2026. </w:t>
      </w:r>
      <w:r w:rsidR="00C9079B">
        <w:rPr>
          <w:lang w:val="en-US"/>
        </w:rPr>
        <w:t>Too much uncertainty makes it</w:t>
      </w:r>
      <w:r w:rsidR="00DA0BF4">
        <w:rPr>
          <w:lang w:val="en-US"/>
        </w:rPr>
        <w:t xml:space="preserve"> difficult to say if it’s the biggest opportunity to buy at a discount, or if it’s going to be the same as in 2008.</w:t>
      </w:r>
    </w:p>
    <w:p w14:paraId="5FC58DFC" w14:textId="77777777" w:rsidR="007C594B" w:rsidRPr="00EF2236" w:rsidRDefault="007C594B" w:rsidP="007C594B">
      <w:pPr>
        <w:pStyle w:val="Paragraphedeliste"/>
        <w:spacing w:before="30" w:after="30"/>
        <w:ind w:left="540"/>
        <w:rPr>
          <w:lang w:val="en-US"/>
        </w:rPr>
      </w:pPr>
    </w:p>
    <w:p w14:paraId="61D91520" w14:textId="77777777" w:rsidR="00C4264E" w:rsidRDefault="00000000">
      <w:pPr>
        <w:spacing w:before="40" w:after="40"/>
      </w:pPr>
      <w:r>
        <w:t>PGH's distinctive advantages on this mandate: (1) unique combination of 5.3% yield + 60%+ EBITDA margin + evergreen leadership, (2) 20-year listed track record with demonstrated capital return discipline, (3) neutral Swiss governance that insulates from US jurisdictional risk (tariffs, DOJ/SEC policy vs foreign firms), (4) current -34% discount from peak creates a more favorable entry point than at any time in recent years. No ticked competitor combines these four elements simultaneously.</w:t>
      </w:r>
    </w:p>
    <w:p w14:paraId="600C4EB4" w14:textId="063FEE2B" w:rsidR="00C4264E" w:rsidRPr="007C594B" w:rsidRDefault="00000000">
      <w:pPr>
        <w:pStyle w:val="Titre1"/>
        <w:pBdr>
          <w:bottom w:val="single" w:sz="4" w:space="2" w:color="2C3E50"/>
        </w:pBdr>
        <w:rPr>
          <w:lang w:val="en-US"/>
        </w:rPr>
      </w:pPr>
      <w:r w:rsidRPr="007C594B">
        <w:rPr>
          <w:lang w:val="en-US"/>
        </w:rPr>
        <w:t xml:space="preserve">V. Conclusion </w:t>
      </w:r>
    </w:p>
    <w:p w14:paraId="533446AD" w14:textId="77777777" w:rsidR="00C4264E" w:rsidRDefault="00000000">
      <w:pPr>
        <w:spacing w:before="40" w:after="40"/>
      </w:pPr>
      <w:r>
        <w:t>Partners Group offers quality exposure to European alternative investments, aligned with a thesis favoring stability in a context of US deceleration. Fundamentals remain robust: EBITDA margin 60%+, AUM acceleration (+21% in 2025), evergreen leadership, 5.3% yield providing a total return floor. The -34% correction from peak creates a more favorable entry point than in recent years.</w:t>
      </w:r>
    </w:p>
    <w:p w14:paraId="17883B48" w14:textId="77777777" w:rsidR="00C4264E" w:rsidRDefault="00000000">
      <w:pPr>
        <w:spacing w:before="40" w:after="40"/>
      </w:pPr>
      <w:r>
        <w:t>Risks warrant active monitoring: (1) AUM/management fees divergence to be confirmed as transitory, (2) pull-forward of performance fees from 2026 to 2025 creating a difficult base, (3) evergreen exposure 30% = reputational risk in case of sector contagion. Neither sufficient to invalidate the thesis, nor anecdotal enough to be ignored.</w:t>
      </w:r>
    </w:p>
    <w:p w14:paraId="59042ADB" w14:textId="0F2FF318" w:rsidR="00C4264E" w:rsidRDefault="00C4264E" w:rsidP="00C9079B">
      <w:pPr>
        <w:pBdr>
          <w:top w:val="single" w:sz="2" w:space="1" w:color="CCCCCC"/>
        </w:pBdr>
        <w:spacing w:before="120"/>
        <w:jc w:val="center"/>
      </w:pPr>
    </w:p>
    <w:sectPr w:rsidR="00C4264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E6865"/>
    <w:multiLevelType w:val="hybridMultilevel"/>
    <w:tmpl w:val="757CA638"/>
    <w:lvl w:ilvl="0" w:tplc="37A087CA">
      <w:start w:val="1"/>
      <w:numFmt w:val="bullet"/>
      <w:lvlText w:val="●"/>
      <w:lvlJc w:val="left"/>
      <w:pPr>
        <w:ind w:left="720" w:hanging="360"/>
      </w:pPr>
    </w:lvl>
    <w:lvl w:ilvl="1" w:tplc="D86AF482">
      <w:start w:val="1"/>
      <w:numFmt w:val="bullet"/>
      <w:lvlText w:val="○"/>
      <w:lvlJc w:val="left"/>
      <w:pPr>
        <w:ind w:left="1440" w:hanging="360"/>
      </w:pPr>
    </w:lvl>
    <w:lvl w:ilvl="2" w:tplc="A9EA0E86">
      <w:start w:val="1"/>
      <w:numFmt w:val="bullet"/>
      <w:lvlText w:val="■"/>
      <w:lvlJc w:val="left"/>
      <w:pPr>
        <w:ind w:left="2160" w:hanging="360"/>
      </w:pPr>
    </w:lvl>
    <w:lvl w:ilvl="3" w:tplc="B12C634E">
      <w:start w:val="1"/>
      <w:numFmt w:val="bullet"/>
      <w:lvlText w:val="●"/>
      <w:lvlJc w:val="left"/>
      <w:pPr>
        <w:ind w:left="2880" w:hanging="360"/>
      </w:pPr>
    </w:lvl>
    <w:lvl w:ilvl="4" w:tplc="0D1C562E">
      <w:start w:val="1"/>
      <w:numFmt w:val="bullet"/>
      <w:lvlText w:val="○"/>
      <w:lvlJc w:val="left"/>
      <w:pPr>
        <w:ind w:left="3600" w:hanging="360"/>
      </w:pPr>
    </w:lvl>
    <w:lvl w:ilvl="5" w:tplc="BA90A71A">
      <w:start w:val="1"/>
      <w:numFmt w:val="bullet"/>
      <w:lvlText w:val="■"/>
      <w:lvlJc w:val="left"/>
      <w:pPr>
        <w:ind w:left="4320" w:hanging="360"/>
      </w:pPr>
    </w:lvl>
    <w:lvl w:ilvl="6" w:tplc="0BECA8D8">
      <w:start w:val="1"/>
      <w:numFmt w:val="bullet"/>
      <w:lvlText w:val="●"/>
      <w:lvlJc w:val="left"/>
      <w:pPr>
        <w:ind w:left="5040" w:hanging="360"/>
      </w:pPr>
    </w:lvl>
    <w:lvl w:ilvl="7" w:tplc="1B7CA40C">
      <w:start w:val="1"/>
      <w:numFmt w:val="bullet"/>
      <w:lvlText w:val="●"/>
      <w:lvlJc w:val="left"/>
      <w:pPr>
        <w:ind w:left="5760" w:hanging="360"/>
      </w:pPr>
    </w:lvl>
    <w:lvl w:ilvl="8" w:tplc="CDC830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201C0"/>
    <w:multiLevelType w:val="hybridMultilevel"/>
    <w:tmpl w:val="81B47EE0"/>
    <w:lvl w:ilvl="0" w:tplc="DD0EF750">
      <w:start w:val="1"/>
      <w:numFmt w:val="bullet"/>
      <w:lvlText w:val="•"/>
      <w:lvlJc w:val="left"/>
      <w:pPr>
        <w:ind w:left="540" w:hanging="270"/>
      </w:pPr>
    </w:lvl>
    <w:lvl w:ilvl="1" w:tplc="7CD2154C">
      <w:numFmt w:val="decimal"/>
      <w:lvlText w:val=""/>
      <w:lvlJc w:val="left"/>
    </w:lvl>
    <w:lvl w:ilvl="2" w:tplc="7F44CE02">
      <w:numFmt w:val="decimal"/>
      <w:lvlText w:val=""/>
      <w:lvlJc w:val="left"/>
    </w:lvl>
    <w:lvl w:ilvl="3" w:tplc="D3283588">
      <w:numFmt w:val="decimal"/>
      <w:lvlText w:val=""/>
      <w:lvlJc w:val="left"/>
    </w:lvl>
    <w:lvl w:ilvl="4" w:tplc="184090EC">
      <w:numFmt w:val="decimal"/>
      <w:lvlText w:val=""/>
      <w:lvlJc w:val="left"/>
    </w:lvl>
    <w:lvl w:ilvl="5" w:tplc="10780DF4">
      <w:numFmt w:val="decimal"/>
      <w:lvlText w:val=""/>
      <w:lvlJc w:val="left"/>
    </w:lvl>
    <w:lvl w:ilvl="6" w:tplc="877ACACA">
      <w:numFmt w:val="decimal"/>
      <w:lvlText w:val=""/>
      <w:lvlJc w:val="left"/>
    </w:lvl>
    <w:lvl w:ilvl="7" w:tplc="5302E872">
      <w:numFmt w:val="decimal"/>
      <w:lvlText w:val=""/>
      <w:lvlJc w:val="left"/>
    </w:lvl>
    <w:lvl w:ilvl="8" w:tplc="DAFC8412">
      <w:numFmt w:val="decimal"/>
      <w:lvlText w:val=""/>
      <w:lvlJc w:val="left"/>
    </w:lvl>
  </w:abstractNum>
  <w:num w:numId="1" w16cid:durableId="871456058">
    <w:abstractNumId w:val="0"/>
    <w:lvlOverride w:ilvl="0">
      <w:startOverride w:val="1"/>
    </w:lvlOverride>
  </w:num>
  <w:num w:numId="2" w16cid:durableId="1868759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64E"/>
    <w:rsid w:val="007C594B"/>
    <w:rsid w:val="00AE496A"/>
    <w:rsid w:val="00C4264E"/>
    <w:rsid w:val="00C9079B"/>
    <w:rsid w:val="00CF5EB2"/>
    <w:rsid w:val="00DA0BF4"/>
    <w:rsid w:val="00EF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76553"/>
  <w15:docId w15:val="{FD331834-6AF9-A541-BC1F-78C0BAC0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uiPriority w:val="9"/>
    <w:qFormat/>
    <w:pPr>
      <w:spacing w:before="200" w:after="60"/>
      <w:outlineLvl w:val="0"/>
    </w:pPr>
    <w:rPr>
      <w:b/>
      <w:bCs/>
      <w:color w:val="2C3E50"/>
      <w:sz w:val="24"/>
      <w:szCs w:val="24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857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Nastase</cp:lastModifiedBy>
  <cp:revision>3</cp:revision>
  <dcterms:created xsi:type="dcterms:W3CDTF">2026-04-19T19:26:00Z</dcterms:created>
  <dcterms:modified xsi:type="dcterms:W3CDTF">2026-04-19T19:33:00Z</dcterms:modified>
</cp:coreProperties>
</file>