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1CE"/>
          <w:sz w:val="32"/>
        </w:rPr>
        <w:t>WALMART STORES, INC.</w:t>
      </w:r>
    </w:p>
    <w:p>
      <w:pPr>
        <w:jc w:val="center"/>
      </w:pPr>
      <w:r>
        <w:rPr>
          <w:b/>
          <w:color w:val="0071CE"/>
          <w:sz w:val="26"/>
        </w:rPr>
        <w:t>Executive Performance Summary</w:t>
      </w:r>
    </w:p>
    <w:p>
      <w:pPr>
        <w:jc w:val="center"/>
      </w:pPr>
      <w:r>
        <w:rPr>
          <w:i/>
          <w:color w:val="666666"/>
          <w:sz w:val="20"/>
        </w:rPr>
        <w:t>February 2010 – October 2012  |  Prepared for Walmart Leadership</w:t>
      </w:r>
    </w:p>
    <w:p/>
    <w:p>
      <w:pPr>
        <w:spacing w:after="200"/>
        <w:ind w:firstLine="432"/>
        <w:jc w:val="both"/>
      </w:pPr>
      <w:r>
        <w:rPr>
          <w:rFonts w:ascii="Garamond" w:hAnsi="Garamond"/>
          <w:sz w:val="22"/>
        </w:rPr>
        <w:t>Between February 2010 and October 2012, Walmart's 45-store network generated a combined $6.74 billion in weekly sales across 81 departments — a performance that, at first glance, tells a story of scale and consistency. The average weekly sales figure of $15,981 per department record reflects the kind of steady throughput expected from a retail operation of this magnitude. Yet beneath that aggregate number lies a more nuanced picture: one where a handful of stores carry disproportionate weight, seasonal forces drive dramatic swings, and a notable share of locations show signs of sustained revenue decline that warrant strategic attention from leadership.</w:t>
      </w:r>
    </w:p>
    <w:p>
      <w:pPr>
        <w:spacing w:after="200"/>
        <w:ind w:firstLine="432"/>
        <w:jc w:val="both"/>
      </w:pPr>
      <w:r>
        <w:rPr>
          <w:rFonts w:ascii="Garamond" w:hAnsi="Garamond"/>
          <w:sz w:val="22"/>
        </w:rPr>
        <w:t>The top-performing stores are not evenly distributed across the portfolio — they are concentrated at the high end, with Store 20 leading the network at $301.4 million in total sales over the analysis period, followed closely by Store 4 at $299.5 million, Store 14 at $289.0 million, Store 13 at $286.5 million, and Store 2 at $275.4 million. Together, these five locations account for a striking share of network revenue, reinforcing that Walmart's strongest stores function as anchor assets. Their scale, store type, and operational consistency distinguish them clearly from the long tail of smaller, more volatile performers — and they represent the clearest benchmarks for what high-functioning retail execution looks like across the broader chain.</w:t>
      </w:r>
    </w:p>
    <w:p>
      <w:pPr>
        <w:spacing w:after="200"/>
        <w:ind w:firstLine="432"/>
        <w:jc w:val="both"/>
      </w:pPr>
      <w:r>
        <w:rPr>
          <w:rFonts w:ascii="Garamond" w:hAnsi="Garamond"/>
          <w:sz w:val="22"/>
        </w:rPr>
        <w:t>Seasonality plays a defining role in shaping Walmart's revenue rhythm. December consistently emerged as the highest-performing month, with average weekly sales reaching $19,355.70 — nearly $5,000 above January's network low of $14,126.08, a gap that underscores just how sharply consumer behavior shifts between holiday peak and post-holiday pullback. Holiday weeks across the full dataset averaged $17,035.82, compared to $15,901.45 for non-holiday weeks — a 7.1% lift that confirms the outsized commercial importance of key calendar events. For a network generating revenue at this scale, that margin is not trivial: it represents hundreds of millions of dollars in incremental performance driven purely by timing, and it demands that inventory, staffing, and promotional strategies be calibrated with precision around these windows.</w:t>
      </w:r>
    </w:p>
    <w:p>
      <w:pPr>
        <w:spacing w:after="200"/>
        <w:ind w:firstLine="432"/>
        <w:jc w:val="both"/>
      </w:pPr>
      <w:r>
        <w:rPr>
          <w:rFonts w:ascii="Garamond" w:hAnsi="Garamond"/>
          <w:sz w:val="22"/>
        </w:rPr>
        <w:t>Volatility analysis adds another dimension to the risk profile. Five stores — Store 35, Store 7, Store 15, Store 29, and Store 23 — stand out as the most erratic performers in the network, with coefficients of variation of 22.9%, 19.7%, 19.3%, 18.4%, and 17.9% respectively. A high coefficient of variation means that week-to-week sales fluctuate wildly relative to each store's own average, making these locations difficult to plan for and operationally expensive to manage. Store 35 in particular, with a CV nearly double that of the most stable locations, represents a forecasting challenge that could mask underlying structural issues — whether driven by local market conditions, inconsistent execution, or external economic pressures in its trade area.</w:t>
      </w:r>
    </w:p>
    <w:p>
      <w:pPr>
        <w:spacing w:after="200"/>
        <w:ind w:firstLine="432"/>
        <w:jc w:val="both"/>
      </w:pPr>
      <w:r>
        <w:rPr>
          <w:rFonts w:ascii="Garamond" w:hAnsi="Garamond"/>
          <w:sz w:val="22"/>
        </w:rPr>
        <w:t>The most operationally significant finding, however, may be the prevalence of high-risk decline patterns across the network. Using weekly sales decline frequency as a proxy for structural weakness, 13 of the 45 stores — including Store 28 (86 declining weeks), Store 42 (85 declining weeks), and Store 38 and Store 20 (each with 82 declining weeks) — were flagged as high-risk based on exceeding the 76th percentile threshold for consecutive or recurring revenue contraction. The fact that even Store 20, a top-five revenue generator, appears in this cohort suggests that raw sales volume alone is not a reliable indicator of operational health. Leadership should treat these 13 locations as priority candidates for targeted operational review, examining whether store-specific factors — labor efficiency, local competition, markdown strategy, or demographic shifts — are contributing to persistent downward pressure that aggregate metrics may be obscuring.</w:t>
      </w:r>
    </w:p>
    <w:p>
      <w:pPr>
        <w:spacing w:after="200"/>
        <w:ind w:firstLine="432"/>
        <w:jc w:val="both"/>
      </w:pPr>
      <w:r>
        <w:rPr>
          <w:rFonts w:ascii="Garamond" w:hAnsi="Garamond"/>
          <w:sz w:val="22"/>
        </w:rPr>
        <w:t>Taken together, the data presents a network that is performing at scale but operating with meaningful unevenness. The strength of the top five stores provides a reliable revenue foundation, and the holiday calendar continues to deliver dependable lift. But the volatility concentrated in nearly a dozen stores, combined with decline patterns that affect more than a quarter of the network, signals that the next phase of strategic investment should focus less on the stores already winning and more on understanding — and correcting — the conditions that are holding the rest of the portfolio back. The opportunity is not just to sustain what is working, but to diagnose what is not, and to close the performance gap between Walmart's best stores and those still operating well below their potential.</w:t>
      </w:r>
    </w:p>
    <w:p/>
    <w:p>
      <w:pPr>
        <w:jc w:val="center"/>
      </w:pPr>
      <w:r>
        <w:rPr>
          <w:i/>
          <w:color w:val="999999"/>
          <w:sz w:val="18"/>
        </w:rPr>
        <w:t>Confidential — For Internal Use Only  |  Walmart KPI Analysis 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