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471C"/>
          <w:sz w:val="32"/>
        </w:rPr>
        <w:t>Walmart Store Network: Executive Summary</w:t>
      </w:r>
    </w:p>
    <w:p>
      <w:pPr>
        <w:jc w:val="center"/>
      </w:pPr>
      <w:r>
        <w:rPr>
          <w:color w:val="666666"/>
          <w:sz w:val="20"/>
        </w:rPr>
        <w:t>Analysis Period: February 2010 – October 2012</w:t>
      </w:r>
    </w:p>
    <w:p/>
    <w:p>
      <w:pPr>
        <w:spacing w:after="200"/>
        <w:jc w:val="both"/>
      </w:pPr>
      <w:r>
        <w:rPr>
          <w:rFonts w:ascii="Calibri" w:hAnsi="Calibri"/>
          <w:sz w:val="22"/>
        </w:rPr>
        <w:t>Between February 2010 and October 2012, Walmart's 45-store network generated a</w:t>
        <w:br/>
        <w:t>combined $6.74 billion in weekly sales across 81 departments. At first glance,</w:t>
        <w:br/>
        <w:t>that's a story of scale and consistency. The average weekly sales figure of</w:t>
        <w:br/>
        <w:t>$15,981 per department record reflects the steady throughput you'd expect from a</w:t>
        <w:br/>
        <w:t>retail operation this size. But beneath that aggregate number is a more nuanced</w:t>
        <w:br/>
        <w:t>picture: a handful of stores carry disproportionate weight, seasonal forces drive</w:t>
        <w:br/>
        <w:t>dramatic swings, and a notable share of locations show signs of sustained revenue</w:t>
        <w:br/>
        <w:t>decline that leadership should be paying attention to.</w:t>
      </w:r>
    </w:p>
    <w:p>
      <w:pPr>
        <w:spacing w:after="200"/>
        <w:jc w:val="both"/>
      </w:pPr>
      <w:r>
        <w:rPr>
          <w:rFonts w:ascii="Calibri" w:hAnsi="Calibri"/>
          <w:sz w:val="22"/>
        </w:rPr>
        <w:t>The top performers are concentrated at the high end of the portfolio. Store 20</w:t>
        <w:br/>
        <w:t>leads the network at $301.4 million in total sales over the analysis period,</w:t>
        <w:br/>
        <w:t>followed by Store 4 at $299.5 million, Store 14 at $289.0 million, Store 13 at</w:t>
        <w:br/>
        <w:t>$286.5 million, and Store 2 at $275.4 million. Together, these five locations</w:t>
        <w:br/>
        <w:t>account for a striking share of network revenue, which reinforces that Walmart's</w:t>
        <w:br/>
        <w:t>strongest stores function as anchor assets. Their scale, store type, and</w:t>
        <w:br/>
        <w:t>operational consistency set them apart from the long tail of smaller, more</w:t>
        <w:br/>
        <w:t>volatile performers, and they represent the clearest benchmarks for what</w:t>
        <w:br/>
        <w:t>high-functioning retail execution looks like across the chain.</w:t>
      </w:r>
    </w:p>
    <w:p>
      <w:pPr>
        <w:spacing w:after="200"/>
        <w:jc w:val="both"/>
      </w:pPr>
      <w:r>
        <w:rPr>
          <w:rFonts w:ascii="Calibri" w:hAnsi="Calibri"/>
          <w:sz w:val="22"/>
        </w:rPr>
        <w:t>Seasonality plays a defining role in shaping Walmart's revenue rhythm. December</w:t>
        <w:br/>
        <w:t>consistently came in as the highest-performing month, with average weekly sales</w:t>
        <w:br/>
        <w:t>reaching $19,355.70, nearly $5,000 above January's network low of $14,126.08.</w:t>
        <w:br/>
        <w:t>That gap shows just how sharply consumer behavior shifts between holiday peak and</w:t>
        <w:br/>
        <w:t>post-holiday pullback. Holiday weeks across the full dataset averaged $17,035.82</w:t>
        <w:br/>
        <w:t>compared to $15,901.45 for non-holiday weeks, a 7.1% lift that confirms how</w:t>
        <w:br/>
        <w:t>much key calendar events matter commercially. At this scale, that margin is not</w:t>
        <w:br/>
        <w:t>trivial. It represents hundreds of millions of dollars in incremental performance</w:t>
        <w:br/>
        <w:t>driven purely by timing, and it means inventory, staffing, and promotional</w:t>
        <w:br/>
        <w:t>strategies need to be calibrated carefully around those windows.</w:t>
      </w:r>
    </w:p>
    <w:p>
      <w:pPr>
        <w:spacing w:after="200"/>
        <w:jc w:val="both"/>
      </w:pPr>
      <w:r>
        <w:rPr>
          <w:rFonts w:ascii="Calibri" w:hAnsi="Calibri"/>
          <w:sz w:val="22"/>
        </w:rPr>
        <w:t>Volatility analysis adds another layer to the risk picture. Five stores stand</w:t>
        <w:br/>
        <w:t>out as the most erratic performers in the network: Store 35, Store 7, Store 15,</w:t>
        <w:br/>
        <w:t>Store 29, and Store 23, with coefficients of variation of 22.9%, 19.7%, 19.3%,</w:t>
        <w:br/>
        <w:t>18.4%, and 17.9% respectively. A high coefficient of variation means week-to-week</w:t>
        <w:br/>
        <w:t>sales fluctuate wildly relative to each store's own average, making these</w:t>
        <w:br/>
        <w:t>locations hard to plan for and operationally expensive to manage. Store 35 in</w:t>
        <w:br/>
        <w:t>particular, with a CV nearly double that of the most stable locations, is a real</w:t>
        <w:br/>
        <w:t>forecasting challenge. That kind of variability could be masking underlying</w:t>
        <w:br/>
        <w:t>structural issues, whether driven by local market conditions, inconsistent</w:t>
        <w:br/>
        <w:t>execution, or external economic pressures in its trade area.</w:t>
      </w:r>
    </w:p>
    <w:p>
      <w:pPr>
        <w:spacing w:after="200"/>
        <w:jc w:val="both"/>
      </w:pPr>
      <w:r>
        <w:rPr>
          <w:rFonts w:ascii="Calibri" w:hAnsi="Calibri"/>
          <w:sz w:val="22"/>
        </w:rPr>
        <w:t>The most operationally significant finding may be how widespread high-risk</w:t>
        <w:br/>
        <w:t>decline patterns are across the network. Using weekly sales decline frequency as</w:t>
        <w:br/>
        <w:t>a proxy for structural weakness, 13 of the 45 stores were flagged as high-risk</w:t>
        <w:br/>
        <w:t>for exceeding the 76th percentile threshold for consecutive or recurring revenue</w:t>
        <w:br/>
        <w:t>contraction. That group includes Store 28 (86 declining weeks), Store 42 (85</w:t>
        <w:br/>
        <w:t>declining weeks), and both Store 38 and Store 20 (82 declining weeks each). The</w:t>
        <w:br/>
        <w:t>fact that Store 20, a top-five revenue generator, shows up in this cohort is</w:t>
        <w:br/>
        <w:t>worth noting. Raw sales volume alone is not a reliable indicator of operational</w:t>
        <w:br/>
        <w:t>health. These 13 locations should be treated as priority candidates for targeted</w:t>
        <w:br/>
        <w:t>operational review, examining whether store-specific factors like labor</w:t>
        <w:br/>
        <w:t>efficiency, local competition, markdown strategy, or demographic shifts are</w:t>
        <w:br/>
        <w:t>driving persistent downward pressure that the aggregate metrics are obscuring.</w:t>
      </w:r>
    </w:p>
    <w:p>
      <w:pPr>
        <w:spacing w:after="200"/>
        <w:jc w:val="both"/>
      </w:pPr>
      <w:r>
        <w:rPr>
          <w:rFonts w:ascii="Calibri" w:hAnsi="Calibri"/>
          <w:sz w:val="22"/>
        </w:rPr>
        <w:t>The data points to a network performing at scale but with meaningful unevenness</w:t>
        <w:br/>
        <w:t>underneath. The top five stores provide a reliable revenue foundation, and the</w:t>
        <w:br/>
        <w:t>holiday calendar continues to deliver dependable lift. But the volatility</w:t>
        <w:br/>
        <w:t>concentrated in nearly a dozen stores, combined with decline patterns affecting</w:t>
        <w:br/>
        <w:t>more than a quarter of the network, suggests the next phase of strategic</w:t>
        <w:br/>
        <w:t>investment should focus less on the stores already winning. The real opportunity</w:t>
        <w:br/>
        <w:t>is in understanding what's holding the rest of the portfolio back and closing</w:t>
        <w:br/>
        <w:t>the gap between Walmart's best locations and those still operating well below</w:t>
        <w:br/>
        <w:t>their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