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067ED5" w:rsidP="008F1489">
      <w:pPr>
        <w:jc w:val="right"/>
      </w:pPr>
      <w:r>
        <w:t>2</w:t>
      </w:r>
      <w:r w:rsidR="00E1495A">
        <w:t>7</w:t>
      </w:r>
      <w:r w:rsidR="00C31DF2">
        <w:t xml:space="preserve"> August</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are intended to allow Braiins Report Objects to be maintained in an Excel </w:t>
      </w:r>
      <w:proofErr w:type="spellStart"/>
      <w:r>
        <w:t>spreadsheet</w:t>
      </w:r>
      <w:proofErr w:type="spellEnd"/>
      <w:r>
        <w: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 xml:space="preserve">The 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5967ED" w:rsidP="005967ED">
      <w:pPr>
        <w:rPr>
          <w:i/>
        </w:rPr>
      </w:pPr>
      <w:r w:rsidRPr="005967ED">
        <w:rPr>
          <w:i/>
        </w:rPr>
        <w:t>Bro Exclusivity</w:t>
      </w:r>
    </w:p>
    <w:p w:rsidR="005967ED" w:rsidRDefault="005967ED" w:rsidP="00B12161">
      <w:pPr>
        <w:pStyle w:val="NormSpace"/>
      </w:pPr>
      <w:r>
        <w:t>The Bro tree must contain only one Taxonomy Element, Hypercube, and Tuple combination, unless replicated as a Slave.</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 xml:space="preserve">Import, apart from generating errors in some egregious cases e.g. </w:t>
            </w:r>
            <w:proofErr w:type="spellStart"/>
            <w:r>
              <w:t>StartEn</w:t>
            </w:r>
            <w:bookmarkStart w:id="0" w:name="_GoBack"/>
            <w:bookmarkEnd w:id="0"/>
            <w:r>
              <w:t>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w:t>
      </w:r>
      <w:proofErr w:type="spellStart"/>
      <w:r>
        <w:t>Tx</w:t>
      </w:r>
      <w:proofErr w:type="spellEnd"/>
      <w:r>
        <w:t xml:space="preserve"> based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r w:rsidR="00067ED5">
        <w:t xml:space="preserve"> </w:t>
      </w:r>
    </w:p>
    <w:p w:rsidR="00780852" w:rsidRDefault="00780852" w:rsidP="00780852">
      <w:pPr>
        <w:pStyle w:val="NormSpace"/>
      </w:pPr>
      <w:r>
        <w:t xml:space="preserve">A Slave Bro must have the same </w:t>
      </w:r>
      <w:proofErr w:type="spellStart"/>
      <w:r>
        <w:t>TxId</w:t>
      </w:r>
      <w:proofErr w:type="spellEnd"/>
      <w:r>
        <w:t xml:space="preserve"> as its Master, either the same </w:t>
      </w:r>
      <w:proofErr w:type="spellStart"/>
      <w:r>
        <w:t>HyId</w:t>
      </w:r>
      <w:proofErr w:type="spellEnd"/>
      <w:r>
        <w:t xml:space="preserve"> or </w:t>
      </w:r>
      <w:proofErr w:type="gramStart"/>
      <w:r>
        <w:t>an</w:t>
      </w:r>
      <w:proofErr w:type="gramEnd"/>
      <w:r>
        <w:t xml:space="preserve"> </w:t>
      </w:r>
      <w:proofErr w:type="spellStart"/>
      <w:r>
        <w:t>HyId</w:t>
      </w:r>
      <w:proofErr w:type="spellEnd"/>
      <w:r>
        <w:t xml:space="preserve"> which is a subset of the Master’s </w:t>
      </w:r>
      <w:proofErr w:type="spellStart"/>
      <w:r>
        <w:t>HyId</w:t>
      </w:r>
      <w:proofErr w:type="spellEnd"/>
      <w:r>
        <w:t xml:space="preserve">, and the same </w:t>
      </w:r>
      <w:proofErr w:type="spellStart"/>
      <w:r>
        <w:t>TupId</w:t>
      </w:r>
      <w:proofErr w:type="spellEnd"/>
      <w:r>
        <w:t xml:space="preserve"> as the Master’s if the </w:t>
      </w:r>
      <w:proofErr w:type="spellStart"/>
      <w:r>
        <w:t>TxId</w:t>
      </w:r>
      <w:proofErr w:type="spellEnd"/>
      <w:r>
        <w:t xml:space="preserve"> is a Tuple Member.</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 Master Bro Name’ Check which is automatically added to the Bro by Bros Import.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F84FDC" w:rsidP="00F84FDC">
      <w:r>
        <w:t>Unused properties for Slaves are:</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F84FDC" w:rsidRDefault="00F84FDC" w:rsidP="00F84FDC">
      <w:pPr>
        <w:pStyle w:val="ListBSpace"/>
      </w:pPr>
      <w:proofErr w:type="spellStart"/>
      <w:r>
        <w:t>DiMeId</w:t>
      </w:r>
      <w:proofErr w:type="spellEnd"/>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lastRenderedPageBreak/>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780852" w:rsidP="00780852">
      <w:pPr>
        <w:pStyle w:val="ListBullet"/>
      </w:pPr>
      <w:r>
        <w:t>Context</w:t>
      </w:r>
    </w:p>
    <w:p w:rsidR="00780852" w:rsidRDefault="00780852" w:rsidP="00780852">
      <w:pPr>
        <w:pStyle w:val="ListBSpace"/>
      </w:pPr>
      <w:r>
        <w:t>Start/End</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780852" w:rsidP="00780852">
      <w:pPr>
        <w:pStyle w:val="NormSpace"/>
      </w:pPr>
      <w:r>
        <w:t xml:space="preserve">If a Slave Bro that is a Set uses multiple </w:t>
      </w:r>
      <w:proofErr w:type="spellStart"/>
      <w:r>
        <w:t>HyIds</w:t>
      </w:r>
      <w:proofErr w:type="spellEnd"/>
      <w:r>
        <w:t xml:space="preserve">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spellStart"/>
      <w:r>
        <w:t>DimRef</w:t>
      </w:r>
      <w:proofErr w:type="spellEnd"/>
      <w:r>
        <w:t>...}{:&lt;</w:t>
      </w:r>
      <w:proofErr w:type="spellStart"/>
      <w:r>
        <w:t>end|start</w:t>
      </w:r>
      <w:proofErr w:type="spellEnd"/>
      <w:r>
        <w:t>&gt;}{:T{.#}} are colon separated and may come in any order i.e. even with {:&lt;</w:t>
      </w:r>
      <w:proofErr w:type="spellStart"/>
      <w:r>
        <w:t>end|start</w:t>
      </w:r>
      <w:proofErr w:type="spellEnd"/>
      <w:r>
        <w:t>&gt;} or {:T{.#}}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Duplicate dimension references are ignored without throwing an error.</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r w:rsidR="000A03AE">
        <w:t>&lt;</w:t>
      </w:r>
      <w:proofErr w:type="spellStart"/>
      <w:r w:rsidR="0053297D">
        <w:t>start|</w:t>
      </w:r>
      <w:r w:rsidR="000A03AE">
        <w:t>end</w:t>
      </w:r>
      <w:proofErr w:type="spellEnd"/>
      <w:r w:rsidR="000A03AE">
        <w:t>&gt;</w:t>
      </w:r>
      <w:r w:rsidR="00065AD6">
        <w:br/>
      </w:r>
      <w:r w:rsidR="000A03AE">
        <w:t xml:space="preserve">:start </w:t>
      </w:r>
      <w:r w:rsidR="0053297D">
        <w:t xml:space="preserve">or :end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 xml:space="preserve">The default is end, so use </w:t>
      </w:r>
      <w:proofErr w:type="gramStart"/>
      <w:r w:rsidR="0053297D">
        <w:t>of :end</w:t>
      </w:r>
      <w:proofErr w:type="gramEnd"/>
      <w:r w:rsidR="0053297D">
        <w:t xml:space="preserve"> is optional.</w:t>
      </w:r>
      <w:r w:rsidR="001C0D15">
        <w:br/>
      </w:r>
      <w:r w:rsidR="00EA068E" w:rsidRPr="001C0D15">
        <w:rPr>
          <w:sz w:val="16"/>
          <w:szCs w:val="16"/>
        </w:rPr>
        <w:br/>
      </w:r>
      <w:proofErr w:type="gramStart"/>
      <w:r w:rsidR="00EA068E">
        <w:t>start</w:t>
      </w:r>
      <w:proofErr w:type="gramEnd"/>
      <w:r w:rsidR="00EA068E">
        <w:t xml:space="preserve">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2E5215">
      <w:pPr>
        <w:pStyle w:val="ListBSpace"/>
        <w:keepNext/>
        <w:ind w:left="357" w:hanging="357"/>
      </w:pPr>
      <w:r>
        <w:t>:T</w:t>
      </w:r>
      <w:r w:rsidR="00780852">
        <w:t>{</w:t>
      </w:r>
      <w:r>
        <w:t>.#</w:t>
      </w:r>
      <w:r w:rsidR="00780852">
        <w:t>}</w:t>
      </w:r>
      <w:r w:rsidR="00000216">
        <w:br/>
      </w:r>
      <w:r>
        <w:t>is a</w:t>
      </w:r>
      <w:r w:rsidR="00D02253">
        <w:t xml:space="preserve">n optional </w:t>
      </w:r>
      <w:r>
        <w:t xml:space="preserve"> tuple </w:t>
      </w:r>
      <w:r w:rsidR="002E5215">
        <w:t>instance</w:t>
      </w:r>
      <w:r>
        <w:t xml:space="preserve"> where</w:t>
      </w:r>
    </w:p>
    <w:p w:rsidR="002E5215" w:rsidRDefault="000A03AE" w:rsidP="002E5215">
      <w:pPr>
        <w:pStyle w:val="ListBT1"/>
      </w:pPr>
      <w:proofErr w:type="gramStart"/>
      <w:r w:rsidRPr="002E5215">
        <w:t>{.#</w:t>
      </w:r>
      <w:proofErr w:type="gramEnd"/>
      <w:r w:rsidRPr="002E5215">
        <w:t>} is an optional instance number from 1 upwards to refer to a specific tuple instance.</w:t>
      </w:r>
    </w:p>
    <w:p w:rsidR="002E5215" w:rsidRDefault="002E5215" w:rsidP="002E5215">
      <w:pPr>
        <w:pStyle w:val="ListBT1"/>
      </w:pPr>
      <w:r w:rsidRPr="002E5215">
        <w:lastRenderedPageBreak/>
        <w:t xml:space="preserve">A tuple instance </w:t>
      </w:r>
      <w:r w:rsidR="000A03AE" w:rsidRPr="002E5215">
        <w:t xml:space="preserve">should not be used in an import unless to update a previous tuple in an Update type import, as </w:t>
      </w:r>
      <w:r w:rsidRPr="002E5215">
        <w:t xml:space="preserve">a </w:t>
      </w:r>
      <w:r w:rsidR="000A03AE" w:rsidRPr="002E5215">
        <w:t>new sequential instance number</w:t>
      </w:r>
      <w:r w:rsidRPr="002E5215">
        <w:t xml:space="preserve"> is</w:t>
      </w:r>
      <w:r w:rsidR="000A03AE" w:rsidRPr="002E5215">
        <w:t xml:space="preserve"> allocated automatically otherwise.</w:t>
      </w:r>
      <w:r w:rsidR="00DD411B" w:rsidRPr="002E5215">
        <w:br/>
      </w:r>
      <w:r w:rsidR="00415870" w:rsidRPr="002E5215">
        <w:br/>
      </w:r>
      <w:r>
        <w:t xml:space="preserve">(When importing/posting, a </w:t>
      </w:r>
      <w:proofErr w:type="spellStart"/>
      <w:r>
        <w:t>BroRef</w:t>
      </w:r>
      <w:proofErr w:type="spellEnd"/>
      <w:r>
        <w:t xml:space="preserve"> for a Tuple Bro without a tuple instance means: 'use the next instance #'.)</w:t>
      </w:r>
    </w:p>
    <w:p w:rsidR="002E5215" w:rsidRDefault="002E5215" w:rsidP="00165E63">
      <w:pPr>
        <w:pStyle w:val="ListBT1"/>
      </w:pPr>
      <w:r>
        <w:t xml:space="preserve">In reports, a </w:t>
      </w:r>
      <w:proofErr w:type="spellStart"/>
      <w:r>
        <w:t>BroRef</w:t>
      </w:r>
      <w:proofErr w:type="spellEnd"/>
      <w:r>
        <w:t xml:space="preserve"> for a </w:t>
      </w:r>
      <w:r w:rsidR="00551083">
        <w:t xml:space="preserve">summing </w:t>
      </w:r>
      <w:r>
        <w:t>Tuple Bro without a tuple instance means: 'the sum of the tuple</w:t>
      </w:r>
      <w:r w:rsidR="008B3C0E">
        <w:t xml:space="preserve"> instances</w:t>
      </w:r>
      <w:r>
        <w:t xml:space="preserve">'.  </w:t>
      </w:r>
      <w:r w:rsidR="00551083">
        <w:t xml:space="preserve">For a non-summing (string) Tuple Bro it gives an empty (or false) result. </w:t>
      </w:r>
      <w:r>
        <w:t xml:space="preserve">Or should it mean a list of all the tuple instances? </w:t>
      </w:r>
      <w:proofErr w:type="spellStart"/>
      <w:proofErr w:type="gramStart"/>
      <w:r>
        <w:t>djh</w:t>
      </w:r>
      <w:proofErr w:type="spellEnd"/>
      <w:proofErr w:type="gramEnd"/>
      <w:r>
        <w:t>??</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xml:space="preserve">, prefaced by its </w:t>
            </w:r>
            <w:proofErr w:type="spellStart"/>
            <w:r w:rsidR="00730D7F">
              <w:t>BroId</w:t>
            </w:r>
            <w:proofErr w:type="spellEnd"/>
            <w:r>
              <w:t>.</w:t>
            </w:r>
            <w:r w:rsidR="00730D7F">
              <w:t xml:space="preserve"> (On a subsequent Import the </w:t>
            </w:r>
            <w:proofErr w:type="spellStart"/>
            <w:r w:rsidR="00730D7F">
              <w:t>BroId</w:t>
            </w:r>
            <w:proofErr w:type="spellEnd"/>
            <w:r w:rsidR="00730D7F">
              <w:t xml:space="preserve"> is ignored as it could change. A following Export will include the new Master </w:t>
            </w:r>
            <w:proofErr w:type="spellStart"/>
            <w:r w:rsidR="00730D7F">
              <w:t>BroId</w:t>
            </w:r>
            <w:proofErr w:type="spellEnd"/>
            <w:r w:rsidR="00730D7F">
              <w:t>.)</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w:t>
            </w:r>
            <w:proofErr w:type="spellStart"/>
            <w:r w:rsidR="00730D7F">
              <w:t>BroId</w:t>
            </w:r>
            <w:proofErr w:type="spellEnd"/>
            <w:r w:rsidR="00730D7F">
              <w:t xml:space="preserve"> is needed.)</w:t>
            </w:r>
            <w:r>
              <w:t xml:space="preserv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w:t>
            </w:r>
            <w:proofErr w:type="spellStart"/>
            <w:r>
              <w:t>TxId</w:t>
            </w:r>
            <w:proofErr w:type="spellEnd"/>
            <w:r w:rsidR="00730D7F">
              <w:t>,</w:t>
            </w:r>
            <w:r>
              <w:t xml:space="preserve"> </w:t>
            </w:r>
            <w:proofErr w:type="spellStart"/>
            <w:r>
              <w:t>HyId</w:t>
            </w:r>
            <w:proofErr w:type="spellEnd"/>
            <w:r w:rsidR="00730D7F">
              <w:t xml:space="preserve">, and if applicable, </w:t>
            </w:r>
            <w:proofErr w:type="spellStart"/>
            <w:r w:rsidR="00730D7F">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p>
          <w:p w:rsidR="00730D7F" w:rsidRDefault="00730D7F" w:rsidP="005967ED">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lastRenderedPageBreak/>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 xml:space="preserve">ims, and </w:t>
            </w:r>
            <w:proofErr w:type="spellStart"/>
            <w:r w:rsidR="00DC493C">
              <w:t>Excl</w:t>
            </w:r>
            <w:proofErr w:type="spellEnd"/>
            <w:r w:rsidR="00DC493C">
              <w:t xml:space="preserve"> </w:t>
            </w:r>
            <w:proofErr w:type="spellStart"/>
            <w:r w:rsidR="00DC493C">
              <w:t>DiMeId</w:t>
            </w:r>
            <w:proofErr w:type="spellEnd"/>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lastRenderedPageBreak/>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w:t>
            </w:r>
            <w:r>
              <w:lastRenderedPageBreak/>
              <w:t xml:space="preserve">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lastRenderedPageBreak/>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proofErr w:type="spellStart"/>
            <w:r>
              <w:t>Incl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DC493C" w:rsidRDefault="00DC493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DC493C" w:rsidRDefault="00DC493C" w:rsidP="00175D83">
            <w:pPr>
              <w:pStyle w:val="NormSpace"/>
            </w:pPr>
            <w:proofErr w:type="spellStart"/>
            <w:r>
              <w:t>Incl</w:t>
            </w:r>
            <w:proofErr w:type="spellEnd"/>
            <w:r>
              <w:t xml:space="preserve"> Dims is mutually exclusive with </w:t>
            </w:r>
            <w:proofErr w:type="spellStart"/>
            <w:r>
              <w:t>Excl</w:t>
            </w:r>
            <w:proofErr w:type="spellEnd"/>
            <w:r>
              <w:t xml:space="preserve"> Dims.</w:t>
            </w:r>
          </w:p>
          <w:p w:rsidR="00DC493C" w:rsidRDefault="00DC493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DC493C" w:rsidTr="00107C79">
        <w:tc>
          <w:tcPr>
            <w:tcW w:w="1295" w:type="dxa"/>
            <w:shd w:val="clear" w:color="auto" w:fill="FFFFCC"/>
          </w:tcPr>
          <w:p w:rsidR="00DC493C" w:rsidRDefault="00DC493C" w:rsidP="00175D83">
            <w:proofErr w:type="spellStart"/>
            <w:r>
              <w:t>DiMeId</w:t>
            </w:r>
            <w:proofErr w:type="spellEnd"/>
          </w:p>
        </w:tc>
        <w:tc>
          <w:tcPr>
            <w:tcW w:w="634" w:type="dxa"/>
            <w:shd w:val="clear" w:color="auto" w:fill="FFFFCC"/>
          </w:tcPr>
          <w:p w:rsidR="00DC493C" w:rsidRDefault="00DC493C" w:rsidP="00175D83">
            <w:pPr>
              <w:jc w:val="center"/>
            </w:pPr>
            <w:r>
              <w:t>B</w:t>
            </w:r>
          </w:p>
        </w:tc>
        <w:tc>
          <w:tcPr>
            <w:tcW w:w="8549" w:type="dxa"/>
            <w:shd w:val="clear" w:color="auto" w:fill="FFFFCC"/>
          </w:tcPr>
          <w:p w:rsidR="00083FD0" w:rsidRDefault="00DC493C" w:rsidP="00175D83">
            <w:pPr>
              <w:pStyle w:val="NormSpace"/>
            </w:pPr>
            <w:r>
              <w:t>F</w:t>
            </w:r>
            <w:r w:rsidRPr="002464F1">
              <w:t xml:space="preserve">or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w:t>
            </w:r>
            <w:r w:rsidR="0004525A">
              <w:t xml:space="preserve">to be excluded from use, or for a dimension member to be </w:t>
            </w:r>
            <w:r w:rsidR="008A09DC">
              <w:t>fixed (</w:t>
            </w:r>
            <w:r>
              <w:t>made mandatory</w:t>
            </w:r>
            <w:r w:rsidR="008A09DC">
              <w:t>)</w:t>
            </w:r>
            <w:r w:rsidR="00107C79">
              <w:t xml:space="preserve">; </w:t>
            </w:r>
            <w:r w:rsidR="0004525A">
              <w:t xml:space="preserve">or </w:t>
            </w:r>
            <w:r w:rsidR="00107C79">
              <w:t>to be set as the default dimension member</w:t>
            </w:r>
            <w:r w:rsidR="0004525A">
              <w:t>.</w:t>
            </w:r>
          </w:p>
          <w:p w:rsidR="00107C79" w:rsidRDefault="00DC493C" w:rsidP="00083FD0">
            <w:r>
              <w:t xml:space="preserve">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3" w:history="1">
              <w:r w:rsidRPr="006555E5">
                <w:rPr>
                  <w:rStyle w:val="Hyperlink"/>
                </w:rPr>
                <w:t>Dimensions Map</w:t>
              </w:r>
            </w:hyperlink>
            <w:r>
              <w:t>.</w:t>
            </w:r>
            <w:r w:rsidR="00083FD0">
              <w:t xml:space="preserve"> </w:t>
            </w:r>
            <w:r w:rsidR="00C56B2F">
              <w:t xml:space="preserve">The form of the </w:t>
            </w:r>
            <w:proofErr w:type="spellStart"/>
            <w:r w:rsidR="00C56B2F">
              <w:t>DiMeId</w:t>
            </w:r>
            <w:proofErr w:type="spellEnd"/>
            <w:r w:rsidR="00C56B2F">
              <w:t xml:space="preserve"> value defines which of the three possibilities applies</w:t>
            </w:r>
            <w:r w:rsidR="00107C79">
              <w:t>:</w:t>
            </w:r>
          </w:p>
          <w:p w:rsidR="00107C79" w:rsidRDefault="008A09DC" w:rsidP="00107C79">
            <w:pPr>
              <w:pStyle w:val="ListBSpace"/>
              <w:keepNext/>
              <w:widowControl/>
            </w:pPr>
            <w:r>
              <w:t>Fixed</w:t>
            </w:r>
            <w:r w:rsidR="00C56B2F">
              <w:t>:</w:t>
            </w:r>
            <w:r>
              <w:tab/>
            </w:r>
            <w:r>
              <w:tab/>
            </w:r>
            <w:r w:rsidR="00C56B2F">
              <w:tab/>
              <w:t>Positive number</w:t>
            </w:r>
            <w:r w:rsidR="00C56B2F">
              <w:tab/>
              <w:t>e.g. 145</w:t>
            </w:r>
          </w:p>
          <w:p w:rsidR="00083FD0" w:rsidRDefault="00083FD0" w:rsidP="00083FD0">
            <w:pPr>
              <w:pStyle w:val="ListBSpace"/>
              <w:keepNext/>
              <w:widowControl/>
            </w:pPr>
            <w:r>
              <w:t>Default:</w:t>
            </w:r>
            <w:r>
              <w:tab/>
            </w:r>
            <w:r>
              <w:tab/>
              <w:t>Leading ‘d’</w:t>
            </w:r>
            <w:r>
              <w:tab/>
            </w:r>
            <w:r>
              <w:tab/>
              <w:t>e.g. d1288</w:t>
            </w:r>
          </w:p>
          <w:p w:rsidR="00107C79" w:rsidRDefault="00C56B2F" w:rsidP="00107C79">
            <w:pPr>
              <w:pStyle w:val="ListBSpace"/>
              <w:keepNext/>
              <w:widowControl/>
            </w:pPr>
            <w:r>
              <w:t>Excluded:</w:t>
            </w:r>
            <w:r>
              <w:tab/>
            </w:r>
            <w:r w:rsidR="00107C79">
              <w:t>Negative number</w:t>
            </w:r>
            <w:r>
              <w:tab/>
              <w:t>e.g. -423</w:t>
            </w:r>
          </w:p>
          <w:p w:rsidR="00DC493C" w:rsidRDefault="00DC493C" w:rsidP="00175D83">
            <w:pPr>
              <w:pStyle w:val="NormSpace"/>
            </w:pPr>
            <w:r>
              <w:t xml:space="preserve">If a dimension member </w:t>
            </w:r>
            <w:proofErr w:type="gramStart"/>
            <w:r w:rsidR="00C56B2F">
              <w:t>which</w:t>
            </w:r>
            <w:proofErr w:type="gramEnd"/>
            <w:r w:rsidR="00C56B2F">
              <w:t xml:space="preserve"> is </w:t>
            </w:r>
            <w:r>
              <w:t>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083FD0" w:rsidRDefault="00083FD0" w:rsidP="00175D83">
            <w:pPr>
              <w:pStyle w:val="NormSpace"/>
            </w:pPr>
            <w:r>
              <w:t xml:space="preserve">If a </w:t>
            </w:r>
            <w:r w:rsidR="008A09DC">
              <w:t>Fixed</w:t>
            </w:r>
            <w:r>
              <w:t xml:space="preserve"> dimension member is not included in an import/posting </w:t>
            </w:r>
            <w:proofErr w:type="spellStart"/>
            <w:r>
              <w:t>BroRef</w:t>
            </w:r>
            <w:proofErr w:type="spellEnd"/>
            <w:r>
              <w:t xml:space="preserve"> it is added </w:t>
            </w:r>
            <w:r>
              <w:lastRenderedPageBreak/>
              <w:t xml:space="preserve">automatically. </w:t>
            </w:r>
            <w:r w:rsidR="002911F5">
              <w:t>Inclusion</w:t>
            </w:r>
            <w:r>
              <w:t xml:space="preserve"> of any other dimension member of the same dimension is rejected as an error.</w:t>
            </w:r>
          </w:p>
          <w:p w:rsidR="00083FD0" w:rsidRDefault="00083FD0" w:rsidP="00175D83">
            <w:pPr>
              <w:pStyle w:val="NormSpace"/>
            </w:pPr>
            <w:r>
              <w:t xml:space="preserve">If a Default dimension member is not included in an import/posting </w:t>
            </w:r>
            <w:proofErr w:type="spellStart"/>
            <w:r>
              <w:t>BroRef</w:t>
            </w:r>
            <w:proofErr w:type="spellEnd"/>
            <w:r>
              <w:t xml:space="preserve"> </w:t>
            </w:r>
            <w:r w:rsidR="002911F5">
              <w:t xml:space="preserve">and no other dimension member of the same dimension as the default one has been included in the </w:t>
            </w:r>
            <w:proofErr w:type="spellStart"/>
            <w:r w:rsidR="002911F5">
              <w:t>BroRef</w:t>
            </w:r>
            <w:proofErr w:type="spellEnd"/>
            <w:r w:rsidR="002911F5">
              <w:t>, the default</w:t>
            </w:r>
            <w:r>
              <w:t xml:space="preserve"> is added automatically.</w:t>
            </w:r>
          </w:p>
          <w:p w:rsidR="00DC493C" w:rsidRDefault="00DC493C" w:rsidP="00BE167E">
            <w:pPr>
              <w:keepNext/>
              <w:keepLines/>
              <w:widowControl w:val="0"/>
            </w:pPr>
            <w:r>
              <w:t xml:space="preserve">Examples of </w:t>
            </w:r>
            <w:proofErr w:type="spellStart"/>
            <w:r>
              <w:t>DiMeId</w:t>
            </w:r>
            <w:proofErr w:type="spellEnd"/>
            <w:r>
              <w:t xml:space="preserve"> use are:</w:t>
            </w:r>
          </w:p>
          <w:p w:rsidR="00083FD0" w:rsidRDefault="00083FD0" w:rsidP="0004525A">
            <w:pPr>
              <w:pStyle w:val="ListBSpace"/>
            </w:pPr>
            <w:r>
              <w:t xml:space="preserve">145 to </w:t>
            </w:r>
            <w:r w:rsidR="008A09DC">
              <w:t xml:space="preserve">fix </w:t>
            </w:r>
            <w:r w:rsidR="00515F7C">
              <w:t xml:space="preserve">dimension member </w:t>
            </w:r>
            <w:proofErr w:type="spellStart"/>
            <w:r w:rsidR="00515F7C" w:rsidRPr="00515F7C">
              <w:t>IFAclasses.NegativeGoodwill</w:t>
            </w:r>
            <w:proofErr w:type="spellEnd"/>
            <w:r>
              <w:t xml:space="preserve"> </w:t>
            </w:r>
            <w:r w:rsidR="008A09DC">
              <w:t xml:space="preserve">for </w:t>
            </w:r>
            <w:r>
              <w:t>use with Asset negative goodwill related Bros.</w:t>
            </w:r>
          </w:p>
          <w:p w:rsidR="00083FD0" w:rsidRDefault="00083FD0" w:rsidP="00083FD0">
            <w:pPr>
              <w:pStyle w:val="ListBSpace"/>
              <w:keepNext/>
              <w:widowControl/>
            </w:pPr>
            <w:r>
              <w:t xml:space="preserve">148 to </w:t>
            </w:r>
            <w:r w:rsidR="008A09DC">
              <w:t xml:space="preserve">fix </w:t>
            </w:r>
            <w:r w:rsidR="00515F7C">
              <w:t xml:space="preserve">dimension member </w:t>
            </w:r>
            <w:proofErr w:type="spellStart"/>
            <w:r w:rsidR="00515F7C">
              <w:t>IFAclasses.</w:t>
            </w:r>
            <w:r>
              <w:t>DevelopmentCosts</w:t>
            </w:r>
            <w:proofErr w:type="spellEnd"/>
            <w:r>
              <w:t xml:space="preserve"> </w:t>
            </w:r>
            <w:r w:rsidR="008A09DC">
              <w:t xml:space="preserve">for </w:t>
            </w:r>
            <w:r>
              <w:t>use with Asset development cost related Bros.</w:t>
            </w:r>
          </w:p>
          <w:p w:rsidR="00515F7C" w:rsidRDefault="00515F7C" w:rsidP="00083FD0">
            <w:pPr>
              <w:pStyle w:val="ListBSpace"/>
              <w:keepNext/>
              <w:widowControl/>
            </w:pPr>
            <w:r>
              <w:t xml:space="preserve">d1288 to make dimension member </w:t>
            </w:r>
            <w:proofErr w:type="spellStart"/>
            <w:r>
              <w:t>Function.CoS</w:t>
            </w:r>
            <w:proofErr w:type="spellEnd"/>
            <w:r>
              <w:t xml:space="preserve"> the default for purchases related Bros</w:t>
            </w:r>
          </w:p>
          <w:p w:rsidR="00DC493C" w:rsidRDefault="002A6C11" w:rsidP="00083FD0">
            <w:pPr>
              <w:pStyle w:val="ListBSpace"/>
              <w:keepNext/>
              <w:widowControl/>
            </w:pPr>
            <w:r>
              <w:t>-</w:t>
            </w:r>
            <w:r w:rsidR="00DC493C">
              <w:t xml:space="preserve">423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proofErr w:type="spellStart"/>
            <w:r w:rsidR="00DC493C">
              <w:t>DiMeId</w:t>
            </w:r>
            <w:proofErr w:type="spellEnd"/>
            <w:r w:rsidR="00DC493C">
              <w:t xml:space="preserve"> 423,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Pr="00515F7C" w:rsidRDefault="002A6C11" w:rsidP="00515F7C">
            <w:pPr>
              <w:pStyle w:val="ListBSpace"/>
            </w:pPr>
            <w:r>
              <w:t>-</w:t>
            </w:r>
            <w:r w:rsidR="00DC493C">
              <w:t>129</w:t>
            </w:r>
            <w:r w:rsidR="00E21CFB">
              <w:t>3</w:t>
            </w:r>
            <w:r w:rsidR="00DC493C">
              <w:t xml:space="preserve"> to exclude &gt;1 year details from Ageing for a debtor Bro by excluding the mux list of </w:t>
            </w:r>
            <w:r w:rsidR="00DC493C" w:rsidRPr="00B64923">
              <w:t>129</w:t>
            </w:r>
            <w:r w:rsidR="00E21CFB">
              <w:t>5</w:t>
            </w:r>
            <w:proofErr w:type="gramStart"/>
            <w:r w:rsidR="00DC493C" w:rsidRPr="00B64923">
              <w:t>,129</w:t>
            </w:r>
            <w:r w:rsidR="00E21CFB">
              <w:t>6</w:t>
            </w:r>
            <w:r w:rsidR="00DC493C" w:rsidRPr="00B64923">
              <w:t>,129</w:t>
            </w:r>
            <w:r w:rsidR="00E21CFB">
              <w:t>7</w:t>
            </w:r>
            <w:proofErr w:type="gramEnd"/>
            <w:r w:rsidR="00E21CFB">
              <w:t xml:space="preserve"> from 1293</w:t>
            </w:r>
            <w:r w:rsidR="00515F7C">
              <w:t>.</w:t>
            </w:r>
          </w:p>
          <w:p w:rsidR="00DC493C" w:rsidRDefault="008A09DC" w:rsidP="002911F5">
            <w:r>
              <w:t xml:space="preserve">Only the exclude case for </w:t>
            </w:r>
            <w:r w:rsidR="002911F5">
              <w:t xml:space="preserve">a </w:t>
            </w:r>
            <w:r>
              <w:t xml:space="preserve">Taxonomy dimension member is valid for a BD Map. Such </w:t>
            </w:r>
            <w:proofErr w:type="spellStart"/>
            <w:r>
              <w:t>DiMeId</w:t>
            </w:r>
            <w:proofErr w:type="spellEnd"/>
            <w:r>
              <w:t xml:space="preserve"> values are inherited from the Main Bro for a BD Map with a blank </w:t>
            </w:r>
            <w:proofErr w:type="spellStart"/>
            <w:r>
              <w:t>DiMeId</w:t>
            </w:r>
            <w:proofErr w:type="spellEnd"/>
            <w:r w:rsidR="0062111C">
              <w:t xml:space="preserve"> field</w:t>
            </w:r>
            <w:r>
              <w:t xml:space="preserve">. Fixed, Default, and BD Exclude cases of </w:t>
            </w:r>
            <w:proofErr w:type="spellStart"/>
            <w:r>
              <w:t>DiMeId</w:t>
            </w:r>
            <w:proofErr w:type="spellEnd"/>
            <w:r>
              <w:t xml:space="preserve"> for a Main Bro are not inherited by a BD Map.</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lastRenderedPageBreak/>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C493C"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a Bro’s sums should be equal to, or equal and opposite to, the sums of a ‘Check’ </w:t>
            </w:r>
            <w:r w:rsidR="00025878">
              <w:t xml:space="preserve">Target </w:t>
            </w:r>
            <w:r>
              <w:t xml:space="preserve">Bro, which must have the same Data Type. The Check </w:t>
            </w:r>
            <w:r w:rsidR="00025878">
              <w:t xml:space="preserve">Target </w:t>
            </w:r>
            <w:r>
              <w:t>Bro can appear later in the SS.</w:t>
            </w:r>
          </w:p>
          <w:p w:rsidR="00DC493C" w:rsidRDefault="00DC493C" w:rsidP="00DE6B6B">
            <w:pPr>
              <w:pStyle w:val="NormSpace"/>
            </w:pPr>
            <w:r>
              <w:t>The check is applied to Base balances only, after all summing has been completed.</w:t>
            </w:r>
          </w:p>
          <w:p w:rsidR="00DC493C" w:rsidRDefault="00DC493C" w:rsidP="004E3256">
            <w:r>
              <w:t>Allowable values for the Check column are:</w:t>
            </w:r>
          </w:p>
          <w:p w:rsidR="00DC493C" w:rsidRDefault="00DC493C" w:rsidP="00FF1C40">
            <w:pPr>
              <w:pStyle w:val="ListBullet"/>
            </w:pPr>
            <w:r>
              <w:t>Equal To: Bro Name</w:t>
            </w:r>
          </w:p>
          <w:p w:rsidR="00DC493C" w:rsidRDefault="00DC493C" w:rsidP="00FF1C40">
            <w:pPr>
              <w:pStyle w:val="ListBullet"/>
            </w:pPr>
            <w:r>
              <w:t xml:space="preserve">Equal &amp; </w:t>
            </w:r>
            <w:proofErr w:type="spellStart"/>
            <w:r>
              <w:t>Opp</w:t>
            </w:r>
            <w:proofErr w:type="spellEnd"/>
            <w:r>
              <w:t xml:space="preserve"> To: Bro Name</w:t>
            </w:r>
          </w:p>
          <w:p w:rsidR="00DC493C" w:rsidRDefault="00DC493C" w:rsidP="007E0BBC">
            <w:pPr>
              <w:pStyle w:val="ListBSpace"/>
            </w:pPr>
            <w:r>
              <w:t>Nothing</w:t>
            </w:r>
          </w:p>
          <w:p w:rsidR="00025878" w:rsidRDefault="00025878" w:rsidP="00025878">
            <w:pPr>
              <w:pStyle w:val="NormSpace"/>
            </w:pPr>
            <w:r>
              <w:t>A Check of ‘Equal To: Master Bro Name’ is automatically added to a Summing Set Slave as explained in the Slave Bros section.</w:t>
            </w:r>
          </w:p>
          <w:p w:rsidR="007E0BBC" w:rsidRPr="000F6685" w:rsidRDefault="00025878" w:rsidP="007E0BBC">
            <w:r>
              <w:t xml:space="preserve">Bros </w:t>
            </w:r>
            <w:r w:rsidR="007E0BBC">
              <w:t xml:space="preserve">Export prefaces the Check field with the Check Bro’s </w:t>
            </w:r>
            <w:proofErr w:type="spellStart"/>
            <w:r w:rsidR="007E0BBC">
              <w:t>BroId</w:t>
            </w:r>
            <w:proofErr w:type="spellEnd"/>
            <w:r w:rsidR="007E0BBC">
              <w:t xml:space="preserve">, but this ignored during Import. When specifying a Check property it is not necessary to include the </w:t>
            </w:r>
            <w:proofErr w:type="spellStart"/>
            <w:r w:rsidR="007E0BBC">
              <w:t>BroId</w:t>
            </w:r>
            <w:proofErr w:type="spellEnd"/>
            <w:r w:rsidR="007E0BBC">
              <w:t xml:space="preserve"> prefix.</w:t>
            </w:r>
          </w:p>
        </w:tc>
      </w:tr>
      <w:tr w:rsidR="00DC493C" w:rsidTr="00D77089">
        <w:tc>
          <w:tcPr>
            <w:tcW w:w="1295" w:type="dxa"/>
            <w:shd w:val="clear" w:color="auto" w:fill="EDFFCD"/>
          </w:tcPr>
          <w:p w:rsidR="00DC493C" w:rsidRDefault="00DC493C" w:rsidP="00004F99">
            <w:proofErr w:type="spellStart"/>
            <w:r>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 xml:space="preserve">Taxonomy based </w:t>
            </w:r>
            <w:r w:rsidR="00D236E9">
              <w:t xml:space="preserve">Summing </w:t>
            </w:r>
            <w:r w:rsidRPr="00DC7B7C">
              <w:t>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w:t>
            </w:r>
            <w:r w:rsidRPr="00963DDB">
              <w:lastRenderedPageBreak/>
              <w:t xml:space="preserve">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proofErr w:type="spellStart"/>
            <w:r w:rsidRPr="00B63AD7">
              <w:rPr>
                <w:b/>
              </w:rPr>
              <w:t>Acc</w:t>
            </w:r>
            <w:proofErr w:type="spellEnd"/>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w:t>
            </w:r>
            <w:r w:rsidR="00D80EAB">
              <w:t>,</w:t>
            </w:r>
            <w:r>
              <w:t xml:space="preserve">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E53F1E">
            <w:pPr>
              <w:pStyle w:val="ListBT1"/>
              <w:spacing w:after="120"/>
            </w:pPr>
            <w:r>
              <w:t xml:space="preserve">Tag: Start or End according to the Bro Reference. (It is yet to be confirmed whether a start tag is legal re </w:t>
            </w:r>
            <w:proofErr w:type="spellStart"/>
            <w:r>
              <w:t>iXBRL</w:t>
            </w:r>
            <w:proofErr w:type="spellEnd"/>
            <w:r>
              <w:t xml:space="preserve"> verification for such elements.)</w:t>
            </w:r>
            <w:r w:rsidR="002F6F0F">
              <w:tab/>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with </w:t>
            </w:r>
            <w:proofErr w:type="spellStart"/>
            <w:r w:rsidRPr="007439B6">
              <w:t>StartEnd</w:t>
            </w:r>
            <w:proofErr w:type="spellEnd"/>
            <w:r w:rsidRPr="007439B6">
              <w:t xml:space="preserve"> values, </w:t>
            </w:r>
            <w:proofErr w:type="spellStart"/>
            <w:r w:rsidR="00D80EAB">
              <w:t>BroRefs</w:t>
            </w:r>
            <w:proofErr w:type="spellEnd"/>
            <w:r w:rsidR="00D80EAB">
              <w:t xml:space="preserve"> for the Start values include a Start pseudo </w:t>
            </w:r>
            <w:proofErr w:type="spellStart"/>
            <w:r w:rsidR="00D80EAB">
              <w:t>DiMeId</w:t>
            </w:r>
            <w:proofErr w:type="spellEnd"/>
            <w:r w:rsidR="00D80EAB">
              <w:t xml:space="preserve"> of 0 as the first </w:t>
            </w:r>
            <w:proofErr w:type="spellStart"/>
            <w:r w:rsidR="00D80EAB">
              <w:t>DiMeId</w:t>
            </w:r>
            <w:proofErr w:type="spellEnd"/>
            <w:r w:rsidR="00D80EAB">
              <w:t xml:space="preserve"> of the reference</w:t>
            </w:r>
            <w:r>
              <w:t>.</w:t>
            </w:r>
          </w:p>
          <w:p w:rsidR="00DC493C" w:rsidRDefault="00DC493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D80EAB">
            <w:pPr>
              <w:keepNext/>
              <w:keepLines/>
              <w:widowControl w:val="0"/>
              <w:rPr>
                <w:b/>
              </w:rPr>
            </w:pPr>
            <w:proofErr w:type="spellStart"/>
            <w:r w:rsidRPr="005B28D0">
              <w:rPr>
                <w:b/>
              </w:rPr>
              <w:t>SumEnd</w:t>
            </w:r>
            <w:proofErr w:type="spellEnd"/>
            <w:r w:rsidR="000064F4">
              <w:rPr>
                <w:b/>
              </w:rPr>
              <w:t>,</w:t>
            </w:r>
            <w:r w:rsidRPr="005B28D0">
              <w:rPr>
                <w:b/>
              </w:rPr>
              <w:t xml:space="preserve"> </w:t>
            </w:r>
            <w:proofErr w:type="spellStart"/>
            <w:r w:rsidRPr="005B28D0">
              <w:rPr>
                <w:b/>
              </w:rPr>
              <w:t>PostEnd</w:t>
            </w:r>
            <w:proofErr w:type="spellEnd"/>
            <w:r w:rsidR="000064F4">
              <w:rPr>
                <w:b/>
              </w:rPr>
              <w:t xml:space="preserve"> and Stock</w:t>
            </w:r>
            <w:r w:rsidRPr="005B28D0">
              <w:rPr>
                <w:b/>
              </w:rPr>
              <w:t xml:space="preserve"> SE Sum Lists</w:t>
            </w:r>
          </w:p>
          <w:p w:rsidR="00DC493C" w:rsidRDefault="00DC493C" w:rsidP="00D80EAB">
            <w:pPr>
              <w:keepLines/>
              <w:widowControl w:val="0"/>
            </w:pPr>
            <w:r>
              <w:t xml:space="preserve">For </w:t>
            </w:r>
            <w:proofErr w:type="spellStart"/>
            <w:r>
              <w:t>SumEnd</w:t>
            </w:r>
            <w:proofErr w:type="spellEnd"/>
            <w:r w:rsidR="000064F4">
              <w:t>,</w:t>
            </w:r>
            <w:r>
              <w:t xml:space="preserve"> </w:t>
            </w:r>
            <w:proofErr w:type="spellStart"/>
            <w:r>
              <w:t>PostEnd</w:t>
            </w:r>
            <w:proofErr w:type="spellEnd"/>
            <w:r>
              <w:t xml:space="preserve"> </w:t>
            </w:r>
            <w:r w:rsidR="000064F4">
              <w:t xml:space="preserve">and Stock </w:t>
            </w:r>
            <w:r>
              <w:t xml:space="preserve">Bros, the </w:t>
            </w:r>
            <w:proofErr w:type="spellStart"/>
            <w:r>
              <w:t>StartEnd</w:t>
            </w:r>
            <w:proofErr w:type="spellEnd"/>
            <w:r>
              <w:t xml:space="preserve"> column takes the following form:</w:t>
            </w:r>
          </w:p>
          <w:p w:rsidR="00DC493C" w:rsidRDefault="00DC493C" w:rsidP="00D80EAB">
            <w:pPr>
              <w:pStyle w:val="NormSpace"/>
              <w:keepLines/>
              <w:widowControl w:val="0"/>
            </w:pPr>
            <w:r w:rsidRPr="00F93E04">
              <w:lastRenderedPageBreak/>
              <w:t>&lt;</w:t>
            </w:r>
            <w:proofErr w:type="spellStart"/>
            <w:r w:rsidRPr="00F93E04">
              <w:t>SumEnd|PostEnd</w:t>
            </w:r>
            <w:r w:rsidR="000064F4">
              <w:t>|Stock</w:t>
            </w:r>
            <w:proofErr w:type="spellEnd"/>
            <w:r w:rsidRPr="00F93E04">
              <w:t xml:space="preserve">&gt; </w:t>
            </w:r>
            <w:proofErr w:type="spellStart"/>
            <w:r>
              <w:t>SeSumList</w:t>
            </w:r>
            <w:proofErr w:type="spellEnd"/>
            <w:r>
              <w:t xml:space="preserve">  ...</w:t>
            </w:r>
          </w:p>
          <w:p w:rsidR="000064F4"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rsidR="000064F4">
              <w:t>,</w:t>
            </w:r>
            <w:r>
              <w:t xml:space="preserve"> </w:t>
            </w:r>
            <w:proofErr w:type="spellStart"/>
            <w:r>
              <w:t>PostEnd</w:t>
            </w:r>
            <w:proofErr w:type="spellEnd"/>
            <w:r w:rsidR="000064F4">
              <w:t xml:space="preserve"> and Stock</w:t>
            </w:r>
            <w:r>
              <w:t>.</w:t>
            </w:r>
          </w:p>
          <w:p w:rsidR="000064F4" w:rsidRDefault="00DC493C" w:rsidP="00C1030D">
            <w:pPr>
              <w:pStyle w:val="NormSpace"/>
            </w:pPr>
            <w:r>
              <w:t xml:space="preserve">There must be at least one </w:t>
            </w:r>
            <w:proofErr w:type="spellStart"/>
            <w:r w:rsidRPr="00440405">
              <w:t>SeSumList</w:t>
            </w:r>
            <w:proofErr w:type="spellEnd"/>
            <w:r>
              <w:t>.</w:t>
            </w:r>
          </w:p>
          <w:p w:rsidR="000064F4" w:rsidRDefault="000064F4" w:rsidP="00C1030D">
            <w:pPr>
              <w:pStyle w:val="NormSpace"/>
            </w:pPr>
            <w:proofErr w:type="spellStart"/>
            <w:r>
              <w:t>SumEnd</w:t>
            </w:r>
            <w:proofErr w:type="spellEnd"/>
            <w:r>
              <w:t xml:space="preserve"> Bros can have only one </w:t>
            </w:r>
            <w:proofErr w:type="spellStart"/>
            <w:r>
              <w:t>SeSumList</w:t>
            </w:r>
            <w:proofErr w:type="spellEnd"/>
            <w:r>
              <w:t>.</w:t>
            </w:r>
          </w:p>
          <w:p w:rsidR="00DC493C" w:rsidRDefault="000064F4" w:rsidP="00C1030D">
            <w:pPr>
              <w:pStyle w:val="NormSpace"/>
            </w:pPr>
            <w:proofErr w:type="spellStart"/>
            <w:r>
              <w:t>PostEnd</w:t>
            </w:r>
            <w:proofErr w:type="spellEnd"/>
            <w:r>
              <w:t xml:space="preserve"> and Stock Bros </w:t>
            </w:r>
            <w:r w:rsidR="00DC493C">
              <w:t xml:space="preserve">can </w:t>
            </w:r>
            <w:r>
              <w:t>have</w:t>
            </w:r>
            <w:r w:rsidR="00DC493C">
              <w:t xml:space="preserve"> </w:t>
            </w:r>
            <w:r>
              <w:t xml:space="preserve">multiple lists, space separated e.g. for </w:t>
            </w:r>
            <w:proofErr w:type="spellStart"/>
            <w:r>
              <w:t>TxId</w:t>
            </w:r>
            <w:proofErr w:type="spellEnd"/>
            <w:r>
              <w:t xml:space="preserve"> 542</w:t>
            </w:r>
          </w:p>
          <w:p w:rsidR="00DC493C" w:rsidRDefault="00DC493C" w:rsidP="00C1030D">
            <w:pPr>
              <w:pStyle w:val="NormSpace"/>
            </w:pPr>
            <w:r>
              <w:t xml:space="preserve">The list(s)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t>TxId</w:t>
                  </w:r>
                  <w:proofErr w:type="spellEnd"/>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proofErr w:type="spellStart"/>
                  <w:r>
                    <w:t>Acc</w:t>
                  </w:r>
                  <w:proofErr w:type="spellEnd"/>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lastRenderedPageBreak/>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7B4CFD">
            <w:r>
              <w:t>I Man Dim</w:t>
            </w:r>
          </w:p>
        </w:tc>
        <w:tc>
          <w:tcPr>
            <w:tcW w:w="634" w:type="dxa"/>
          </w:tcPr>
          <w:p w:rsidR="00DC493C" w:rsidRDefault="00DC493C" w:rsidP="005A1F53">
            <w:pPr>
              <w:jc w:val="center"/>
            </w:pPr>
            <w:r>
              <w:t>I</w:t>
            </w:r>
          </w:p>
        </w:tc>
        <w:tc>
          <w:tcPr>
            <w:tcW w:w="8549" w:type="dxa"/>
          </w:tcPr>
          <w:p w:rsidR="00DC493C" w:rsidRDefault="00DC493C" w:rsidP="00837160">
            <w:pPr>
              <w:pStyle w:val="NormSpace"/>
            </w:pPr>
            <w:r>
              <w:t>Entries in this column are Info entries generated by the Export.</w:t>
            </w:r>
          </w:p>
          <w:p w:rsidR="00DC493C" w:rsidRDefault="00DC493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DC493C" w:rsidRDefault="00DC493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DC493C" w:rsidRDefault="00DC493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DC493C" w:rsidTr="00DE6B6B">
        <w:tc>
          <w:tcPr>
            <w:tcW w:w="1295" w:type="dxa"/>
          </w:tcPr>
          <w:p w:rsidR="00DC493C" w:rsidRDefault="00DC493C" w:rsidP="00347CA0">
            <w:r>
              <w:t>I Prop Dim</w:t>
            </w:r>
          </w:p>
        </w:tc>
        <w:tc>
          <w:tcPr>
            <w:tcW w:w="634" w:type="dxa"/>
          </w:tcPr>
          <w:p w:rsidR="00DC493C" w:rsidRDefault="00DC493C" w:rsidP="005A1F53">
            <w:pPr>
              <w:jc w:val="center"/>
            </w:pPr>
            <w:r>
              <w:t>I</w:t>
            </w:r>
          </w:p>
        </w:tc>
        <w:tc>
          <w:tcPr>
            <w:tcW w:w="8549" w:type="dxa"/>
          </w:tcPr>
          <w:p w:rsidR="00DC493C" w:rsidRDefault="00DC493C" w:rsidP="003A7F2A">
            <w:pPr>
              <w:pStyle w:val="NormSpace"/>
            </w:pPr>
            <w:r>
              <w:t>Entries in this column are Info entries generated by the Export.</w:t>
            </w:r>
          </w:p>
          <w:p w:rsidR="00DC493C" w:rsidRDefault="00DC493C" w:rsidP="00D11E60">
            <w:pPr>
              <w:pStyle w:val="NormSpace"/>
            </w:pPr>
            <w:r w:rsidRPr="00B1115D">
              <w:t>A</w:t>
            </w:r>
            <w:r>
              <w:t xml:space="preserve">n entry only occurs in this column </w:t>
            </w:r>
            <w:r w:rsidRPr="00B1115D">
              <w:t>if there is a 'Man Dim' column entry</w:t>
            </w:r>
            <w:r>
              <w:t>.</w:t>
            </w:r>
          </w:p>
          <w:p w:rsidR="00DC493C" w:rsidRDefault="00DC493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DC493C" w:rsidRDefault="00DC493C" w:rsidP="0058435B">
            <w:pPr>
              <w:pStyle w:val="NormSpace"/>
            </w:pPr>
            <w:r w:rsidRPr="00B1115D">
              <w:t xml:space="preserve">An </w:t>
            </w:r>
            <w:r>
              <w:t>‘</w:t>
            </w:r>
            <w:r w:rsidRPr="00B1115D">
              <w:t>o</w:t>
            </w:r>
            <w:r>
              <w:t>’</w:t>
            </w:r>
            <w:r w:rsidRPr="00B1115D">
              <w:t xml:space="preserve"> suffix means that use of a Property Dimension Member is optional.</w:t>
            </w:r>
          </w:p>
          <w:p w:rsidR="00DC493C" w:rsidRDefault="00DC493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w:t>
            </w:r>
            <w:r w:rsidRPr="00B1115D">
              <w:lastRenderedPageBreak/>
              <w:t>Dimension Member in the Dimensions Map.</w:t>
            </w:r>
          </w:p>
        </w:tc>
      </w:tr>
      <w:tr w:rsidR="00DC493C" w:rsidTr="00DE6B6B">
        <w:tc>
          <w:tcPr>
            <w:tcW w:w="1295" w:type="dxa"/>
          </w:tcPr>
          <w:p w:rsidR="00DC493C" w:rsidRDefault="00DC493C" w:rsidP="00A21956">
            <w:r>
              <w:lastRenderedPageBreak/>
              <w:t>I Tag</w:t>
            </w:r>
          </w:p>
        </w:tc>
        <w:tc>
          <w:tcPr>
            <w:tcW w:w="634" w:type="dxa"/>
          </w:tcPr>
          <w:p w:rsidR="00DC493C" w:rsidRDefault="00DC493C" w:rsidP="005A1F53">
            <w:pPr>
              <w:jc w:val="center"/>
            </w:pPr>
            <w:r>
              <w:t>I</w:t>
            </w:r>
          </w:p>
        </w:tc>
        <w:tc>
          <w:tcPr>
            <w:tcW w:w="8549" w:type="dxa"/>
          </w:tcPr>
          <w:p w:rsidR="00DC493C" w:rsidRDefault="00DC493C"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proofErr w:type="spellStart"/>
                  <w:r>
                    <w:t>Percent</w:t>
                  </w:r>
                  <w:proofErr w:type="spellEnd"/>
                </w:p>
              </w:tc>
              <w:tc>
                <w:tcPr>
                  <w:tcW w:w="1800" w:type="dxa"/>
                </w:tcPr>
                <w:p w:rsidR="00DC493C" w:rsidRDefault="00DC493C" w:rsidP="00066DCA">
                  <w:proofErr w:type="spellStart"/>
                  <w:r>
                    <w:t>Percent</w:t>
                  </w:r>
                  <w:proofErr w:type="spellEnd"/>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B22" w:rsidRDefault="00603B22" w:rsidP="004611F1">
      <w:r>
        <w:separator/>
      </w:r>
    </w:p>
  </w:endnote>
  <w:endnote w:type="continuationSeparator" w:id="0">
    <w:p w:rsidR="00603B22" w:rsidRDefault="00603B22"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B22" w:rsidRDefault="00603B22" w:rsidP="004611F1">
      <w:r>
        <w:separator/>
      </w:r>
    </w:p>
  </w:footnote>
  <w:footnote w:type="continuationSeparator" w:id="0">
    <w:p w:rsidR="00603B22" w:rsidRDefault="00603B22"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215" w:rsidRDefault="002E5215" w:rsidP="00CC4408">
    <w:pPr>
      <w:pStyle w:val="Header"/>
      <w:jc w:val="right"/>
    </w:pPr>
    <w:r>
      <w:fldChar w:fldCharType="begin"/>
    </w:r>
    <w:r>
      <w:instrText xml:space="preserve"> PAGE   \* MERGEFORMAT </w:instrText>
    </w:r>
    <w:r>
      <w:fldChar w:fldCharType="separate"/>
    </w:r>
    <w:r w:rsidR="00E1495A">
      <w:rPr>
        <w:noProof/>
      </w:rPr>
      <w:t>6</w:t>
    </w:r>
    <w:r>
      <w:rPr>
        <w:noProof/>
      </w:rPr>
      <w:fldChar w:fldCharType="end"/>
    </w:r>
    <w:r>
      <w:t xml:space="preserve"> of </w:t>
    </w:r>
    <w:r w:rsidR="00603B22">
      <w:fldChar w:fldCharType="begin"/>
    </w:r>
    <w:r w:rsidR="00603B22">
      <w:instrText xml:space="preserve"> NUMPAGES  \* Arabic  \* MERGEFORMAT </w:instrText>
    </w:r>
    <w:r w:rsidR="00603B22">
      <w:fldChar w:fldCharType="separate"/>
    </w:r>
    <w:r w:rsidR="00E1495A">
      <w:rPr>
        <w:noProof/>
      </w:rPr>
      <w:t>18</w:t>
    </w:r>
    <w:r w:rsidR="00603B22">
      <w:rPr>
        <w:noProof/>
      </w:rPr>
      <w:fldChar w:fldCharType="end"/>
    </w:r>
  </w:p>
  <w:p w:rsidR="002E5215" w:rsidRDefault="002E52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64F4"/>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2935"/>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11F5"/>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215"/>
    <w:rsid w:val="002E576B"/>
    <w:rsid w:val="002E6D6C"/>
    <w:rsid w:val="002E7A31"/>
    <w:rsid w:val="002E7F46"/>
    <w:rsid w:val="002F03A0"/>
    <w:rsid w:val="002F090D"/>
    <w:rsid w:val="002F2122"/>
    <w:rsid w:val="002F26CA"/>
    <w:rsid w:val="002F32AA"/>
    <w:rsid w:val="002F3A7B"/>
    <w:rsid w:val="002F5050"/>
    <w:rsid w:val="002F6F0F"/>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178DB"/>
    <w:rsid w:val="00720A86"/>
    <w:rsid w:val="00720D29"/>
    <w:rsid w:val="00720FA3"/>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80285"/>
    <w:rsid w:val="00780852"/>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4A0F"/>
    <w:rsid w:val="00DF5A62"/>
    <w:rsid w:val="00DF7D42"/>
    <w:rsid w:val="00E00511"/>
    <w:rsid w:val="00E01BE9"/>
    <w:rsid w:val="00E02A48"/>
    <w:rsid w:val="00E02BFD"/>
    <w:rsid w:val="00E053D0"/>
    <w:rsid w:val="00E05F4E"/>
    <w:rsid w:val="00E06AE7"/>
    <w:rsid w:val="00E06BFF"/>
    <w:rsid w:val="00E07647"/>
    <w:rsid w:val="00E116F2"/>
    <w:rsid w:val="00E12112"/>
    <w:rsid w:val="00E1266E"/>
    <w:rsid w:val="00E12A7C"/>
    <w:rsid w:val="00E141D8"/>
    <w:rsid w:val="00E1495A"/>
    <w:rsid w:val="00E16060"/>
    <w:rsid w:val="00E1659A"/>
    <w:rsid w:val="00E2150C"/>
    <w:rsid w:val="00E21CFB"/>
    <w:rsid w:val="00E235B1"/>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5853"/>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C074D"/>
    <w:rsid w:val="00FC1808"/>
    <w:rsid w:val="00FC42A4"/>
    <w:rsid w:val="00FC48DF"/>
    <w:rsid w:val="00FC5C23"/>
    <w:rsid w:val="00FD51E2"/>
    <w:rsid w:val="00FD6A53"/>
    <w:rsid w:val="00FD6E68"/>
    <w:rsid w:val="00FD7779"/>
    <w:rsid w:val="00FD782C"/>
    <w:rsid w:val="00FD78EA"/>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69DF6-7147-4185-A985-08F277C7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1789</TotalTime>
  <Pages>18</Pages>
  <Words>6933</Words>
  <Characters>39523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37</cp:revision>
  <cp:lastPrinted>2011-06-15T12:31:00Z</cp:lastPrinted>
  <dcterms:created xsi:type="dcterms:W3CDTF">2012-06-21T03:47:00Z</dcterms:created>
  <dcterms:modified xsi:type="dcterms:W3CDTF">2012-08-27T04:59:00Z</dcterms:modified>
</cp:coreProperties>
</file>