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658" w:rsidRDefault="00834658" w:rsidP="008F1489">
      <w:pPr>
        <w:pStyle w:val="Heading4"/>
        <w:jc w:val="center"/>
      </w:pPr>
      <w:proofErr w:type="spellStart"/>
      <w:r w:rsidRPr="00834658">
        <w:t>Braiins</w:t>
      </w:r>
      <w:proofErr w:type="spellEnd"/>
      <w:r w:rsidRPr="00834658">
        <w:t xml:space="preserve"> Report Object </w:t>
      </w:r>
      <w:r w:rsidR="001E06F0">
        <w:t xml:space="preserve">Export </w:t>
      </w:r>
      <w:r w:rsidRPr="00834658">
        <w:t>Imp</w:t>
      </w:r>
      <w:r w:rsidR="00050B92">
        <w:t>lementation</w:t>
      </w:r>
      <w:r w:rsidRPr="00834658">
        <w:t xml:space="preserve"> Notes</w:t>
      </w:r>
    </w:p>
    <w:p w:rsidR="003C7E92" w:rsidRDefault="00EA3E6C" w:rsidP="008F1489">
      <w:pPr>
        <w:jc w:val="right"/>
      </w:pPr>
      <w:r>
        <w:t>0</w:t>
      </w:r>
      <w:r w:rsidR="00DD5C54">
        <w:t>4</w:t>
      </w:r>
      <w:bookmarkStart w:id="0" w:name="_GoBack"/>
      <w:bookmarkEnd w:id="0"/>
      <w:r>
        <w:t xml:space="preserve"> May</w:t>
      </w:r>
      <w:r w:rsidR="00050B92">
        <w:t xml:space="preserve"> 2012</w:t>
      </w:r>
    </w:p>
    <w:sdt>
      <w:sdtPr>
        <w:rPr>
          <w:rFonts w:asciiTheme="minorHAnsi" w:eastAsiaTheme="minorEastAsia" w:hAnsiTheme="minorHAnsi" w:cstheme="minorBidi"/>
          <w:b w:val="0"/>
          <w:bCs w:val="0"/>
          <w:color w:val="auto"/>
          <w:sz w:val="22"/>
          <w:szCs w:val="22"/>
        </w:rPr>
        <w:id w:val="-1101178032"/>
        <w:docPartObj>
          <w:docPartGallery w:val="Table of Contents"/>
          <w:docPartUnique/>
        </w:docPartObj>
      </w:sdtPr>
      <w:sdtEndPr>
        <w:rPr>
          <w:noProof/>
        </w:rPr>
      </w:sdtEndPr>
      <w:sdtContent>
        <w:p w:rsidR="00EA3E6C" w:rsidRDefault="00EA3E6C">
          <w:pPr>
            <w:pStyle w:val="TOCHeading"/>
          </w:pPr>
          <w:r>
            <w:t>Table of Contents</w:t>
          </w:r>
        </w:p>
        <w:p w:rsidR="00DD5C54" w:rsidRDefault="00EA3E6C">
          <w:pPr>
            <w:pStyle w:val="TOC1"/>
            <w:tabs>
              <w:tab w:val="right" w:leader="dot" w:pos="10456"/>
            </w:tabs>
            <w:rPr>
              <w:noProof/>
            </w:rPr>
          </w:pPr>
          <w:r>
            <w:fldChar w:fldCharType="begin"/>
          </w:r>
          <w:r>
            <w:instrText xml:space="preserve"> TOC \o "1-3" \h \z \u </w:instrText>
          </w:r>
          <w:r>
            <w:fldChar w:fldCharType="separate"/>
          </w:r>
          <w:hyperlink w:anchor="_Toc323925309" w:history="1">
            <w:r w:rsidR="00DD5C54" w:rsidRPr="00043A79">
              <w:rPr>
                <w:rStyle w:val="Hyperlink"/>
                <w:noProof/>
              </w:rPr>
              <w:t>Purposes</w:t>
            </w:r>
            <w:r w:rsidR="00DD5C54">
              <w:rPr>
                <w:noProof/>
                <w:webHidden/>
              </w:rPr>
              <w:tab/>
            </w:r>
            <w:r w:rsidR="00DD5C54">
              <w:rPr>
                <w:noProof/>
                <w:webHidden/>
              </w:rPr>
              <w:fldChar w:fldCharType="begin"/>
            </w:r>
            <w:r w:rsidR="00DD5C54">
              <w:rPr>
                <w:noProof/>
                <w:webHidden/>
              </w:rPr>
              <w:instrText xml:space="preserve"> PAGEREF _Toc323925309 \h </w:instrText>
            </w:r>
            <w:r w:rsidR="00DD5C54">
              <w:rPr>
                <w:noProof/>
                <w:webHidden/>
              </w:rPr>
            </w:r>
            <w:r w:rsidR="00DD5C54">
              <w:rPr>
                <w:noProof/>
                <w:webHidden/>
              </w:rPr>
              <w:fldChar w:fldCharType="separate"/>
            </w:r>
            <w:r w:rsidR="00DD5C54">
              <w:rPr>
                <w:noProof/>
                <w:webHidden/>
              </w:rPr>
              <w:t>1</w:t>
            </w:r>
            <w:r w:rsidR="00DD5C54">
              <w:rPr>
                <w:noProof/>
                <w:webHidden/>
              </w:rPr>
              <w:fldChar w:fldCharType="end"/>
            </w:r>
          </w:hyperlink>
        </w:p>
        <w:p w:rsidR="00DD5C54" w:rsidRDefault="00DD5C54">
          <w:pPr>
            <w:pStyle w:val="TOC1"/>
            <w:tabs>
              <w:tab w:val="right" w:leader="dot" w:pos="10456"/>
            </w:tabs>
            <w:rPr>
              <w:noProof/>
            </w:rPr>
          </w:pPr>
          <w:hyperlink w:anchor="_Toc323925310" w:history="1">
            <w:r w:rsidRPr="00043A79">
              <w:rPr>
                <w:rStyle w:val="Hyperlink"/>
                <w:noProof/>
              </w:rPr>
              <w:t>To keep a record of practical issues of implementing BROs.</w:t>
            </w:r>
            <w:r>
              <w:rPr>
                <w:noProof/>
                <w:webHidden/>
              </w:rPr>
              <w:tab/>
            </w:r>
            <w:r>
              <w:rPr>
                <w:noProof/>
                <w:webHidden/>
              </w:rPr>
              <w:fldChar w:fldCharType="begin"/>
            </w:r>
            <w:r>
              <w:rPr>
                <w:noProof/>
                <w:webHidden/>
              </w:rPr>
              <w:instrText xml:space="preserve"> PAGEREF _Toc323925310 \h </w:instrText>
            </w:r>
            <w:r>
              <w:rPr>
                <w:noProof/>
                <w:webHidden/>
              </w:rPr>
            </w:r>
            <w:r>
              <w:rPr>
                <w:noProof/>
                <w:webHidden/>
              </w:rPr>
              <w:fldChar w:fldCharType="separate"/>
            </w:r>
            <w:r>
              <w:rPr>
                <w:noProof/>
                <w:webHidden/>
              </w:rPr>
              <w:t>1</w:t>
            </w:r>
            <w:r>
              <w:rPr>
                <w:noProof/>
                <w:webHidden/>
              </w:rPr>
              <w:fldChar w:fldCharType="end"/>
            </w:r>
          </w:hyperlink>
        </w:p>
        <w:p w:rsidR="00DD5C54" w:rsidRDefault="00DD5C54">
          <w:pPr>
            <w:pStyle w:val="TOC1"/>
            <w:tabs>
              <w:tab w:val="right" w:leader="dot" w:pos="10456"/>
            </w:tabs>
            <w:rPr>
              <w:noProof/>
            </w:rPr>
          </w:pPr>
          <w:hyperlink w:anchor="_Toc323925311" w:history="1">
            <w:r w:rsidRPr="00043A79">
              <w:rPr>
                <w:rStyle w:val="Hyperlink"/>
                <w:noProof/>
              </w:rPr>
              <w:t>BRO Naming</w:t>
            </w:r>
            <w:r>
              <w:rPr>
                <w:noProof/>
                <w:webHidden/>
              </w:rPr>
              <w:tab/>
            </w:r>
            <w:r>
              <w:rPr>
                <w:noProof/>
                <w:webHidden/>
              </w:rPr>
              <w:fldChar w:fldCharType="begin"/>
            </w:r>
            <w:r>
              <w:rPr>
                <w:noProof/>
                <w:webHidden/>
              </w:rPr>
              <w:instrText xml:space="preserve"> PAGEREF _Toc323925311 \h </w:instrText>
            </w:r>
            <w:r>
              <w:rPr>
                <w:noProof/>
                <w:webHidden/>
              </w:rPr>
            </w:r>
            <w:r>
              <w:rPr>
                <w:noProof/>
                <w:webHidden/>
              </w:rPr>
              <w:fldChar w:fldCharType="separate"/>
            </w:r>
            <w:r>
              <w:rPr>
                <w:noProof/>
                <w:webHidden/>
              </w:rPr>
              <w:t>1</w:t>
            </w:r>
            <w:r>
              <w:rPr>
                <w:noProof/>
                <w:webHidden/>
              </w:rPr>
              <w:fldChar w:fldCharType="end"/>
            </w:r>
          </w:hyperlink>
        </w:p>
        <w:p w:rsidR="00DD5C54" w:rsidRDefault="00DD5C54">
          <w:pPr>
            <w:pStyle w:val="TOC2"/>
            <w:tabs>
              <w:tab w:val="right" w:leader="dot" w:pos="10456"/>
            </w:tabs>
            <w:rPr>
              <w:noProof/>
            </w:rPr>
          </w:pPr>
          <w:hyperlink w:anchor="_Toc323925312" w:history="1">
            <w:r w:rsidRPr="00043A79">
              <w:rPr>
                <w:rStyle w:val="Hyperlink"/>
                <w:noProof/>
              </w:rPr>
              <w:t>Conventions</w:t>
            </w:r>
            <w:r>
              <w:rPr>
                <w:noProof/>
                <w:webHidden/>
              </w:rPr>
              <w:tab/>
            </w:r>
            <w:r>
              <w:rPr>
                <w:noProof/>
                <w:webHidden/>
              </w:rPr>
              <w:fldChar w:fldCharType="begin"/>
            </w:r>
            <w:r>
              <w:rPr>
                <w:noProof/>
                <w:webHidden/>
              </w:rPr>
              <w:instrText xml:space="preserve"> PAGEREF _Toc323925312 \h </w:instrText>
            </w:r>
            <w:r>
              <w:rPr>
                <w:noProof/>
                <w:webHidden/>
              </w:rPr>
            </w:r>
            <w:r>
              <w:rPr>
                <w:noProof/>
                <w:webHidden/>
              </w:rPr>
              <w:fldChar w:fldCharType="separate"/>
            </w:r>
            <w:r>
              <w:rPr>
                <w:noProof/>
                <w:webHidden/>
              </w:rPr>
              <w:t>1</w:t>
            </w:r>
            <w:r>
              <w:rPr>
                <w:noProof/>
                <w:webHidden/>
              </w:rPr>
              <w:fldChar w:fldCharType="end"/>
            </w:r>
          </w:hyperlink>
        </w:p>
        <w:p w:rsidR="00DD5C54" w:rsidRDefault="00DD5C54">
          <w:pPr>
            <w:pStyle w:val="TOC3"/>
            <w:tabs>
              <w:tab w:val="right" w:leader="dot" w:pos="10456"/>
            </w:tabs>
            <w:rPr>
              <w:noProof/>
            </w:rPr>
          </w:pPr>
          <w:hyperlink w:anchor="_Toc323925313" w:history="1">
            <w:r w:rsidRPr="00043A79">
              <w:rPr>
                <w:rStyle w:val="Hyperlink"/>
                <w:noProof/>
              </w:rPr>
              <w:t>Brevity</w:t>
            </w:r>
            <w:r>
              <w:rPr>
                <w:noProof/>
                <w:webHidden/>
              </w:rPr>
              <w:tab/>
            </w:r>
            <w:r>
              <w:rPr>
                <w:noProof/>
                <w:webHidden/>
              </w:rPr>
              <w:fldChar w:fldCharType="begin"/>
            </w:r>
            <w:r>
              <w:rPr>
                <w:noProof/>
                <w:webHidden/>
              </w:rPr>
              <w:instrText xml:space="preserve"> PAGEREF _Toc323925313 \h </w:instrText>
            </w:r>
            <w:r>
              <w:rPr>
                <w:noProof/>
                <w:webHidden/>
              </w:rPr>
            </w:r>
            <w:r>
              <w:rPr>
                <w:noProof/>
                <w:webHidden/>
              </w:rPr>
              <w:fldChar w:fldCharType="separate"/>
            </w:r>
            <w:r>
              <w:rPr>
                <w:noProof/>
                <w:webHidden/>
              </w:rPr>
              <w:t>1</w:t>
            </w:r>
            <w:r>
              <w:rPr>
                <w:noProof/>
                <w:webHidden/>
              </w:rPr>
              <w:fldChar w:fldCharType="end"/>
            </w:r>
          </w:hyperlink>
        </w:p>
        <w:p w:rsidR="00DD5C54" w:rsidRDefault="00DD5C54">
          <w:pPr>
            <w:pStyle w:val="TOC3"/>
            <w:tabs>
              <w:tab w:val="right" w:leader="dot" w:pos="10456"/>
            </w:tabs>
            <w:rPr>
              <w:noProof/>
            </w:rPr>
          </w:pPr>
          <w:hyperlink w:anchor="_Toc323925314" w:history="1">
            <w:r w:rsidRPr="00043A79">
              <w:rPr>
                <w:rStyle w:val="Hyperlink"/>
                <w:noProof/>
              </w:rPr>
              <w:t>Common parts should have common names</w:t>
            </w:r>
            <w:r>
              <w:rPr>
                <w:noProof/>
                <w:webHidden/>
              </w:rPr>
              <w:tab/>
            </w:r>
            <w:r>
              <w:rPr>
                <w:noProof/>
                <w:webHidden/>
              </w:rPr>
              <w:fldChar w:fldCharType="begin"/>
            </w:r>
            <w:r>
              <w:rPr>
                <w:noProof/>
                <w:webHidden/>
              </w:rPr>
              <w:instrText xml:space="preserve"> PAGEREF _Toc323925314 \h </w:instrText>
            </w:r>
            <w:r>
              <w:rPr>
                <w:noProof/>
                <w:webHidden/>
              </w:rPr>
            </w:r>
            <w:r>
              <w:rPr>
                <w:noProof/>
                <w:webHidden/>
              </w:rPr>
              <w:fldChar w:fldCharType="separate"/>
            </w:r>
            <w:r>
              <w:rPr>
                <w:noProof/>
                <w:webHidden/>
              </w:rPr>
              <w:t>2</w:t>
            </w:r>
            <w:r>
              <w:rPr>
                <w:noProof/>
                <w:webHidden/>
              </w:rPr>
              <w:fldChar w:fldCharType="end"/>
            </w:r>
          </w:hyperlink>
        </w:p>
        <w:p w:rsidR="00DD5C54" w:rsidRDefault="00DD5C54">
          <w:pPr>
            <w:pStyle w:val="TOC2"/>
            <w:tabs>
              <w:tab w:val="right" w:leader="dot" w:pos="10456"/>
            </w:tabs>
            <w:rPr>
              <w:noProof/>
            </w:rPr>
          </w:pPr>
          <w:hyperlink w:anchor="_Toc323925315" w:history="1">
            <w:r w:rsidRPr="00043A79">
              <w:rPr>
                <w:rStyle w:val="Hyperlink"/>
                <w:noProof/>
              </w:rPr>
              <w:t>Structure</w:t>
            </w:r>
            <w:r>
              <w:rPr>
                <w:noProof/>
                <w:webHidden/>
              </w:rPr>
              <w:tab/>
            </w:r>
            <w:r>
              <w:rPr>
                <w:noProof/>
                <w:webHidden/>
              </w:rPr>
              <w:fldChar w:fldCharType="begin"/>
            </w:r>
            <w:r>
              <w:rPr>
                <w:noProof/>
                <w:webHidden/>
              </w:rPr>
              <w:instrText xml:space="preserve"> PAGEREF _Toc323925315 \h </w:instrText>
            </w:r>
            <w:r>
              <w:rPr>
                <w:noProof/>
                <w:webHidden/>
              </w:rPr>
            </w:r>
            <w:r>
              <w:rPr>
                <w:noProof/>
                <w:webHidden/>
              </w:rPr>
              <w:fldChar w:fldCharType="separate"/>
            </w:r>
            <w:r>
              <w:rPr>
                <w:noProof/>
                <w:webHidden/>
              </w:rPr>
              <w:t>2</w:t>
            </w:r>
            <w:r>
              <w:rPr>
                <w:noProof/>
                <w:webHidden/>
              </w:rPr>
              <w:fldChar w:fldCharType="end"/>
            </w:r>
          </w:hyperlink>
        </w:p>
        <w:p w:rsidR="00DD5C54" w:rsidRDefault="00DD5C54">
          <w:pPr>
            <w:pStyle w:val="TOC3"/>
            <w:tabs>
              <w:tab w:val="right" w:leader="dot" w:pos="10456"/>
            </w:tabs>
            <w:rPr>
              <w:noProof/>
            </w:rPr>
          </w:pPr>
          <w:hyperlink w:anchor="_Toc323925316" w:history="1">
            <w:r w:rsidRPr="00043A79">
              <w:rPr>
                <w:rStyle w:val="Hyperlink"/>
                <w:noProof/>
              </w:rPr>
              <w:t>Balance Sheet</w:t>
            </w:r>
            <w:r>
              <w:rPr>
                <w:noProof/>
                <w:webHidden/>
              </w:rPr>
              <w:tab/>
            </w:r>
            <w:r>
              <w:rPr>
                <w:noProof/>
                <w:webHidden/>
              </w:rPr>
              <w:fldChar w:fldCharType="begin"/>
            </w:r>
            <w:r>
              <w:rPr>
                <w:noProof/>
                <w:webHidden/>
              </w:rPr>
              <w:instrText xml:space="preserve"> PAGEREF _Toc323925316 \h </w:instrText>
            </w:r>
            <w:r>
              <w:rPr>
                <w:noProof/>
                <w:webHidden/>
              </w:rPr>
            </w:r>
            <w:r>
              <w:rPr>
                <w:noProof/>
                <w:webHidden/>
              </w:rPr>
              <w:fldChar w:fldCharType="separate"/>
            </w:r>
            <w:r>
              <w:rPr>
                <w:noProof/>
                <w:webHidden/>
              </w:rPr>
              <w:t>2</w:t>
            </w:r>
            <w:r>
              <w:rPr>
                <w:noProof/>
                <w:webHidden/>
              </w:rPr>
              <w:fldChar w:fldCharType="end"/>
            </w:r>
          </w:hyperlink>
        </w:p>
        <w:p w:rsidR="00DD5C54" w:rsidRDefault="00DD5C54">
          <w:pPr>
            <w:pStyle w:val="TOC3"/>
            <w:tabs>
              <w:tab w:val="right" w:leader="dot" w:pos="10456"/>
            </w:tabs>
            <w:rPr>
              <w:noProof/>
            </w:rPr>
          </w:pPr>
          <w:hyperlink w:anchor="_Toc323925317" w:history="1">
            <w:r w:rsidRPr="00043A79">
              <w:rPr>
                <w:rStyle w:val="Hyperlink"/>
                <w:noProof/>
              </w:rPr>
              <w:t>Profit &amp; Loss Account</w:t>
            </w:r>
            <w:r>
              <w:rPr>
                <w:noProof/>
                <w:webHidden/>
              </w:rPr>
              <w:tab/>
            </w:r>
            <w:r>
              <w:rPr>
                <w:noProof/>
                <w:webHidden/>
              </w:rPr>
              <w:fldChar w:fldCharType="begin"/>
            </w:r>
            <w:r>
              <w:rPr>
                <w:noProof/>
                <w:webHidden/>
              </w:rPr>
              <w:instrText xml:space="preserve"> PAGEREF _Toc323925317 \h </w:instrText>
            </w:r>
            <w:r>
              <w:rPr>
                <w:noProof/>
                <w:webHidden/>
              </w:rPr>
            </w:r>
            <w:r>
              <w:rPr>
                <w:noProof/>
                <w:webHidden/>
              </w:rPr>
              <w:fldChar w:fldCharType="separate"/>
            </w:r>
            <w:r>
              <w:rPr>
                <w:noProof/>
                <w:webHidden/>
              </w:rPr>
              <w:t>2</w:t>
            </w:r>
            <w:r>
              <w:rPr>
                <w:noProof/>
                <w:webHidden/>
              </w:rPr>
              <w:fldChar w:fldCharType="end"/>
            </w:r>
          </w:hyperlink>
        </w:p>
        <w:p w:rsidR="00DD5C54" w:rsidRDefault="00DD5C54">
          <w:pPr>
            <w:pStyle w:val="TOC1"/>
            <w:tabs>
              <w:tab w:val="right" w:leader="dot" w:pos="10456"/>
            </w:tabs>
            <w:rPr>
              <w:noProof/>
            </w:rPr>
          </w:pPr>
          <w:hyperlink w:anchor="_Toc323925318" w:history="1">
            <w:r w:rsidRPr="00043A79">
              <w:rPr>
                <w:rStyle w:val="Hyperlink"/>
                <w:noProof/>
              </w:rPr>
              <w:t>Tricks of creating BROS</w:t>
            </w:r>
            <w:r>
              <w:rPr>
                <w:noProof/>
                <w:webHidden/>
              </w:rPr>
              <w:tab/>
            </w:r>
            <w:r>
              <w:rPr>
                <w:noProof/>
                <w:webHidden/>
              </w:rPr>
              <w:fldChar w:fldCharType="begin"/>
            </w:r>
            <w:r>
              <w:rPr>
                <w:noProof/>
                <w:webHidden/>
              </w:rPr>
              <w:instrText xml:space="preserve"> PAGEREF _Toc323925318 \h </w:instrText>
            </w:r>
            <w:r>
              <w:rPr>
                <w:noProof/>
                <w:webHidden/>
              </w:rPr>
            </w:r>
            <w:r>
              <w:rPr>
                <w:noProof/>
                <w:webHidden/>
              </w:rPr>
              <w:fldChar w:fldCharType="separate"/>
            </w:r>
            <w:r>
              <w:rPr>
                <w:noProof/>
                <w:webHidden/>
              </w:rPr>
              <w:t>3</w:t>
            </w:r>
            <w:r>
              <w:rPr>
                <w:noProof/>
                <w:webHidden/>
              </w:rPr>
              <w:fldChar w:fldCharType="end"/>
            </w:r>
          </w:hyperlink>
        </w:p>
        <w:p w:rsidR="00DD5C54" w:rsidRDefault="00DD5C54">
          <w:pPr>
            <w:pStyle w:val="TOC2"/>
            <w:tabs>
              <w:tab w:val="right" w:leader="dot" w:pos="10456"/>
            </w:tabs>
            <w:rPr>
              <w:noProof/>
            </w:rPr>
          </w:pPr>
          <w:hyperlink w:anchor="_Toc323925319" w:history="1">
            <w:r w:rsidRPr="00043A79">
              <w:rPr>
                <w:rStyle w:val="Hyperlink"/>
                <w:noProof/>
              </w:rPr>
              <w:t>Main steps</w:t>
            </w:r>
            <w:r>
              <w:rPr>
                <w:noProof/>
                <w:webHidden/>
              </w:rPr>
              <w:tab/>
            </w:r>
            <w:r>
              <w:rPr>
                <w:noProof/>
                <w:webHidden/>
              </w:rPr>
              <w:fldChar w:fldCharType="begin"/>
            </w:r>
            <w:r>
              <w:rPr>
                <w:noProof/>
                <w:webHidden/>
              </w:rPr>
              <w:instrText xml:space="preserve"> PAGEREF _Toc323925319 \h </w:instrText>
            </w:r>
            <w:r>
              <w:rPr>
                <w:noProof/>
                <w:webHidden/>
              </w:rPr>
            </w:r>
            <w:r>
              <w:rPr>
                <w:noProof/>
                <w:webHidden/>
              </w:rPr>
              <w:fldChar w:fldCharType="separate"/>
            </w:r>
            <w:r>
              <w:rPr>
                <w:noProof/>
                <w:webHidden/>
              </w:rPr>
              <w:t>3</w:t>
            </w:r>
            <w:r>
              <w:rPr>
                <w:noProof/>
                <w:webHidden/>
              </w:rPr>
              <w:fldChar w:fldCharType="end"/>
            </w:r>
          </w:hyperlink>
        </w:p>
        <w:p w:rsidR="00DD5C54" w:rsidRDefault="00DD5C54">
          <w:pPr>
            <w:pStyle w:val="TOC3"/>
            <w:tabs>
              <w:tab w:val="right" w:leader="dot" w:pos="10456"/>
            </w:tabs>
            <w:rPr>
              <w:noProof/>
            </w:rPr>
          </w:pPr>
          <w:hyperlink w:anchor="_Toc323925320" w:history="1">
            <w:r w:rsidRPr="00043A79">
              <w:rPr>
                <w:rStyle w:val="Hyperlink"/>
                <w:noProof/>
              </w:rPr>
              <w:t>Type (Set or Ele)</w:t>
            </w:r>
            <w:r>
              <w:rPr>
                <w:noProof/>
                <w:webHidden/>
              </w:rPr>
              <w:tab/>
            </w:r>
            <w:r>
              <w:rPr>
                <w:noProof/>
                <w:webHidden/>
              </w:rPr>
              <w:fldChar w:fldCharType="begin"/>
            </w:r>
            <w:r>
              <w:rPr>
                <w:noProof/>
                <w:webHidden/>
              </w:rPr>
              <w:instrText xml:space="preserve"> PAGEREF _Toc323925320 \h </w:instrText>
            </w:r>
            <w:r>
              <w:rPr>
                <w:noProof/>
                <w:webHidden/>
              </w:rPr>
            </w:r>
            <w:r>
              <w:rPr>
                <w:noProof/>
                <w:webHidden/>
              </w:rPr>
              <w:fldChar w:fldCharType="separate"/>
            </w:r>
            <w:r>
              <w:rPr>
                <w:noProof/>
                <w:webHidden/>
              </w:rPr>
              <w:t>5</w:t>
            </w:r>
            <w:r>
              <w:rPr>
                <w:noProof/>
                <w:webHidden/>
              </w:rPr>
              <w:fldChar w:fldCharType="end"/>
            </w:r>
          </w:hyperlink>
        </w:p>
        <w:p w:rsidR="00DD5C54" w:rsidRDefault="00DD5C54">
          <w:pPr>
            <w:pStyle w:val="TOC3"/>
            <w:tabs>
              <w:tab w:val="right" w:leader="dot" w:pos="10456"/>
            </w:tabs>
            <w:rPr>
              <w:noProof/>
            </w:rPr>
          </w:pPr>
          <w:hyperlink w:anchor="_Toc323925321" w:history="1">
            <w:r w:rsidRPr="00043A79">
              <w:rPr>
                <w:rStyle w:val="Hyperlink"/>
                <w:noProof/>
              </w:rPr>
              <w:t>BROS Dimensions</w:t>
            </w:r>
            <w:r>
              <w:rPr>
                <w:noProof/>
                <w:webHidden/>
              </w:rPr>
              <w:tab/>
            </w:r>
            <w:r>
              <w:rPr>
                <w:noProof/>
                <w:webHidden/>
              </w:rPr>
              <w:fldChar w:fldCharType="begin"/>
            </w:r>
            <w:r>
              <w:rPr>
                <w:noProof/>
                <w:webHidden/>
              </w:rPr>
              <w:instrText xml:space="preserve"> PAGEREF _Toc323925321 \h </w:instrText>
            </w:r>
            <w:r>
              <w:rPr>
                <w:noProof/>
                <w:webHidden/>
              </w:rPr>
            </w:r>
            <w:r>
              <w:rPr>
                <w:noProof/>
                <w:webHidden/>
              </w:rPr>
              <w:fldChar w:fldCharType="separate"/>
            </w:r>
            <w:r>
              <w:rPr>
                <w:noProof/>
                <w:webHidden/>
              </w:rPr>
              <w:t>5</w:t>
            </w:r>
            <w:r>
              <w:rPr>
                <w:noProof/>
                <w:webHidden/>
              </w:rPr>
              <w:fldChar w:fldCharType="end"/>
            </w:r>
          </w:hyperlink>
        </w:p>
        <w:p w:rsidR="00DD5C54" w:rsidRDefault="00DD5C54">
          <w:pPr>
            <w:pStyle w:val="TOC1"/>
            <w:tabs>
              <w:tab w:val="right" w:leader="dot" w:pos="10456"/>
            </w:tabs>
            <w:rPr>
              <w:noProof/>
            </w:rPr>
          </w:pPr>
          <w:hyperlink w:anchor="_Toc323925322" w:history="1">
            <w:r w:rsidRPr="00043A79">
              <w:rPr>
                <w:rStyle w:val="Hyperlink"/>
                <w:noProof/>
              </w:rPr>
              <w:t>Operational points</w:t>
            </w:r>
            <w:r>
              <w:rPr>
                <w:noProof/>
                <w:webHidden/>
              </w:rPr>
              <w:tab/>
            </w:r>
            <w:r>
              <w:rPr>
                <w:noProof/>
                <w:webHidden/>
              </w:rPr>
              <w:fldChar w:fldCharType="begin"/>
            </w:r>
            <w:r>
              <w:rPr>
                <w:noProof/>
                <w:webHidden/>
              </w:rPr>
              <w:instrText xml:space="preserve"> PAGEREF _Toc323925322 \h </w:instrText>
            </w:r>
            <w:r>
              <w:rPr>
                <w:noProof/>
                <w:webHidden/>
              </w:rPr>
            </w:r>
            <w:r>
              <w:rPr>
                <w:noProof/>
                <w:webHidden/>
              </w:rPr>
              <w:fldChar w:fldCharType="separate"/>
            </w:r>
            <w:r>
              <w:rPr>
                <w:noProof/>
                <w:webHidden/>
              </w:rPr>
              <w:t>6</w:t>
            </w:r>
            <w:r>
              <w:rPr>
                <w:noProof/>
                <w:webHidden/>
              </w:rPr>
              <w:fldChar w:fldCharType="end"/>
            </w:r>
          </w:hyperlink>
        </w:p>
        <w:p w:rsidR="00DD5C54" w:rsidRDefault="00DD5C54">
          <w:pPr>
            <w:pStyle w:val="TOC2"/>
            <w:tabs>
              <w:tab w:val="right" w:leader="dot" w:pos="10456"/>
            </w:tabs>
            <w:rPr>
              <w:noProof/>
            </w:rPr>
          </w:pPr>
          <w:hyperlink w:anchor="_Toc323925323" w:history="1">
            <w:r w:rsidRPr="00043A79">
              <w:rPr>
                <w:rStyle w:val="Hyperlink"/>
                <w:noProof/>
              </w:rPr>
              <w:t>Modes of data entry</w:t>
            </w:r>
            <w:r>
              <w:rPr>
                <w:noProof/>
                <w:webHidden/>
              </w:rPr>
              <w:tab/>
            </w:r>
            <w:r>
              <w:rPr>
                <w:noProof/>
                <w:webHidden/>
              </w:rPr>
              <w:fldChar w:fldCharType="begin"/>
            </w:r>
            <w:r>
              <w:rPr>
                <w:noProof/>
                <w:webHidden/>
              </w:rPr>
              <w:instrText xml:space="preserve"> PAGEREF _Toc323925323 \h </w:instrText>
            </w:r>
            <w:r>
              <w:rPr>
                <w:noProof/>
                <w:webHidden/>
              </w:rPr>
            </w:r>
            <w:r>
              <w:rPr>
                <w:noProof/>
                <w:webHidden/>
              </w:rPr>
              <w:fldChar w:fldCharType="separate"/>
            </w:r>
            <w:r>
              <w:rPr>
                <w:noProof/>
                <w:webHidden/>
              </w:rPr>
              <w:t>6</w:t>
            </w:r>
            <w:r>
              <w:rPr>
                <w:noProof/>
                <w:webHidden/>
              </w:rPr>
              <w:fldChar w:fldCharType="end"/>
            </w:r>
          </w:hyperlink>
        </w:p>
        <w:p w:rsidR="00DD5C54" w:rsidRDefault="00DD5C54">
          <w:pPr>
            <w:pStyle w:val="TOC3"/>
            <w:tabs>
              <w:tab w:val="right" w:leader="dot" w:pos="10456"/>
            </w:tabs>
            <w:rPr>
              <w:noProof/>
            </w:rPr>
          </w:pPr>
          <w:hyperlink w:anchor="_Toc323925324" w:history="1">
            <w:r w:rsidRPr="00043A79">
              <w:rPr>
                <w:rStyle w:val="Hyperlink"/>
                <w:noProof/>
              </w:rPr>
              <w:t>Automatic versus Manual</w:t>
            </w:r>
            <w:r>
              <w:rPr>
                <w:noProof/>
                <w:webHidden/>
              </w:rPr>
              <w:tab/>
            </w:r>
            <w:r>
              <w:rPr>
                <w:noProof/>
                <w:webHidden/>
              </w:rPr>
              <w:fldChar w:fldCharType="begin"/>
            </w:r>
            <w:r>
              <w:rPr>
                <w:noProof/>
                <w:webHidden/>
              </w:rPr>
              <w:instrText xml:space="preserve"> PAGEREF _Toc323925324 \h </w:instrText>
            </w:r>
            <w:r>
              <w:rPr>
                <w:noProof/>
                <w:webHidden/>
              </w:rPr>
            </w:r>
            <w:r>
              <w:rPr>
                <w:noProof/>
                <w:webHidden/>
              </w:rPr>
              <w:fldChar w:fldCharType="separate"/>
            </w:r>
            <w:r>
              <w:rPr>
                <w:noProof/>
                <w:webHidden/>
              </w:rPr>
              <w:t>6</w:t>
            </w:r>
            <w:r>
              <w:rPr>
                <w:noProof/>
                <w:webHidden/>
              </w:rPr>
              <w:fldChar w:fldCharType="end"/>
            </w:r>
          </w:hyperlink>
        </w:p>
        <w:p w:rsidR="00DD5C54" w:rsidRDefault="00DD5C54">
          <w:pPr>
            <w:pStyle w:val="TOC3"/>
            <w:tabs>
              <w:tab w:val="right" w:leader="dot" w:pos="10456"/>
            </w:tabs>
            <w:rPr>
              <w:noProof/>
            </w:rPr>
          </w:pPr>
          <w:hyperlink w:anchor="_Toc323925325" w:history="1">
            <w:r w:rsidRPr="00043A79">
              <w:rPr>
                <w:rStyle w:val="Hyperlink"/>
                <w:noProof/>
              </w:rPr>
              <w:t>Data Readiness -Adjusted Closing Trial Balance versus Opening or Extended Trial Balance</w:t>
            </w:r>
            <w:r>
              <w:rPr>
                <w:noProof/>
                <w:webHidden/>
              </w:rPr>
              <w:tab/>
            </w:r>
            <w:r>
              <w:rPr>
                <w:noProof/>
                <w:webHidden/>
              </w:rPr>
              <w:fldChar w:fldCharType="begin"/>
            </w:r>
            <w:r>
              <w:rPr>
                <w:noProof/>
                <w:webHidden/>
              </w:rPr>
              <w:instrText xml:space="preserve"> PAGEREF _Toc323925325 \h </w:instrText>
            </w:r>
            <w:r>
              <w:rPr>
                <w:noProof/>
                <w:webHidden/>
              </w:rPr>
            </w:r>
            <w:r>
              <w:rPr>
                <w:noProof/>
                <w:webHidden/>
              </w:rPr>
              <w:fldChar w:fldCharType="separate"/>
            </w:r>
            <w:r>
              <w:rPr>
                <w:noProof/>
                <w:webHidden/>
              </w:rPr>
              <w:t>7</w:t>
            </w:r>
            <w:r>
              <w:rPr>
                <w:noProof/>
                <w:webHidden/>
              </w:rPr>
              <w:fldChar w:fldCharType="end"/>
            </w:r>
          </w:hyperlink>
        </w:p>
        <w:p w:rsidR="00DD5C54" w:rsidRDefault="00DD5C54">
          <w:pPr>
            <w:pStyle w:val="TOC2"/>
            <w:tabs>
              <w:tab w:val="right" w:leader="dot" w:pos="10456"/>
            </w:tabs>
            <w:rPr>
              <w:noProof/>
            </w:rPr>
          </w:pPr>
          <w:hyperlink w:anchor="_Toc323925326" w:history="1">
            <w:r w:rsidRPr="00043A79">
              <w:rPr>
                <w:rStyle w:val="Hyperlink"/>
                <w:noProof/>
              </w:rPr>
              <w:t>BROS Function – Sorting</w:t>
            </w:r>
            <w:r>
              <w:rPr>
                <w:noProof/>
                <w:webHidden/>
              </w:rPr>
              <w:tab/>
            </w:r>
            <w:r>
              <w:rPr>
                <w:noProof/>
                <w:webHidden/>
              </w:rPr>
              <w:fldChar w:fldCharType="begin"/>
            </w:r>
            <w:r>
              <w:rPr>
                <w:noProof/>
                <w:webHidden/>
              </w:rPr>
              <w:instrText xml:space="preserve"> PAGEREF _Toc323925326 \h </w:instrText>
            </w:r>
            <w:r>
              <w:rPr>
                <w:noProof/>
                <w:webHidden/>
              </w:rPr>
            </w:r>
            <w:r>
              <w:rPr>
                <w:noProof/>
                <w:webHidden/>
              </w:rPr>
              <w:fldChar w:fldCharType="separate"/>
            </w:r>
            <w:r>
              <w:rPr>
                <w:noProof/>
                <w:webHidden/>
              </w:rPr>
              <w:t>7</w:t>
            </w:r>
            <w:r>
              <w:rPr>
                <w:noProof/>
                <w:webHidden/>
              </w:rPr>
              <w:fldChar w:fldCharType="end"/>
            </w:r>
          </w:hyperlink>
        </w:p>
        <w:p w:rsidR="00DD5C54" w:rsidRDefault="00DD5C54">
          <w:pPr>
            <w:pStyle w:val="TOC1"/>
            <w:tabs>
              <w:tab w:val="right" w:leader="dot" w:pos="10456"/>
            </w:tabs>
            <w:rPr>
              <w:noProof/>
            </w:rPr>
          </w:pPr>
          <w:hyperlink w:anchor="_Toc323925327" w:history="1">
            <w:r w:rsidRPr="00043A79">
              <w:rPr>
                <w:rStyle w:val="Hyperlink"/>
                <w:noProof/>
              </w:rPr>
              <w:t>Operating and Non-Operating</w:t>
            </w:r>
            <w:r>
              <w:rPr>
                <w:noProof/>
                <w:webHidden/>
              </w:rPr>
              <w:tab/>
            </w:r>
            <w:r>
              <w:rPr>
                <w:noProof/>
                <w:webHidden/>
              </w:rPr>
              <w:fldChar w:fldCharType="begin"/>
            </w:r>
            <w:r>
              <w:rPr>
                <w:noProof/>
                <w:webHidden/>
              </w:rPr>
              <w:instrText xml:space="preserve"> PAGEREF _Toc323925327 \h </w:instrText>
            </w:r>
            <w:r>
              <w:rPr>
                <w:noProof/>
                <w:webHidden/>
              </w:rPr>
            </w:r>
            <w:r>
              <w:rPr>
                <w:noProof/>
                <w:webHidden/>
              </w:rPr>
              <w:fldChar w:fldCharType="separate"/>
            </w:r>
            <w:r>
              <w:rPr>
                <w:noProof/>
                <w:webHidden/>
              </w:rPr>
              <w:t>8</w:t>
            </w:r>
            <w:r>
              <w:rPr>
                <w:noProof/>
                <w:webHidden/>
              </w:rPr>
              <w:fldChar w:fldCharType="end"/>
            </w:r>
          </w:hyperlink>
        </w:p>
        <w:p w:rsidR="00DD5C54" w:rsidRDefault="00DD5C54">
          <w:pPr>
            <w:pStyle w:val="TOC1"/>
            <w:tabs>
              <w:tab w:val="right" w:leader="dot" w:pos="10456"/>
            </w:tabs>
            <w:rPr>
              <w:noProof/>
            </w:rPr>
          </w:pPr>
          <w:hyperlink w:anchor="_Toc323925328" w:history="1">
            <w:r w:rsidRPr="00043A79">
              <w:rPr>
                <w:rStyle w:val="Hyperlink"/>
                <w:noProof/>
              </w:rPr>
              <w:t>Issues arising</w:t>
            </w:r>
            <w:r>
              <w:rPr>
                <w:noProof/>
                <w:webHidden/>
              </w:rPr>
              <w:tab/>
            </w:r>
            <w:r>
              <w:rPr>
                <w:noProof/>
                <w:webHidden/>
              </w:rPr>
              <w:fldChar w:fldCharType="begin"/>
            </w:r>
            <w:r>
              <w:rPr>
                <w:noProof/>
                <w:webHidden/>
              </w:rPr>
              <w:instrText xml:space="preserve"> PAGEREF _Toc323925328 \h </w:instrText>
            </w:r>
            <w:r>
              <w:rPr>
                <w:noProof/>
                <w:webHidden/>
              </w:rPr>
            </w:r>
            <w:r>
              <w:rPr>
                <w:noProof/>
                <w:webHidden/>
              </w:rPr>
              <w:fldChar w:fldCharType="separate"/>
            </w:r>
            <w:r>
              <w:rPr>
                <w:noProof/>
                <w:webHidden/>
              </w:rPr>
              <w:t>10</w:t>
            </w:r>
            <w:r>
              <w:rPr>
                <w:noProof/>
                <w:webHidden/>
              </w:rPr>
              <w:fldChar w:fldCharType="end"/>
            </w:r>
          </w:hyperlink>
        </w:p>
        <w:p w:rsidR="00EA3E6C" w:rsidRDefault="00EA3E6C">
          <w:r>
            <w:rPr>
              <w:b/>
              <w:bCs/>
              <w:noProof/>
            </w:rPr>
            <w:fldChar w:fldCharType="end"/>
          </w:r>
        </w:p>
      </w:sdtContent>
    </w:sdt>
    <w:p w:rsidR="00EA3E6C" w:rsidRDefault="00EA3E6C" w:rsidP="00EA3E6C"/>
    <w:p w:rsidR="00567B61" w:rsidRDefault="00567B61" w:rsidP="00165A45">
      <w:pPr>
        <w:pStyle w:val="Heading1"/>
      </w:pPr>
      <w:bookmarkStart w:id="1" w:name="_Toc323925309"/>
      <w:r>
        <w:t>Purpose</w:t>
      </w:r>
      <w:r w:rsidR="003C3BF5">
        <w:t>s</w:t>
      </w:r>
      <w:bookmarkEnd w:id="1"/>
    </w:p>
    <w:p w:rsidR="003C3BF5" w:rsidRDefault="003C3BF5" w:rsidP="003C3BF5">
      <w:pPr>
        <w:pStyle w:val="ListParagraph"/>
        <w:numPr>
          <w:ilvl w:val="0"/>
          <w:numId w:val="28"/>
        </w:numPr>
      </w:pPr>
      <w:r w:rsidRPr="003C3BF5">
        <w:t xml:space="preserve">To keep a record of practical issues of implementing </w:t>
      </w:r>
      <w:proofErr w:type="spellStart"/>
      <w:r w:rsidRPr="003C3BF5">
        <w:t>BROs.</w:t>
      </w:r>
      <w:proofErr w:type="spellEnd"/>
    </w:p>
    <w:p w:rsidR="003C3BF5" w:rsidRDefault="003C3BF5" w:rsidP="003C3BF5">
      <w:pPr>
        <w:pStyle w:val="ListParagraph"/>
        <w:numPr>
          <w:ilvl w:val="0"/>
          <w:numId w:val="28"/>
        </w:numPr>
      </w:pPr>
      <w:r>
        <w:t>Operational points</w:t>
      </w:r>
    </w:p>
    <w:p w:rsidR="003C3BF5" w:rsidRDefault="003C3BF5" w:rsidP="003C3BF5">
      <w:pPr>
        <w:pStyle w:val="ListParagraph"/>
        <w:numPr>
          <w:ilvl w:val="1"/>
          <w:numId w:val="28"/>
        </w:numPr>
      </w:pPr>
      <w:r>
        <w:t>To describe and considers m</w:t>
      </w:r>
      <w:r w:rsidRPr="003C3BF5">
        <w:t>odes of data entry</w:t>
      </w:r>
    </w:p>
    <w:p w:rsidR="003C3BF5" w:rsidRPr="003C3BF5" w:rsidRDefault="003C3BF5" w:rsidP="003C3BF5"/>
    <w:p w:rsidR="00050B92" w:rsidRDefault="00050B92" w:rsidP="003C3BF5">
      <w:pPr>
        <w:pStyle w:val="Heading1"/>
      </w:pPr>
      <w:bookmarkStart w:id="2" w:name="_Toc323925310"/>
      <w:proofErr w:type="gramStart"/>
      <w:r>
        <w:t xml:space="preserve">To keep a record of practical issues of implementing </w:t>
      </w:r>
      <w:proofErr w:type="spellStart"/>
      <w:r>
        <w:t>BROs.</w:t>
      </w:r>
      <w:bookmarkEnd w:id="2"/>
      <w:proofErr w:type="spellEnd"/>
      <w:proofErr w:type="gramEnd"/>
    </w:p>
    <w:p w:rsidR="00050B92" w:rsidRDefault="00050B92" w:rsidP="00165A45">
      <w:r>
        <w:t>Small detailed points will be stored in the Comments section of the BROs table.</w:t>
      </w:r>
    </w:p>
    <w:p w:rsidR="00050B92" w:rsidRDefault="00050B92" w:rsidP="00567B61">
      <w:pPr>
        <w:pStyle w:val="NormSpace"/>
      </w:pPr>
      <w:r>
        <w:t>Where major issues arise, this will be the reference document to store such information</w:t>
      </w:r>
    </w:p>
    <w:p w:rsidR="003C3BF5" w:rsidRDefault="003C3BF5" w:rsidP="003C3BF5">
      <w:pPr>
        <w:pStyle w:val="NormSpace"/>
      </w:pPr>
      <w:r>
        <w:t>It is to be read in conjunction with the Bros.docx document.</w:t>
      </w:r>
    </w:p>
    <w:p w:rsidR="009D7B9E" w:rsidRDefault="00712E52" w:rsidP="002662B9">
      <w:pPr>
        <w:pStyle w:val="Heading1"/>
      </w:pPr>
      <w:bookmarkStart w:id="3" w:name="_Toc323925311"/>
      <w:r>
        <w:t>BRO Naming</w:t>
      </w:r>
      <w:bookmarkEnd w:id="3"/>
    </w:p>
    <w:p w:rsidR="00712E52" w:rsidRDefault="00712E52" w:rsidP="009D7B9E">
      <w:pPr>
        <w:pStyle w:val="Heading2"/>
      </w:pPr>
      <w:bookmarkStart w:id="4" w:name="_Toc323925312"/>
      <w:r>
        <w:t>Conventions</w:t>
      </w:r>
      <w:bookmarkEnd w:id="4"/>
    </w:p>
    <w:p w:rsidR="009D7B9E" w:rsidRDefault="009D7B9E" w:rsidP="003F675C"/>
    <w:p w:rsidR="009D7B9E" w:rsidRDefault="009D7B9E" w:rsidP="009D7B9E">
      <w:pPr>
        <w:pStyle w:val="Heading3"/>
      </w:pPr>
      <w:bookmarkStart w:id="5" w:name="_Toc323925313"/>
      <w:r>
        <w:t>Brevity</w:t>
      </w:r>
      <w:bookmarkEnd w:id="5"/>
    </w:p>
    <w:p w:rsidR="009D7B9E" w:rsidRDefault="009D7B9E" w:rsidP="003F675C">
      <w:r>
        <w:t>If possible, a named should be reduced to the smallest number of characters that still allows unique identification.</w:t>
      </w:r>
    </w:p>
    <w:p w:rsidR="009D7B9E" w:rsidRDefault="009D7B9E" w:rsidP="003F675C">
      <w:r>
        <w:t xml:space="preserve">So </w:t>
      </w:r>
      <w:r w:rsidRPr="009D7B9E">
        <w:rPr>
          <w:b/>
          <w:i/>
        </w:rPr>
        <w:t>Investments</w:t>
      </w:r>
      <w:r>
        <w:t xml:space="preserve"> can be shortened to </w:t>
      </w:r>
      <w:r w:rsidRPr="009D7B9E">
        <w:rPr>
          <w:b/>
          <w:i/>
        </w:rPr>
        <w:t>Invest</w:t>
      </w:r>
      <w:r>
        <w:t xml:space="preserve">, but not </w:t>
      </w:r>
      <w:proofErr w:type="spellStart"/>
      <w:r w:rsidRPr="009D7B9E">
        <w:rPr>
          <w:b/>
          <w:i/>
        </w:rPr>
        <w:t>Inv</w:t>
      </w:r>
      <w:proofErr w:type="spellEnd"/>
      <w:r>
        <w:t xml:space="preserve">, since this might get confused with </w:t>
      </w:r>
      <w:r w:rsidRPr="009D7B9E">
        <w:rPr>
          <w:b/>
          <w:i/>
        </w:rPr>
        <w:t>Inventory</w:t>
      </w:r>
      <w:r>
        <w:t>.</w:t>
      </w:r>
    </w:p>
    <w:p w:rsidR="009D7B9E" w:rsidRDefault="009D7B9E" w:rsidP="009D7B9E">
      <w:pPr>
        <w:pStyle w:val="Heading3"/>
      </w:pPr>
      <w:bookmarkStart w:id="6" w:name="_Toc323925314"/>
      <w:r>
        <w:lastRenderedPageBreak/>
        <w:t>C</w:t>
      </w:r>
      <w:r w:rsidRPr="009D7B9E">
        <w:rPr>
          <w:rStyle w:val="Heading3Char"/>
        </w:rPr>
        <w:t>o</w:t>
      </w:r>
      <w:r>
        <w:t>mmon parts should have common names</w:t>
      </w:r>
      <w:bookmarkEnd w:id="6"/>
    </w:p>
    <w:p w:rsidR="009D7B9E" w:rsidRDefault="009D7B9E" w:rsidP="003F675C">
      <w:r>
        <w:t xml:space="preserve">Example, one can have Fixed Asset Investments and Current Asset Investments. It is tempting to abbreviate the former to </w:t>
      </w:r>
      <w:r w:rsidRPr="009D7B9E">
        <w:rPr>
          <w:b/>
          <w:i/>
        </w:rPr>
        <w:t>FAI</w:t>
      </w:r>
      <w:r>
        <w:t xml:space="preserve"> and the latter to </w:t>
      </w:r>
      <w:r w:rsidRPr="009D7B9E">
        <w:rPr>
          <w:b/>
          <w:i/>
        </w:rPr>
        <w:t>CAI</w:t>
      </w:r>
      <w:r>
        <w:t xml:space="preserve">. But it may be better to call both </w:t>
      </w:r>
      <w:r w:rsidRPr="009D7B9E">
        <w:rPr>
          <w:b/>
          <w:i/>
        </w:rPr>
        <w:t>Investments</w:t>
      </w:r>
      <w:r>
        <w:t xml:space="preserve">, or </w:t>
      </w:r>
      <w:proofErr w:type="gramStart"/>
      <w:r w:rsidRPr="009D7B9E">
        <w:rPr>
          <w:b/>
          <w:i/>
        </w:rPr>
        <w:t>Invest</w:t>
      </w:r>
      <w:proofErr w:type="gramEnd"/>
      <w:r>
        <w:t xml:space="preserve"> to make it shorter. The rationale for this approach as is any type of investment can be recognised and searched on.</w:t>
      </w:r>
    </w:p>
    <w:p w:rsidR="009D7B9E" w:rsidRDefault="009D7B9E" w:rsidP="003F675C"/>
    <w:p w:rsidR="009D7B9E" w:rsidRDefault="009D7B9E" w:rsidP="003F675C">
      <w:r>
        <w:t>This should also make it easier to have computer searches and masking done.</w:t>
      </w:r>
    </w:p>
    <w:p w:rsidR="009D7B9E" w:rsidRDefault="009D7B9E" w:rsidP="009D7B9E">
      <w:pPr>
        <w:pStyle w:val="Heading2"/>
      </w:pPr>
      <w:bookmarkStart w:id="7" w:name="_Toc323925315"/>
      <w:r>
        <w:t>Structure</w:t>
      </w:r>
      <w:bookmarkEnd w:id="7"/>
      <w:r>
        <w:t xml:space="preserve"> </w:t>
      </w:r>
    </w:p>
    <w:p w:rsidR="009D7B9E" w:rsidRDefault="009D7B9E" w:rsidP="009D7B9E">
      <w:r>
        <w:t>Note that I have avoided taking the top level (0) to be the name of any report type, but the nature of the information at the highest level. So for a Balance Sheet, as can be seen below, there are three names at level 0. These are Assets, Liabilities and Equity. This is quite adequate for determining any total or subtotal amounts.</w:t>
      </w:r>
    </w:p>
    <w:p w:rsidR="00712E52" w:rsidRDefault="00712E52" w:rsidP="009D7B9E">
      <w:pPr>
        <w:pStyle w:val="Heading3"/>
      </w:pPr>
      <w:bookmarkStart w:id="8" w:name="_Toc323925316"/>
      <w:r>
        <w:t>Balance Sheet</w:t>
      </w:r>
      <w:bookmarkEnd w:id="8"/>
    </w:p>
    <w:tbl>
      <w:tblPr>
        <w:tblStyle w:val="TableGrid"/>
        <w:tblW w:w="0" w:type="auto"/>
        <w:tblLook w:val="04A0" w:firstRow="1" w:lastRow="0" w:firstColumn="1" w:lastColumn="0" w:noHBand="0" w:noVBand="1"/>
      </w:tblPr>
      <w:tblGrid>
        <w:gridCol w:w="959"/>
        <w:gridCol w:w="3969"/>
        <w:gridCol w:w="5386"/>
      </w:tblGrid>
      <w:tr w:rsidR="002662B9" w:rsidRPr="00712E52" w:rsidTr="002662B9">
        <w:tc>
          <w:tcPr>
            <w:tcW w:w="959" w:type="dxa"/>
          </w:tcPr>
          <w:p w:rsidR="002662B9" w:rsidRPr="00712E52" w:rsidRDefault="002662B9" w:rsidP="00BC6118">
            <w:pPr>
              <w:pStyle w:val="NoSpacing"/>
              <w:rPr>
                <w:b/>
              </w:rPr>
            </w:pPr>
            <w:r w:rsidRPr="00712E52">
              <w:rPr>
                <w:b/>
              </w:rPr>
              <w:t>Level</w:t>
            </w:r>
          </w:p>
        </w:tc>
        <w:tc>
          <w:tcPr>
            <w:tcW w:w="3969" w:type="dxa"/>
          </w:tcPr>
          <w:p w:rsidR="002662B9" w:rsidRPr="00712E52" w:rsidRDefault="002662B9" w:rsidP="00BC6118">
            <w:pPr>
              <w:pStyle w:val="NoSpacing"/>
              <w:rPr>
                <w:b/>
              </w:rPr>
            </w:pPr>
            <w:r w:rsidRPr="00712E52">
              <w:rPr>
                <w:b/>
              </w:rPr>
              <w:t>Name</w:t>
            </w:r>
          </w:p>
        </w:tc>
        <w:tc>
          <w:tcPr>
            <w:tcW w:w="5386" w:type="dxa"/>
          </w:tcPr>
          <w:p w:rsidR="002662B9" w:rsidRPr="00712E52" w:rsidRDefault="002662B9" w:rsidP="00BC6118">
            <w:pPr>
              <w:pStyle w:val="NoSpacing"/>
              <w:rPr>
                <w:b/>
              </w:rPr>
            </w:pPr>
            <w:r>
              <w:rPr>
                <w:b/>
              </w:rPr>
              <w:t>Notes</w:t>
            </w:r>
          </w:p>
        </w:tc>
      </w:tr>
      <w:tr w:rsidR="002662B9" w:rsidRPr="00712E52" w:rsidTr="002662B9">
        <w:tc>
          <w:tcPr>
            <w:tcW w:w="959" w:type="dxa"/>
          </w:tcPr>
          <w:p w:rsidR="002662B9" w:rsidRPr="00712E52" w:rsidRDefault="002662B9" w:rsidP="00BC6118">
            <w:pPr>
              <w:pStyle w:val="NoSpacing"/>
            </w:pPr>
            <w:r w:rsidRPr="00712E52">
              <w:t>0</w:t>
            </w:r>
          </w:p>
        </w:tc>
        <w:tc>
          <w:tcPr>
            <w:tcW w:w="3969" w:type="dxa"/>
          </w:tcPr>
          <w:p w:rsidR="002662B9" w:rsidRPr="00712E52" w:rsidRDefault="002662B9" w:rsidP="00BC6118">
            <w:pPr>
              <w:pStyle w:val="NoSpacing"/>
            </w:pPr>
            <w:r w:rsidRPr="00712E52">
              <w:t>Assets</w:t>
            </w:r>
          </w:p>
        </w:tc>
        <w:tc>
          <w:tcPr>
            <w:tcW w:w="5386" w:type="dxa"/>
          </w:tcPr>
          <w:p w:rsidR="002662B9" w:rsidRPr="00712E52" w:rsidRDefault="002662B9" w:rsidP="00BC6118">
            <w:pPr>
              <w:pStyle w:val="NoSpacing"/>
            </w:pPr>
          </w:p>
        </w:tc>
      </w:tr>
      <w:tr w:rsidR="002662B9" w:rsidRPr="00712E52" w:rsidTr="002662B9">
        <w:tc>
          <w:tcPr>
            <w:tcW w:w="959" w:type="dxa"/>
          </w:tcPr>
          <w:p w:rsidR="002662B9" w:rsidRPr="00712E52" w:rsidRDefault="002662B9" w:rsidP="00BC6118">
            <w:pPr>
              <w:pStyle w:val="NoSpacing"/>
            </w:pPr>
            <w:r w:rsidRPr="00712E52">
              <w:t>1</w:t>
            </w:r>
          </w:p>
        </w:tc>
        <w:tc>
          <w:tcPr>
            <w:tcW w:w="3969" w:type="dxa"/>
          </w:tcPr>
          <w:p w:rsidR="002662B9" w:rsidRPr="00712E52" w:rsidRDefault="002662B9" w:rsidP="00BC6118">
            <w:pPr>
              <w:pStyle w:val="NoSpacing"/>
            </w:pPr>
            <w:r>
              <w:tab/>
            </w:r>
            <w:r w:rsidRPr="00712E52">
              <w:t>Fixed</w:t>
            </w:r>
          </w:p>
        </w:tc>
        <w:tc>
          <w:tcPr>
            <w:tcW w:w="5386" w:type="dxa"/>
          </w:tcPr>
          <w:p w:rsidR="002662B9" w:rsidRPr="00712E52" w:rsidRDefault="002662B9" w:rsidP="00BC6118">
            <w:pPr>
              <w:pStyle w:val="NoSpacing"/>
            </w:pPr>
          </w:p>
        </w:tc>
      </w:tr>
      <w:tr w:rsidR="002662B9" w:rsidRPr="00712E52" w:rsidTr="002662B9">
        <w:tc>
          <w:tcPr>
            <w:tcW w:w="959" w:type="dxa"/>
          </w:tcPr>
          <w:p w:rsidR="002662B9" w:rsidRPr="00712E52" w:rsidRDefault="002662B9" w:rsidP="00BC6118">
            <w:pPr>
              <w:pStyle w:val="NoSpacing"/>
            </w:pPr>
            <w:r w:rsidRPr="00712E52">
              <w:t>2</w:t>
            </w:r>
          </w:p>
        </w:tc>
        <w:tc>
          <w:tcPr>
            <w:tcW w:w="3969" w:type="dxa"/>
          </w:tcPr>
          <w:p w:rsidR="002662B9" w:rsidRPr="00712E52" w:rsidRDefault="002662B9" w:rsidP="00BC6118">
            <w:pPr>
              <w:pStyle w:val="NoSpacing"/>
            </w:pPr>
            <w:r>
              <w:tab/>
            </w:r>
            <w:r>
              <w:tab/>
              <w:t>IFA</w:t>
            </w:r>
          </w:p>
        </w:tc>
        <w:tc>
          <w:tcPr>
            <w:tcW w:w="5386" w:type="dxa"/>
          </w:tcPr>
          <w:p w:rsidR="002662B9" w:rsidRPr="00712E52" w:rsidRDefault="002662B9" w:rsidP="00BC6118">
            <w:pPr>
              <w:pStyle w:val="NoSpacing"/>
            </w:pPr>
          </w:p>
        </w:tc>
      </w:tr>
      <w:tr w:rsidR="002662B9" w:rsidRPr="00712E52" w:rsidTr="002662B9">
        <w:tc>
          <w:tcPr>
            <w:tcW w:w="959" w:type="dxa"/>
          </w:tcPr>
          <w:p w:rsidR="002662B9" w:rsidRPr="00712E52" w:rsidRDefault="002662B9" w:rsidP="00BC6118">
            <w:pPr>
              <w:pStyle w:val="NoSpacing"/>
            </w:pPr>
            <w:r>
              <w:t>2</w:t>
            </w:r>
          </w:p>
        </w:tc>
        <w:tc>
          <w:tcPr>
            <w:tcW w:w="3969" w:type="dxa"/>
          </w:tcPr>
          <w:p w:rsidR="002662B9" w:rsidRDefault="002662B9" w:rsidP="00BC6118">
            <w:pPr>
              <w:pStyle w:val="NoSpacing"/>
            </w:pPr>
            <w:r>
              <w:tab/>
            </w:r>
            <w:r>
              <w:tab/>
              <w:t>TFA</w:t>
            </w:r>
          </w:p>
        </w:tc>
        <w:tc>
          <w:tcPr>
            <w:tcW w:w="5386" w:type="dxa"/>
          </w:tcPr>
          <w:p w:rsidR="002662B9" w:rsidRPr="00712E52" w:rsidRDefault="002662B9" w:rsidP="00BC6118">
            <w:pPr>
              <w:pStyle w:val="NoSpacing"/>
            </w:pPr>
          </w:p>
        </w:tc>
      </w:tr>
      <w:tr w:rsidR="002662B9" w:rsidRPr="00712E52" w:rsidTr="002662B9">
        <w:tc>
          <w:tcPr>
            <w:tcW w:w="959" w:type="dxa"/>
          </w:tcPr>
          <w:p w:rsidR="002662B9" w:rsidRPr="00712E52" w:rsidRDefault="002662B9" w:rsidP="00BC6118">
            <w:pPr>
              <w:pStyle w:val="NoSpacing"/>
            </w:pPr>
            <w:r>
              <w:t>2</w:t>
            </w:r>
          </w:p>
        </w:tc>
        <w:tc>
          <w:tcPr>
            <w:tcW w:w="3969" w:type="dxa"/>
          </w:tcPr>
          <w:p w:rsidR="002662B9" w:rsidRDefault="002662B9" w:rsidP="00BC6118">
            <w:pPr>
              <w:pStyle w:val="NoSpacing"/>
            </w:pPr>
            <w:r>
              <w:tab/>
            </w:r>
            <w:r>
              <w:tab/>
              <w:t>FAI</w:t>
            </w:r>
          </w:p>
        </w:tc>
        <w:tc>
          <w:tcPr>
            <w:tcW w:w="5386" w:type="dxa"/>
          </w:tcPr>
          <w:p w:rsidR="002662B9" w:rsidRPr="00712E52" w:rsidRDefault="002662B9" w:rsidP="00BC6118">
            <w:pPr>
              <w:pStyle w:val="NoSpacing"/>
            </w:pPr>
          </w:p>
        </w:tc>
      </w:tr>
      <w:tr w:rsidR="002662B9" w:rsidRPr="00712E52" w:rsidTr="002662B9">
        <w:tc>
          <w:tcPr>
            <w:tcW w:w="959" w:type="dxa"/>
          </w:tcPr>
          <w:p w:rsidR="002662B9" w:rsidRPr="00712E52" w:rsidRDefault="002662B9" w:rsidP="00BC6118">
            <w:pPr>
              <w:pStyle w:val="NoSpacing"/>
            </w:pPr>
          </w:p>
        </w:tc>
        <w:tc>
          <w:tcPr>
            <w:tcW w:w="3969" w:type="dxa"/>
          </w:tcPr>
          <w:p w:rsidR="002662B9" w:rsidRDefault="002662B9" w:rsidP="00BC6118">
            <w:pPr>
              <w:pStyle w:val="NoSpacing"/>
            </w:pPr>
          </w:p>
        </w:tc>
        <w:tc>
          <w:tcPr>
            <w:tcW w:w="5386" w:type="dxa"/>
          </w:tcPr>
          <w:p w:rsidR="002662B9" w:rsidRPr="00712E52" w:rsidRDefault="002662B9" w:rsidP="00BC6118">
            <w:pPr>
              <w:pStyle w:val="NoSpacing"/>
            </w:pPr>
          </w:p>
        </w:tc>
      </w:tr>
      <w:tr w:rsidR="002662B9" w:rsidRPr="00712E52" w:rsidTr="002662B9">
        <w:tc>
          <w:tcPr>
            <w:tcW w:w="959" w:type="dxa"/>
          </w:tcPr>
          <w:p w:rsidR="002662B9" w:rsidRPr="00712E52" w:rsidRDefault="002662B9" w:rsidP="00BC6118">
            <w:pPr>
              <w:pStyle w:val="NoSpacing"/>
            </w:pPr>
            <w:r w:rsidRPr="00712E52">
              <w:t>1</w:t>
            </w:r>
          </w:p>
        </w:tc>
        <w:tc>
          <w:tcPr>
            <w:tcW w:w="3969" w:type="dxa"/>
          </w:tcPr>
          <w:p w:rsidR="002662B9" w:rsidRPr="00712E52" w:rsidRDefault="002662B9" w:rsidP="00BC6118">
            <w:pPr>
              <w:pStyle w:val="NoSpacing"/>
            </w:pPr>
            <w:r>
              <w:tab/>
            </w:r>
            <w:r w:rsidRPr="00712E52">
              <w:t>Current</w:t>
            </w:r>
          </w:p>
        </w:tc>
        <w:tc>
          <w:tcPr>
            <w:tcW w:w="5386" w:type="dxa"/>
          </w:tcPr>
          <w:p w:rsidR="002662B9" w:rsidRPr="00712E52" w:rsidRDefault="002662B9" w:rsidP="00BC6118">
            <w:pPr>
              <w:pStyle w:val="NoSpacing"/>
            </w:pPr>
          </w:p>
        </w:tc>
      </w:tr>
      <w:tr w:rsidR="002662B9" w:rsidRPr="00712E52" w:rsidTr="002662B9">
        <w:tc>
          <w:tcPr>
            <w:tcW w:w="959" w:type="dxa"/>
          </w:tcPr>
          <w:p w:rsidR="002662B9" w:rsidRPr="00712E52" w:rsidRDefault="002662B9" w:rsidP="00BC6118">
            <w:pPr>
              <w:pStyle w:val="NoSpacing"/>
            </w:pPr>
            <w:r w:rsidRPr="00712E52">
              <w:t>0</w:t>
            </w:r>
          </w:p>
        </w:tc>
        <w:tc>
          <w:tcPr>
            <w:tcW w:w="3969" w:type="dxa"/>
          </w:tcPr>
          <w:p w:rsidR="002662B9" w:rsidRPr="00712E52" w:rsidRDefault="002662B9" w:rsidP="00BC6118">
            <w:pPr>
              <w:pStyle w:val="NoSpacing"/>
            </w:pPr>
            <w:r w:rsidRPr="00712E52">
              <w:t>Liabilities</w:t>
            </w:r>
          </w:p>
        </w:tc>
        <w:tc>
          <w:tcPr>
            <w:tcW w:w="5386" w:type="dxa"/>
          </w:tcPr>
          <w:p w:rsidR="002662B9" w:rsidRPr="00712E52" w:rsidRDefault="002662B9" w:rsidP="00BC6118">
            <w:pPr>
              <w:pStyle w:val="NoSpacing"/>
            </w:pPr>
          </w:p>
        </w:tc>
      </w:tr>
      <w:tr w:rsidR="002662B9" w:rsidRPr="00712E52" w:rsidTr="002662B9">
        <w:tc>
          <w:tcPr>
            <w:tcW w:w="959" w:type="dxa"/>
          </w:tcPr>
          <w:p w:rsidR="002662B9" w:rsidRPr="00712E52" w:rsidRDefault="002662B9" w:rsidP="00BC6118">
            <w:pPr>
              <w:pStyle w:val="NoSpacing"/>
            </w:pPr>
            <w:r w:rsidRPr="00712E52">
              <w:t>0</w:t>
            </w:r>
          </w:p>
        </w:tc>
        <w:tc>
          <w:tcPr>
            <w:tcW w:w="3969" w:type="dxa"/>
          </w:tcPr>
          <w:p w:rsidR="002662B9" w:rsidRPr="00712E52" w:rsidRDefault="002662B9" w:rsidP="00BC6118">
            <w:pPr>
              <w:pStyle w:val="NoSpacing"/>
            </w:pPr>
            <w:r w:rsidRPr="00712E52">
              <w:t>Equity</w:t>
            </w:r>
          </w:p>
        </w:tc>
        <w:tc>
          <w:tcPr>
            <w:tcW w:w="5386" w:type="dxa"/>
          </w:tcPr>
          <w:p w:rsidR="002662B9" w:rsidRPr="00712E52" w:rsidRDefault="002662B9" w:rsidP="00BC6118">
            <w:pPr>
              <w:pStyle w:val="NoSpacing"/>
            </w:pPr>
          </w:p>
        </w:tc>
      </w:tr>
      <w:tr w:rsidR="002662B9" w:rsidRPr="00712E52" w:rsidTr="002662B9">
        <w:tc>
          <w:tcPr>
            <w:tcW w:w="959" w:type="dxa"/>
          </w:tcPr>
          <w:p w:rsidR="002662B9" w:rsidRPr="00712E52" w:rsidRDefault="002662B9" w:rsidP="00BC6118">
            <w:pPr>
              <w:pStyle w:val="NoSpacing"/>
            </w:pPr>
            <w:r w:rsidRPr="00712E52">
              <w:t>1</w:t>
            </w:r>
          </w:p>
        </w:tc>
        <w:tc>
          <w:tcPr>
            <w:tcW w:w="3969" w:type="dxa"/>
          </w:tcPr>
          <w:p w:rsidR="002662B9" w:rsidRPr="00712E52" w:rsidRDefault="002662B9" w:rsidP="00BC6118">
            <w:pPr>
              <w:pStyle w:val="NoSpacing"/>
            </w:pPr>
            <w:r>
              <w:tab/>
            </w:r>
            <w:r w:rsidRPr="00712E52">
              <w:t>Shares</w:t>
            </w:r>
          </w:p>
        </w:tc>
        <w:tc>
          <w:tcPr>
            <w:tcW w:w="5386" w:type="dxa"/>
          </w:tcPr>
          <w:p w:rsidR="002662B9" w:rsidRPr="00712E52" w:rsidRDefault="002662B9" w:rsidP="00BC6118">
            <w:pPr>
              <w:pStyle w:val="NoSpacing"/>
            </w:pPr>
          </w:p>
        </w:tc>
      </w:tr>
      <w:tr w:rsidR="002662B9" w:rsidRPr="00712E52" w:rsidTr="002662B9">
        <w:tc>
          <w:tcPr>
            <w:tcW w:w="959" w:type="dxa"/>
          </w:tcPr>
          <w:p w:rsidR="002662B9" w:rsidRPr="00712E52" w:rsidRDefault="002662B9" w:rsidP="00BC6118">
            <w:pPr>
              <w:pStyle w:val="NoSpacing"/>
            </w:pPr>
            <w:r w:rsidRPr="00712E52">
              <w:t>1</w:t>
            </w:r>
          </w:p>
        </w:tc>
        <w:tc>
          <w:tcPr>
            <w:tcW w:w="3969" w:type="dxa"/>
          </w:tcPr>
          <w:p w:rsidR="002662B9" w:rsidRPr="00712E52" w:rsidRDefault="002662B9" w:rsidP="00BC6118">
            <w:pPr>
              <w:pStyle w:val="NoSpacing"/>
            </w:pPr>
            <w:r>
              <w:tab/>
            </w:r>
            <w:r w:rsidRPr="00712E52">
              <w:t>Reserves</w:t>
            </w:r>
          </w:p>
        </w:tc>
        <w:tc>
          <w:tcPr>
            <w:tcW w:w="5386" w:type="dxa"/>
          </w:tcPr>
          <w:p w:rsidR="002662B9" w:rsidRPr="00712E52" w:rsidRDefault="002662B9" w:rsidP="00BC6118">
            <w:pPr>
              <w:pStyle w:val="NoSpacing"/>
            </w:pPr>
          </w:p>
        </w:tc>
      </w:tr>
      <w:tr w:rsidR="002662B9" w:rsidRPr="00712E52" w:rsidTr="002662B9">
        <w:tc>
          <w:tcPr>
            <w:tcW w:w="959" w:type="dxa"/>
          </w:tcPr>
          <w:p w:rsidR="002662B9" w:rsidRPr="00712E52" w:rsidRDefault="002662B9" w:rsidP="00BC6118">
            <w:pPr>
              <w:pStyle w:val="NoSpacing"/>
            </w:pPr>
            <w:r w:rsidRPr="00712E52">
              <w:t>2</w:t>
            </w:r>
          </w:p>
        </w:tc>
        <w:tc>
          <w:tcPr>
            <w:tcW w:w="3969" w:type="dxa"/>
          </w:tcPr>
          <w:p w:rsidR="002662B9" w:rsidRPr="00712E52" w:rsidRDefault="002662B9" w:rsidP="00BC6118">
            <w:pPr>
              <w:pStyle w:val="NoSpacing"/>
            </w:pPr>
            <w:r>
              <w:tab/>
            </w:r>
            <w:r>
              <w:tab/>
            </w:r>
            <w:r w:rsidRPr="00712E52">
              <w:t>P&amp;L</w:t>
            </w:r>
          </w:p>
        </w:tc>
        <w:tc>
          <w:tcPr>
            <w:tcW w:w="5386" w:type="dxa"/>
          </w:tcPr>
          <w:p w:rsidR="002662B9" w:rsidRPr="00712E52" w:rsidRDefault="002662B9" w:rsidP="00BC6118">
            <w:pPr>
              <w:pStyle w:val="NoSpacing"/>
            </w:pPr>
          </w:p>
        </w:tc>
      </w:tr>
    </w:tbl>
    <w:p w:rsidR="00712E52" w:rsidRDefault="00712E52" w:rsidP="00712E52">
      <w:pPr>
        <w:pStyle w:val="NoSpacing"/>
      </w:pPr>
    </w:p>
    <w:p w:rsidR="003F675C" w:rsidRDefault="003F675C" w:rsidP="009D7B9E">
      <w:pPr>
        <w:pStyle w:val="Heading3"/>
      </w:pPr>
      <w:bookmarkStart w:id="9" w:name="_Toc323925317"/>
      <w:r>
        <w:t>Profit &amp; Loss Account</w:t>
      </w:r>
      <w:bookmarkEnd w:id="9"/>
    </w:p>
    <w:tbl>
      <w:tblPr>
        <w:tblStyle w:val="TableGrid"/>
        <w:tblW w:w="0" w:type="auto"/>
        <w:tblLook w:val="04A0" w:firstRow="1" w:lastRow="0" w:firstColumn="1" w:lastColumn="0" w:noHBand="0" w:noVBand="1"/>
      </w:tblPr>
      <w:tblGrid>
        <w:gridCol w:w="959"/>
        <w:gridCol w:w="3969"/>
        <w:gridCol w:w="5386"/>
      </w:tblGrid>
      <w:tr w:rsidR="003F675C" w:rsidRPr="00712E52" w:rsidTr="00BC6118">
        <w:tc>
          <w:tcPr>
            <w:tcW w:w="959" w:type="dxa"/>
          </w:tcPr>
          <w:p w:rsidR="003F675C" w:rsidRPr="00712E52" w:rsidRDefault="003F675C" w:rsidP="00BC6118">
            <w:pPr>
              <w:pStyle w:val="NoSpacing"/>
              <w:rPr>
                <w:b/>
              </w:rPr>
            </w:pPr>
            <w:r w:rsidRPr="00712E52">
              <w:rPr>
                <w:b/>
              </w:rPr>
              <w:t>Level</w:t>
            </w:r>
          </w:p>
        </w:tc>
        <w:tc>
          <w:tcPr>
            <w:tcW w:w="3969" w:type="dxa"/>
          </w:tcPr>
          <w:p w:rsidR="003F675C" w:rsidRPr="00712E52" w:rsidRDefault="003F675C" w:rsidP="00BC6118">
            <w:pPr>
              <w:pStyle w:val="NoSpacing"/>
              <w:rPr>
                <w:b/>
              </w:rPr>
            </w:pPr>
            <w:r w:rsidRPr="00712E52">
              <w:rPr>
                <w:b/>
              </w:rPr>
              <w:t>Name</w:t>
            </w:r>
          </w:p>
        </w:tc>
        <w:tc>
          <w:tcPr>
            <w:tcW w:w="5386" w:type="dxa"/>
          </w:tcPr>
          <w:p w:rsidR="003F675C" w:rsidRPr="00712E52" w:rsidRDefault="003F675C" w:rsidP="00BC6118">
            <w:pPr>
              <w:pStyle w:val="NoSpacing"/>
              <w:rPr>
                <w:b/>
              </w:rPr>
            </w:pPr>
            <w:r>
              <w:rPr>
                <w:b/>
              </w:rPr>
              <w:t>Notes</w:t>
            </w:r>
          </w:p>
        </w:tc>
      </w:tr>
      <w:tr w:rsidR="003F675C" w:rsidRPr="00712E52" w:rsidTr="00BC6118">
        <w:tc>
          <w:tcPr>
            <w:tcW w:w="959" w:type="dxa"/>
          </w:tcPr>
          <w:p w:rsidR="003F675C" w:rsidRPr="00712E52" w:rsidRDefault="003F675C" w:rsidP="00BC6118">
            <w:pPr>
              <w:pStyle w:val="NoSpacing"/>
            </w:pPr>
            <w:r w:rsidRPr="00712E52">
              <w:t>0</w:t>
            </w:r>
          </w:p>
        </w:tc>
        <w:tc>
          <w:tcPr>
            <w:tcW w:w="3969" w:type="dxa"/>
          </w:tcPr>
          <w:p w:rsidR="003F675C" w:rsidRPr="00712E52" w:rsidRDefault="003F675C" w:rsidP="003F675C">
            <w:pPr>
              <w:pStyle w:val="NoSpacing"/>
            </w:pPr>
            <w:proofErr w:type="spellStart"/>
            <w:r>
              <w:t>RevOp</w:t>
            </w:r>
            <w:proofErr w:type="spellEnd"/>
          </w:p>
        </w:tc>
        <w:tc>
          <w:tcPr>
            <w:tcW w:w="5386" w:type="dxa"/>
          </w:tcPr>
          <w:p w:rsidR="003F675C" w:rsidRPr="00712E52" w:rsidRDefault="003F675C" w:rsidP="00BC6118">
            <w:pPr>
              <w:pStyle w:val="NoSpacing"/>
            </w:pPr>
          </w:p>
        </w:tc>
      </w:tr>
      <w:tr w:rsidR="003F675C" w:rsidRPr="00712E52" w:rsidTr="00BC6118">
        <w:tc>
          <w:tcPr>
            <w:tcW w:w="959" w:type="dxa"/>
          </w:tcPr>
          <w:p w:rsidR="003F675C" w:rsidRPr="00712E52" w:rsidRDefault="003F675C" w:rsidP="00BC6118">
            <w:pPr>
              <w:pStyle w:val="NoSpacing"/>
            </w:pPr>
            <w:r w:rsidRPr="00712E52">
              <w:t>1</w:t>
            </w:r>
          </w:p>
        </w:tc>
        <w:tc>
          <w:tcPr>
            <w:tcW w:w="3969" w:type="dxa"/>
          </w:tcPr>
          <w:p w:rsidR="003F675C" w:rsidRPr="00712E52" w:rsidRDefault="003F675C" w:rsidP="003F675C">
            <w:pPr>
              <w:pStyle w:val="NoSpacing"/>
            </w:pPr>
            <w:r>
              <w:tab/>
              <w:t>Turnover</w:t>
            </w:r>
          </w:p>
        </w:tc>
        <w:tc>
          <w:tcPr>
            <w:tcW w:w="5386" w:type="dxa"/>
          </w:tcPr>
          <w:p w:rsidR="003F675C" w:rsidRPr="00712E52" w:rsidRDefault="003F675C" w:rsidP="00BC6118">
            <w:pPr>
              <w:pStyle w:val="NoSpacing"/>
            </w:pPr>
          </w:p>
        </w:tc>
      </w:tr>
      <w:tr w:rsidR="003F675C" w:rsidRPr="00712E52" w:rsidTr="00BC6118">
        <w:tc>
          <w:tcPr>
            <w:tcW w:w="959" w:type="dxa"/>
          </w:tcPr>
          <w:p w:rsidR="003F675C" w:rsidRPr="00712E52" w:rsidRDefault="003F675C" w:rsidP="00BC6118">
            <w:pPr>
              <w:pStyle w:val="NoSpacing"/>
            </w:pPr>
            <w:r>
              <w:t>1</w:t>
            </w:r>
          </w:p>
        </w:tc>
        <w:tc>
          <w:tcPr>
            <w:tcW w:w="3969" w:type="dxa"/>
          </w:tcPr>
          <w:p w:rsidR="003F675C" w:rsidRPr="00712E52" w:rsidRDefault="003F675C" w:rsidP="003F675C">
            <w:pPr>
              <w:pStyle w:val="NoSpacing"/>
            </w:pPr>
            <w:r>
              <w:tab/>
            </w:r>
            <w:proofErr w:type="spellStart"/>
            <w:r w:rsidRPr="003F675C">
              <w:t>OtherOpIncome</w:t>
            </w:r>
            <w:proofErr w:type="spellEnd"/>
          </w:p>
        </w:tc>
        <w:tc>
          <w:tcPr>
            <w:tcW w:w="5386" w:type="dxa"/>
          </w:tcPr>
          <w:p w:rsidR="003F675C" w:rsidRPr="00712E52" w:rsidRDefault="003F675C" w:rsidP="00BC6118">
            <w:pPr>
              <w:pStyle w:val="NoSpacing"/>
            </w:pPr>
          </w:p>
        </w:tc>
      </w:tr>
      <w:tr w:rsidR="003F675C" w:rsidRPr="00712E52" w:rsidTr="00BC6118">
        <w:tc>
          <w:tcPr>
            <w:tcW w:w="959" w:type="dxa"/>
          </w:tcPr>
          <w:p w:rsidR="003F675C" w:rsidRPr="00712E52" w:rsidRDefault="003F675C" w:rsidP="00BC6118">
            <w:pPr>
              <w:pStyle w:val="NoSpacing"/>
            </w:pPr>
            <w:r>
              <w:t>0</w:t>
            </w:r>
          </w:p>
        </w:tc>
        <w:tc>
          <w:tcPr>
            <w:tcW w:w="3969" w:type="dxa"/>
          </w:tcPr>
          <w:p w:rsidR="003F675C" w:rsidRDefault="003F675C" w:rsidP="003F675C">
            <w:pPr>
              <w:pStyle w:val="NoSpacing"/>
            </w:pPr>
            <w:proofErr w:type="spellStart"/>
            <w:r>
              <w:t>ExpOp</w:t>
            </w:r>
            <w:proofErr w:type="spellEnd"/>
          </w:p>
        </w:tc>
        <w:tc>
          <w:tcPr>
            <w:tcW w:w="5386" w:type="dxa"/>
          </w:tcPr>
          <w:p w:rsidR="003F675C" w:rsidRPr="00712E52" w:rsidRDefault="003F675C" w:rsidP="00BC6118">
            <w:pPr>
              <w:pStyle w:val="NoSpacing"/>
            </w:pPr>
          </w:p>
        </w:tc>
      </w:tr>
      <w:tr w:rsidR="003F675C" w:rsidRPr="00712E52" w:rsidTr="00BC6118">
        <w:tc>
          <w:tcPr>
            <w:tcW w:w="959" w:type="dxa"/>
          </w:tcPr>
          <w:p w:rsidR="003F675C" w:rsidRPr="00712E52" w:rsidRDefault="003F675C" w:rsidP="00BC6118">
            <w:pPr>
              <w:pStyle w:val="NoSpacing"/>
            </w:pPr>
            <w:r>
              <w:t>1</w:t>
            </w:r>
          </w:p>
        </w:tc>
        <w:tc>
          <w:tcPr>
            <w:tcW w:w="3969" w:type="dxa"/>
          </w:tcPr>
          <w:p w:rsidR="003F675C" w:rsidRDefault="003F675C" w:rsidP="003F675C">
            <w:pPr>
              <w:pStyle w:val="NoSpacing"/>
            </w:pPr>
            <w:r>
              <w:tab/>
            </w:r>
            <w:r w:rsidRPr="003F675C">
              <w:t>Stock</w:t>
            </w:r>
          </w:p>
        </w:tc>
        <w:tc>
          <w:tcPr>
            <w:tcW w:w="5386" w:type="dxa"/>
          </w:tcPr>
          <w:p w:rsidR="003F675C" w:rsidRPr="00712E52" w:rsidRDefault="003F675C" w:rsidP="00BC6118">
            <w:pPr>
              <w:pStyle w:val="NoSpacing"/>
            </w:pPr>
          </w:p>
        </w:tc>
      </w:tr>
      <w:tr w:rsidR="003F675C" w:rsidRPr="00712E52" w:rsidTr="00BC6118">
        <w:tc>
          <w:tcPr>
            <w:tcW w:w="959" w:type="dxa"/>
          </w:tcPr>
          <w:p w:rsidR="003F675C" w:rsidRPr="00712E52" w:rsidRDefault="007263F5" w:rsidP="00BC6118">
            <w:pPr>
              <w:pStyle w:val="NoSpacing"/>
            </w:pPr>
            <w:r>
              <w:t>1</w:t>
            </w:r>
          </w:p>
        </w:tc>
        <w:tc>
          <w:tcPr>
            <w:tcW w:w="3969" w:type="dxa"/>
          </w:tcPr>
          <w:p w:rsidR="003F675C" w:rsidRDefault="007263F5" w:rsidP="00BC6118">
            <w:pPr>
              <w:pStyle w:val="NoSpacing"/>
            </w:pPr>
            <w:r>
              <w:tab/>
            </w:r>
            <w:proofErr w:type="spellStart"/>
            <w:r w:rsidRPr="007263F5">
              <w:t>OwnWorkCapitalised</w:t>
            </w:r>
            <w:proofErr w:type="spellEnd"/>
          </w:p>
        </w:tc>
        <w:tc>
          <w:tcPr>
            <w:tcW w:w="5386" w:type="dxa"/>
          </w:tcPr>
          <w:p w:rsidR="003F675C" w:rsidRPr="00712E52" w:rsidRDefault="003F675C" w:rsidP="00BC6118">
            <w:pPr>
              <w:pStyle w:val="NoSpacing"/>
            </w:pPr>
          </w:p>
        </w:tc>
      </w:tr>
      <w:tr w:rsidR="003F675C" w:rsidRPr="00712E52" w:rsidTr="00BC6118">
        <w:tc>
          <w:tcPr>
            <w:tcW w:w="959" w:type="dxa"/>
          </w:tcPr>
          <w:p w:rsidR="003F675C" w:rsidRPr="00712E52" w:rsidRDefault="003F675C" w:rsidP="00BC6118">
            <w:pPr>
              <w:pStyle w:val="NoSpacing"/>
            </w:pPr>
            <w:r w:rsidRPr="00712E52">
              <w:t>1</w:t>
            </w:r>
          </w:p>
        </w:tc>
        <w:tc>
          <w:tcPr>
            <w:tcW w:w="3969" w:type="dxa"/>
          </w:tcPr>
          <w:p w:rsidR="003F675C" w:rsidRPr="00712E52" w:rsidRDefault="003F675C" w:rsidP="007263F5">
            <w:pPr>
              <w:pStyle w:val="NoSpacing"/>
            </w:pPr>
            <w:r>
              <w:tab/>
            </w:r>
            <w:proofErr w:type="spellStart"/>
            <w:r w:rsidR="007263F5" w:rsidRPr="007263F5">
              <w:t>GoodsMaterials</w:t>
            </w:r>
            <w:proofErr w:type="spellEnd"/>
          </w:p>
        </w:tc>
        <w:tc>
          <w:tcPr>
            <w:tcW w:w="5386" w:type="dxa"/>
          </w:tcPr>
          <w:p w:rsidR="003F675C" w:rsidRPr="00712E52" w:rsidRDefault="003F675C" w:rsidP="00BC6118">
            <w:pPr>
              <w:pStyle w:val="NoSpacing"/>
            </w:pPr>
          </w:p>
        </w:tc>
      </w:tr>
      <w:tr w:rsidR="003F675C" w:rsidRPr="00712E52" w:rsidTr="00BC6118">
        <w:tc>
          <w:tcPr>
            <w:tcW w:w="959" w:type="dxa"/>
          </w:tcPr>
          <w:p w:rsidR="003F675C" w:rsidRPr="00712E52" w:rsidRDefault="007263F5" w:rsidP="00BC6118">
            <w:pPr>
              <w:pStyle w:val="NoSpacing"/>
            </w:pPr>
            <w:r>
              <w:t>1</w:t>
            </w:r>
          </w:p>
        </w:tc>
        <w:tc>
          <w:tcPr>
            <w:tcW w:w="3969" w:type="dxa"/>
          </w:tcPr>
          <w:p w:rsidR="003F675C" w:rsidRPr="00712E52" w:rsidRDefault="007263F5" w:rsidP="003F675C">
            <w:pPr>
              <w:pStyle w:val="NoSpacing"/>
            </w:pPr>
            <w:r>
              <w:tab/>
            </w:r>
            <w:proofErr w:type="spellStart"/>
            <w:r w:rsidRPr="007263F5">
              <w:t>CarriageComms</w:t>
            </w:r>
            <w:proofErr w:type="spellEnd"/>
          </w:p>
        </w:tc>
        <w:tc>
          <w:tcPr>
            <w:tcW w:w="5386" w:type="dxa"/>
          </w:tcPr>
          <w:p w:rsidR="003F675C" w:rsidRPr="00712E52" w:rsidRDefault="003F675C" w:rsidP="00BC6118">
            <w:pPr>
              <w:pStyle w:val="NoSpacing"/>
            </w:pPr>
          </w:p>
        </w:tc>
      </w:tr>
      <w:tr w:rsidR="003F675C" w:rsidRPr="00712E52" w:rsidTr="00BC6118">
        <w:tc>
          <w:tcPr>
            <w:tcW w:w="959" w:type="dxa"/>
          </w:tcPr>
          <w:p w:rsidR="003F675C" w:rsidRPr="00712E52" w:rsidRDefault="007263F5" w:rsidP="00BC6118">
            <w:pPr>
              <w:pStyle w:val="NoSpacing"/>
            </w:pPr>
            <w:r>
              <w:t>1</w:t>
            </w:r>
          </w:p>
        </w:tc>
        <w:tc>
          <w:tcPr>
            <w:tcW w:w="3969" w:type="dxa"/>
          </w:tcPr>
          <w:p w:rsidR="003F675C" w:rsidRPr="00712E52" w:rsidRDefault="007263F5" w:rsidP="00BC6118">
            <w:pPr>
              <w:pStyle w:val="NoSpacing"/>
            </w:pPr>
            <w:r>
              <w:tab/>
              <w:t>Machines</w:t>
            </w:r>
          </w:p>
        </w:tc>
        <w:tc>
          <w:tcPr>
            <w:tcW w:w="5386" w:type="dxa"/>
          </w:tcPr>
          <w:p w:rsidR="003F675C" w:rsidRPr="00712E52" w:rsidRDefault="003F675C" w:rsidP="00BC6118">
            <w:pPr>
              <w:pStyle w:val="NoSpacing"/>
            </w:pPr>
          </w:p>
        </w:tc>
      </w:tr>
      <w:tr w:rsidR="003F675C" w:rsidRPr="00712E52" w:rsidTr="00BC6118">
        <w:tc>
          <w:tcPr>
            <w:tcW w:w="959" w:type="dxa"/>
          </w:tcPr>
          <w:p w:rsidR="003F675C" w:rsidRPr="00712E52" w:rsidRDefault="003F675C" w:rsidP="00BC6118">
            <w:pPr>
              <w:pStyle w:val="NoSpacing"/>
            </w:pPr>
            <w:r w:rsidRPr="00712E52">
              <w:t>1</w:t>
            </w:r>
          </w:p>
        </w:tc>
        <w:tc>
          <w:tcPr>
            <w:tcW w:w="3969" w:type="dxa"/>
          </w:tcPr>
          <w:p w:rsidR="003F675C" w:rsidRPr="00712E52" w:rsidRDefault="007263F5" w:rsidP="00BC6118">
            <w:pPr>
              <w:pStyle w:val="NoSpacing"/>
            </w:pPr>
            <w:r>
              <w:tab/>
              <w:t>Premises</w:t>
            </w:r>
          </w:p>
        </w:tc>
        <w:tc>
          <w:tcPr>
            <w:tcW w:w="5386" w:type="dxa"/>
          </w:tcPr>
          <w:p w:rsidR="003F675C" w:rsidRPr="00712E52" w:rsidRDefault="003F675C" w:rsidP="00BC6118">
            <w:pPr>
              <w:pStyle w:val="NoSpacing"/>
            </w:pPr>
          </w:p>
        </w:tc>
      </w:tr>
      <w:tr w:rsidR="007263F5" w:rsidRPr="00712E52" w:rsidTr="00BC6118">
        <w:tc>
          <w:tcPr>
            <w:tcW w:w="959" w:type="dxa"/>
          </w:tcPr>
          <w:p w:rsidR="007263F5" w:rsidRPr="00712E52" w:rsidRDefault="007263F5" w:rsidP="00BC6118">
            <w:pPr>
              <w:pStyle w:val="NoSpacing"/>
            </w:pPr>
            <w:r>
              <w:t>1</w:t>
            </w:r>
          </w:p>
        </w:tc>
        <w:tc>
          <w:tcPr>
            <w:tcW w:w="3969" w:type="dxa"/>
          </w:tcPr>
          <w:p w:rsidR="007263F5" w:rsidRPr="00712E52" w:rsidRDefault="007263F5" w:rsidP="00BC6118">
            <w:pPr>
              <w:pStyle w:val="NoSpacing"/>
            </w:pPr>
            <w:r>
              <w:tab/>
            </w:r>
            <w:proofErr w:type="spellStart"/>
            <w:r w:rsidRPr="007263F5">
              <w:t>MarketingAdvertising</w:t>
            </w:r>
            <w:proofErr w:type="spellEnd"/>
          </w:p>
        </w:tc>
        <w:tc>
          <w:tcPr>
            <w:tcW w:w="5386" w:type="dxa"/>
          </w:tcPr>
          <w:p w:rsidR="007263F5" w:rsidRPr="00712E52" w:rsidRDefault="007263F5" w:rsidP="00BC6118">
            <w:pPr>
              <w:pStyle w:val="NoSpacing"/>
            </w:pPr>
          </w:p>
        </w:tc>
      </w:tr>
      <w:tr w:rsidR="007263F5" w:rsidRPr="00712E52" w:rsidTr="00BC6118">
        <w:tc>
          <w:tcPr>
            <w:tcW w:w="959" w:type="dxa"/>
          </w:tcPr>
          <w:p w:rsidR="007263F5" w:rsidRPr="00712E52" w:rsidRDefault="007263F5" w:rsidP="00BC6118">
            <w:pPr>
              <w:pStyle w:val="NoSpacing"/>
            </w:pPr>
            <w:r>
              <w:t>1</w:t>
            </w:r>
          </w:p>
        </w:tc>
        <w:tc>
          <w:tcPr>
            <w:tcW w:w="3969" w:type="dxa"/>
          </w:tcPr>
          <w:p w:rsidR="007263F5" w:rsidRPr="00712E52" w:rsidRDefault="007263F5" w:rsidP="00BC6118">
            <w:pPr>
              <w:pStyle w:val="NoSpacing"/>
            </w:pPr>
            <w:r>
              <w:tab/>
            </w:r>
            <w:proofErr w:type="spellStart"/>
            <w:r w:rsidRPr="007263F5">
              <w:t>FeesServicesProf</w:t>
            </w:r>
            <w:proofErr w:type="spellEnd"/>
          </w:p>
        </w:tc>
        <w:tc>
          <w:tcPr>
            <w:tcW w:w="5386" w:type="dxa"/>
          </w:tcPr>
          <w:p w:rsidR="007263F5" w:rsidRPr="00712E52" w:rsidRDefault="007263F5" w:rsidP="00BC6118">
            <w:pPr>
              <w:pStyle w:val="NoSpacing"/>
            </w:pPr>
          </w:p>
        </w:tc>
      </w:tr>
      <w:tr w:rsidR="007263F5" w:rsidRPr="00712E52" w:rsidTr="00BC6118">
        <w:tc>
          <w:tcPr>
            <w:tcW w:w="959" w:type="dxa"/>
          </w:tcPr>
          <w:p w:rsidR="007263F5" w:rsidRPr="00712E52" w:rsidRDefault="007263F5" w:rsidP="00BC6118">
            <w:pPr>
              <w:pStyle w:val="NoSpacing"/>
            </w:pPr>
            <w:r>
              <w:t>1</w:t>
            </w:r>
          </w:p>
        </w:tc>
        <w:tc>
          <w:tcPr>
            <w:tcW w:w="3969" w:type="dxa"/>
          </w:tcPr>
          <w:p w:rsidR="007263F5" w:rsidRPr="00712E52" w:rsidRDefault="007263F5" w:rsidP="00BC6118">
            <w:pPr>
              <w:pStyle w:val="NoSpacing"/>
            </w:pPr>
            <w:r>
              <w:tab/>
            </w:r>
            <w:r w:rsidRPr="007263F5">
              <w:t>Other</w:t>
            </w:r>
          </w:p>
        </w:tc>
        <w:tc>
          <w:tcPr>
            <w:tcW w:w="5386" w:type="dxa"/>
          </w:tcPr>
          <w:p w:rsidR="007263F5" w:rsidRPr="00712E52" w:rsidRDefault="007263F5" w:rsidP="00BC6118">
            <w:pPr>
              <w:pStyle w:val="NoSpacing"/>
            </w:pPr>
          </w:p>
        </w:tc>
      </w:tr>
      <w:tr w:rsidR="007263F5" w:rsidRPr="00712E52" w:rsidTr="00BC6118">
        <w:tc>
          <w:tcPr>
            <w:tcW w:w="959" w:type="dxa"/>
          </w:tcPr>
          <w:p w:rsidR="007263F5" w:rsidRPr="00712E52" w:rsidRDefault="007263F5" w:rsidP="00BC6118">
            <w:pPr>
              <w:pStyle w:val="NoSpacing"/>
            </w:pPr>
            <w:r>
              <w:t>1</w:t>
            </w:r>
          </w:p>
        </w:tc>
        <w:tc>
          <w:tcPr>
            <w:tcW w:w="3969" w:type="dxa"/>
          </w:tcPr>
          <w:p w:rsidR="007263F5" w:rsidRPr="00712E52" w:rsidRDefault="007263F5" w:rsidP="00BC6118">
            <w:pPr>
              <w:pStyle w:val="NoSpacing"/>
            </w:pPr>
            <w:r>
              <w:tab/>
            </w:r>
            <w:r w:rsidRPr="007263F5">
              <w:t>Financial</w:t>
            </w:r>
          </w:p>
        </w:tc>
        <w:tc>
          <w:tcPr>
            <w:tcW w:w="5386" w:type="dxa"/>
          </w:tcPr>
          <w:p w:rsidR="007263F5" w:rsidRPr="00712E52" w:rsidRDefault="007263F5" w:rsidP="00BC6118">
            <w:pPr>
              <w:pStyle w:val="NoSpacing"/>
            </w:pPr>
          </w:p>
        </w:tc>
      </w:tr>
      <w:tr w:rsidR="007263F5" w:rsidRPr="00712E52" w:rsidTr="00BC6118">
        <w:tc>
          <w:tcPr>
            <w:tcW w:w="959" w:type="dxa"/>
          </w:tcPr>
          <w:p w:rsidR="007263F5" w:rsidRPr="00712E52" w:rsidRDefault="007263F5" w:rsidP="00BC6118">
            <w:pPr>
              <w:pStyle w:val="NoSpacing"/>
            </w:pPr>
            <w:r>
              <w:t>1</w:t>
            </w:r>
          </w:p>
        </w:tc>
        <w:tc>
          <w:tcPr>
            <w:tcW w:w="3969" w:type="dxa"/>
          </w:tcPr>
          <w:p w:rsidR="007263F5" w:rsidRPr="00712E52" w:rsidRDefault="007263F5" w:rsidP="00BC6118">
            <w:pPr>
              <w:pStyle w:val="NoSpacing"/>
            </w:pPr>
            <w:r>
              <w:tab/>
            </w:r>
            <w:r w:rsidRPr="007263F5">
              <w:t>Personnel</w:t>
            </w:r>
          </w:p>
        </w:tc>
        <w:tc>
          <w:tcPr>
            <w:tcW w:w="5386" w:type="dxa"/>
          </w:tcPr>
          <w:p w:rsidR="007263F5" w:rsidRPr="00712E52" w:rsidRDefault="007263F5" w:rsidP="00BC6118">
            <w:pPr>
              <w:pStyle w:val="NoSpacing"/>
            </w:pPr>
          </w:p>
        </w:tc>
      </w:tr>
      <w:tr w:rsidR="007263F5" w:rsidRPr="00712E52" w:rsidTr="00BC6118">
        <w:tc>
          <w:tcPr>
            <w:tcW w:w="959" w:type="dxa"/>
          </w:tcPr>
          <w:p w:rsidR="007263F5" w:rsidRPr="00712E52" w:rsidRDefault="007263F5" w:rsidP="00BC6118">
            <w:pPr>
              <w:pStyle w:val="NoSpacing"/>
            </w:pPr>
            <w:r>
              <w:t>1</w:t>
            </w:r>
          </w:p>
        </w:tc>
        <w:tc>
          <w:tcPr>
            <w:tcW w:w="3969" w:type="dxa"/>
          </w:tcPr>
          <w:p w:rsidR="007263F5" w:rsidRPr="00712E52" w:rsidRDefault="007263F5" w:rsidP="00BC6118">
            <w:pPr>
              <w:pStyle w:val="NoSpacing"/>
            </w:pPr>
            <w:r>
              <w:tab/>
            </w:r>
            <w:proofErr w:type="spellStart"/>
            <w:r w:rsidRPr="007263F5">
              <w:t>DepnAmortImpair</w:t>
            </w:r>
            <w:proofErr w:type="spellEnd"/>
          </w:p>
        </w:tc>
        <w:tc>
          <w:tcPr>
            <w:tcW w:w="5386" w:type="dxa"/>
          </w:tcPr>
          <w:p w:rsidR="007263F5" w:rsidRPr="00712E52" w:rsidRDefault="007263F5" w:rsidP="00BC6118">
            <w:pPr>
              <w:pStyle w:val="NoSpacing"/>
            </w:pPr>
          </w:p>
        </w:tc>
      </w:tr>
      <w:tr w:rsidR="00761D73" w:rsidRPr="00712E52" w:rsidTr="00BC6118">
        <w:tc>
          <w:tcPr>
            <w:tcW w:w="959" w:type="dxa"/>
          </w:tcPr>
          <w:p w:rsidR="00761D73" w:rsidRDefault="00761D73" w:rsidP="00BC6118">
            <w:pPr>
              <w:pStyle w:val="NoSpacing"/>
            </w:pPr>
            <w:r>
              <w:t>0</w:t>
            </w:r>
          </w:p>
        </w:tc>
        <w:tc>
          <w:tcPr>
            <w:tcW w:w="3969" w:type="dxa"/>
          </w:tcPr>
          <w:p w:rsidR="00761D73" w:rsidRDefault="00761D73" w:rsidP="00BC6118">
            <w:pPr>
              <w:pStyle w:val="NoSpacing"/>
            </w:pPr>
            <w:proofErr w:type="spellStart"/>
            <w:r w:rsidRPr="00761D73">
              <w:t>RevNonOp</w:t>
            </w:r>
            <w:proofErr w:type="spellEnd"/>
          </w:p>
        </w:tc>
        <w:tc>
          <w:tcPr>
            <w:tcW w:w="5386" w:type="dxa"/>
          </w:tcPr>
          <w:p w:rsidR="00761D73" w:rsidRPr="00712E52" w:rsidRDefault="00761D73" w:rsidP="00BC6118">
            <w:pPr>
              <w:pStyle w:val="NoSpacing"/>
            </w:pPr>
          </w:p>
        </w:tc>
      </w:tr>
      <w:tr w:rsidR="00EC02B4" w:rsidRPr="00712E52" w:rsidTr="00BC6118">
        <w:tc>
          <w:tcPr>
            <w:tcW w:w="959" w:type="dxa"/>
          </w:tcPr>
          <w:p w:rsidR="00EC02B4" w:rsidRDefault="00EC02B4" w:rsidP="00BC6118">
            <w:pPr>
              <w:pStyle w:val="NoSpacing"/>
            </w:pPr>
            <w:r>
              <w:t>1</w:t>
            </w:r>
          </w:p>
        </w:tc>
        <w:tc>
          <w:tcPr>
            <w:tcW w:w="3969" w:type="dxa"/>
          </w:tcPr>
          <w:p w:rsidR="00EC02B4" w:rsidRPr="00761D73" w:rsidRDefault="00EC02B4" w:rsidP="00BC6118">
            <w:pPr>
              <w:pStyle w:val="NoSpacing"/>
            </w:pPr>
            <w:r>
              <w:tab/>
            </w:r>
            <w:proofErr w:type="spellStart"/>
            <w:r w:rsidRPr="00EC02B4">
              <w:t>SubAssocPart</w:t>
            </w:r>
            <w:proofErr w:type="spellEnd"/>
          </w:p>
        </w:tc>
        <w:tc>
          <w:tcPr>
            <w:tcW w:w="5386" w:type="dxa"/>
          </w:tcPr>
          <w:p w:rsidR="00EC02B4" w:rsidRPr="00712E52" w:rsidRDefault="00EC02B4" w:rsidP="00BC6118">
            <w:pPr>
              <w:pStyle w:val="NoSpacing"/>
            </w:pPr>
          </w:p>
        </w:tc>
      </w:tr>
      <w:tr w:rsidR="00761D73" w:rsidRPr="00712E52" w:rsidTr="00BC6118">
        <w:tc>
          <w:tcPr>
            <w:tcW w:w="959" w:type="dxa"/>
          </w:tcPr>
          <w:p w:rsidR="00761D73" w:rsidRDefault="00761D73" w:rsidP="00BC6118">
            <w:pPr>
              <w:pStyle w:val="NoSpacing"/>
            </w:pPr>
            <w:r>
              <w:t>0</w:t>
            </w:r>
          </w:p>
        </w:tc>
        <w:tc>
          <w:tcPr>
            <w:tcW w:w="3969" w:type="dxa"/>
          </w:tcPr>
          <w:p w:rsidR="00761D73" w:rsidRDefault="00761D73" w:rsidP="00BC6118">
            <w:pPr>
              <w:pStyle w:val="NoSpacing"/>
            </w:pPr>
            <w:proofErr w:type="spellStart"/>
            <w:r w:rsidRPr="00761D73">
              <w:t>NonOpFinanceInvestment</w:t>
            </w:r>
            <w:proofErr w:type="spellEnd"/>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EC02B4" w:rsidP="00BC6118">
            <w:pPr>
              <w:pStyle w:val="NoSpacing"/>
            </w:pPr>
            <w:r>
              <w:t>1</w:t>
            </w:r>
          </w:p>
        </w:tc>
        <w:tc>
          <w:tcPr>
            <w:tcW w:w="3969" w:type="dxa"/>
          </w:tcPr>
          <w:p w:rsidR="00761D73" w:rsidRDefault="00EC02B4" w:rsidP="00BC6118">
            <w:pPr>
              <w:pStyle w:val="NoSpacing"/>
            </w:pPr>
            <w:r>
              <w:tab/>
            </w:r>
            <w:proofErr w:type="spellStart"/>
            <w:r w:rsidRPr="00EC02B4">
              <w:t>InvestmentGainsLossesNetItemsHeading</w:t>
            </w:r>
            <w:proofErr w:type="spellEnd"/>
          </w:p>
        </w:tc>
        <w:tc>
          <w:tcPr>
            <w:tcW w:w="5386" w:type="dxa"/>
          </w:tcPr>
          <w:p w:rsidR="00761D73" w:rsidRPr="00712E52" w:rsidRDefault="00761D73" w:rsidP="00BC6118">
            <w:pPr>
              <w:pStyle w:val="NoSpacing"/>
            </w:pPr>
          </w:p>
        </w:tc>
      </w:tr>
      <w:tr w:rsidR="00EC02B4" w:rsidRPr="00712E52" w:rsidTr="00BC6118">
        <w:tc>
          <w:tcPr>
            <w:tcW w:w="959" w:type="dxa"/>
          </w:tcPr>
          <w:p w:rsidR="00EC02B4" w:rsidRDefault="00EC02B4" w:rsidP="00BC6118">
            <w:pPr>
              <w:pStyle w:val="NoSpacing"/>
            </w:pPr>
            <w:r>
              <w:t>2</w:t>
            </w:r>
          </w:p>
        </w:tc>
        <w:tc>
          <w:tcPr>
            <w:tcW w:w="3969" w:type="dxa"/>
          </w:tcPr>
          <w:p w:rsidR="00EC02B4" w:rsidRPr="00761D73" w:rsidRDefault="00EC02B4" w:rsidP="00BC6118">
            <w:pPr>
              <w:pStyle w:val="NoSpacing"/>
            </w:pPr>
            <w:r>
              <w:tab/>
            </w:r>
            <w:r>
              <w:tab/>
            </w:r>
            <w:proofErr w:type="spellStart"/>
            <w:r w:rsidRPr="00EC02B4">
              <w:t>InstrsNetBeforeTax</w:t>
            </w:r>
            <w:proofErr w:type="spellEnd"/>
          </w:p>
        </w:tc>
        <w:tc>
          <w:tcPr>
            <w:tcW w:w="5386" w:type="dxa"/>
          </w:tcPr>
          <w:p w:rsidR="00EC02B4" w:rsidRPr="00712E52" w:rsidRDefault="00EC02B4" w:rsidP="00BC6118">
            <w:pPr>
              <w:pStyle w:val="NoSpacing"/>
            </w:pPr>
          </w:p>
        </w:tc>
      </w:tr>
      <w:tr w:rsidR="00EC02B4" w:rsidRPr="00712E52" w:rsidTr="00BC6118">
        <w:tc>
          <w:tcPr>
            <w:tcW w:w="959" w:type="dxa"/>
          </w:tcPr>
          <w:p w:rsidR="00EC02B4" w:rsidRDefault="00EC02B4" w:rsidP="00BC6118">
            <w:pPr>
              <w:pStyle w:val="NoSpacing"/>
            </w:pPr>
          </w:p>
        </w:tc>
        <w:tc>
          <w:tcPr>
            <w:tcW w:w="3969" w:type="dxa"/>
          </w:tcPr>
          <w:p w:rsidR="00EC02B4" w:rsidRPr="00761D73" w:rsidRDefault="00EC02B4" w:rsidP="00BC6118">
            <w:pPr>
              <w:pStyle w:val="NoSpacing"/>
            </w:pPr>
          </w:p>
        </w:tc>
        <w:tc>
          <w:tcPr>
            <w:tcW w:w="5386" w:type="dxa"/>
          </w:tcPr>
          <w:p w:rsidR="00EC02B4" w:rsidRPr="00712E52" w:rsidRDefault="00EC02B4" w:rsidP="00BC6118">
            <w:pPr>
              <w:pStyle w:val="NoSpacing"/>
            </w:pPr>
          </w:p>
        </w:tc>
      </w:tr>
      <w:tr w:rsidR="00761D73" w:rsidRPr="00712E52" w:rsidTr="00BC6118">
        <w:tc>
          <w:tcPr>
            <w:tcW w:w="959" w:type="dxa"/>
          </w:tcPr>
          <w:p w:rsidR="00761D73" w:rsidRDefault="00761D73" w:rsidP="00BC6118">
            <w:pPr>
              <w:pStyle w:val="NoSpacing"/>
            </w:pPr>
            <w:r>
              <w:t>0</w:t>
            </w:r>
          </w:p>
        </w:tc>
        <w:tc>
          <w:tcPr>
            <w:tcW w:w="3969" w:type="dxa"/>
          </w:tcPr>
          <w:p w:rsidR="00761D73" w:rsidRDefault="00761D73" w:rsidP="00BC6118">
            <w:pPr>
              <w:pStyle w:val="NoSpacing"/>
            </w:pPr>
            <w:proofErr w:type="spellStart"/>
            <w:r w:rsidRPr="00761D73">
              <w:t>GainsLossesFromSaleOrTerminationOperations</w:t>
            </w:r>
            <w:proofErr w:type="spellEnd"/>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761D73" w:rsidP="00BC6118">
            <w:pPr>
              <w:pStyle w:val="NoSpacing"/>
            </w:pPr>
          </w:p>
        </w:tc>
        <w:tc>
          <w:tcPr>
            <w:tcW w:w="3969" w:type="dxa"/>
          </w:tcPr>
          <w:p w:rsidR="00761D73" w:rsidRDefault="00761D73" w:rsidP="00BC6118">
            <w:pPr>
              <w:pStyle w:val="NoSpacing"/>
            </w:pPr>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761D73" w:rsidP="00BC6118">
            <w:pPr>
              <w:pStyle w:val="NoSpacing"/>
            </w:pPr>
          </w:p>
        </w:tc>
        <w:tc>
          <w:tcPr>
            <w:tcW w:w="3969" w:type="dxa"/>
          </w:tcPr>
          <w:p w:rsidR="00761D73" w:rsidRDefault="00761D73" w:rsidP="00BC6118">
            <w:pPr>
              <w:pStyle w:val="NoSpacing"/>
            </w:pPr>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761D73" w:rsidP="00BC6118">
            <w:pPr>
              <w:pStyle w:val="NoSpacing"/>
            </w:pPr>
            <w:r>
              <w:t>0</w:t>
            </w:r>
          </w:p>
        </w:tc>
        <w:tc>
          <w:tcPr>
            <w:tcW w:w="3969" w:type="dxa"/>
          </w:tcPr>
          <w:p w:rsidR="00761D73" w:rsidRDefault="00761D73" w:rsidP="00BC6118">
            <w:pPr>
              <w:pStyle w:val="NoSpacing"/>
            </w:pPr>
            <w:proofErr w:type="spellStart"/>
            <w:r w:rsidRPr="00761D73">
              <w:t>OperatingActivitiesExceptionals</w:t>
            </w:r>
            <w:proofErr w:type="spellEnd"/>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761D73" w:rsidP="00BC6118">
            <w:pPr>
              <w:pStyle w:val="NoSpacing"/>
            </w:pPr>
          </w:p>
        </w:tc>
        <w:tc>
          <w:tcPr>
            <w:tcW w:w="3969" w:type="dxa"/>
          </w:tcPr>
          <w:p w:rsidR="00761D73" w:rsidRDefault="00761D73" w:rsidP="00BC6118">
            <w:pPr>
              <w:pStyle w:val="NoSpacing"/>
            </w:pPr>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761D73" w:rsidP="00BC6118">
            <w:pPr>
              <w:pStyle w:val="NoSpacing"/>
            </w:pPr>
          </w:p>
        </w:tc>
        <w:tc>
          <w:tcPr>
            <w:tcW w:w="3969" w:type="dxa"/>
          </w:tcPr>
          <w:p w:rsidR="00761D73" w:rsidRDefault="00761D73" w:rsidP="00BC6118">
            <w:pPr>
              <w:pStyle w:val="NoSpacing"/>
            </w:pPr>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EC02B4" w:rsidP="00BC6118">
            <w:pPr>
              <w:pStyle w:val="NoSpacing"/>
            </w:pPr>
            <w:r>
              <w:t>0</w:t>
            </w:r>
          </w:p>
        </w:tc>
        <w:tc>
          <w:tcPr>
            <w:tcW w:w="3969" w:type="dxa"/>
          </w:tcPr>
          <w:p w:rsidR="00761D73" w:rsidRDefault="00761D73" w:rsidP="00BC6118">
            <w:pPr>
              <w:pStyle w:val="NoSpacing"/>
            </w:pPr>
            <w:proofErr w:type="spellStart"/>
            <w:r w:rsidRPr="00761D73">
              <w:t>TaxOnOrdActivities</w:t>
            </w:r>
            <w:proofErr w:type="spellEnd"/>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EC02B4" w:rsidP="00BC6118">
            <w:pPr>
              <w:pStyle w:val="NoSpacing"/>
            </w:pPr>
            <w:r>
              <w:t>1</w:t>
            </w:r>
          </w:p>
        </w:tc>
        <w:tc>
          <w:tcPr>
            <w:tcW w:w="3969" w:type="dxa"/>
          </w:tcPr>
          <w:p w:rsidR="00761D73" w:rsidRDefault="00EC02B4" w:rsidP="00BC6118">
            <w:pPr>
              <w:pStyle w:val="NoSpacing"/>
            </w:pPr>
            <w:r>
              <w:tab/>
            </w:r>
            <w:proofErr w:type="spellStart"/>
            <w:r w:rsidRPr="00EC02B4">
              <w:t>TotalUKForeignCurrentAfterAdjustsRelief</w:t>
            </w:r>
            <w:proofErr w:type="spellEnd"/>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EC02B4" w:rsidP="00BC6118">
            <w:pPr>
              <w:pStyle w:val="NoSpacing"/>
            </w:pPr>
            <w:r>
              <w:t>1</w:t>
            </w:r>
          </w:p>
        </w:tc>
        <w:tc>
          <w:tcPr>
            <w:tcW w:w="3969" w:type="dxa"/>
          </w:tcPr>
          <w:p w:rsidR="00761D73" w:rsidRDefault="00EC02B4" w:rsidP="00BC6118">
            <w:pPr>
              <w:pStyle w:val="NoSpacing"/>
            </w:pPr>
            <w:r>
              <w:tab/>
            </w:r>
            <w:proofErr w:type="spellStart"/>
            <w:r w:rsidRPr="00EC02B4">
              <w:t>TotalUKForeignDeferred</w:t>
            </w:r>
            <w:proofErr w:type="spellEnd"/>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EC02B4" w:rsidP="00BC6118">
            <w:pPr>
              <w:pStyle w:val="NoSpacing"/>
            </w:pPr>
            <w:r>
              <w:t>1</w:t>
            </w:r>
          </w:p>
        </w:tc>
        <w:tc>
          <w:tcPr>
            <w:tcW w:w="3969" w:type="dxa"/>
          </w:tcPr>
          <w:p w:rsidR="00761D73" w:rsidRDefault="00EC02B4" w:rsidP="00BC6118">
            <w:pPr>
              <w:pStyle w:val="NoSpacing"/>
            </w:pPr>
            <w:r>
              <w:tab/>
            </w:r>
            <w:proofErr w:type="spellStart"/>
            <w:r w:rsidRPr="00EC02B4">
              <w:t>AdvancedCorporationWrittenOffBack</w:t>
            </w:r>
            <w:proofErr w:type="spellEnd"/>
          </w:p>
        </w:tc>
        <w:tc>
          <w:tcPr>
            <w:tcW w:w="5386" w:type="dxa"/>
          </w:tcPr>
          <w:p w:rsidR="00761D73" w:rsidRPr="00712E52" w:rsidRDefault="00761D73" w:rsidP="00BC6118">
            <w:pPr>
              <w:pStyle w:val="NoSpacing"/>
            </w:pPr>
          </w:p>
        </w:tc>
      </w:tr>
      <w:tr w:rsidR="00761D73" w:rsidRPr="00712E52" w:rsidTr="00BC6118">
        <w:tc>
          <w:tcPr>
            <w:tcW w:w="959" w:type="dxa"/>
          </w:tcPr>
          <w:p w:rsidR="00761D73" w:rsidRDefault="00761D73" w:rsidP="00BC6118">
            <w:pPr>
              <w:pStyle w:val="NoSpacing"/>
            </w:pPr>
          </w:p>
        </w:tc>
        <w:tc>
          <w:tcPr>
            <w:tcW w:w="3969" w:type="dxa"/>
          </w:tcPr>
          <w:p w:rsidR="00761D73" w:rsidRDefault="00761D73" w:rsidP="00BC6118">
            <w:pPr>
              <w:pStyle w:val="NoSpacing"/>
            </w:pPr>
          </w:p>
        </w:tc>
        <w:tc>
          <w:tcPr>
            <w:tcW w:w="5386" w:type="dxa"/>
          </w:tcPr>
          <w:p w:rsidR="00761D73" w:rsidRPr="00712E52" w:rsidRDefault="00761D73" w:rsidP="00BC6118">
            <w:pPr>
              <w:pStyle w:val="NoSpacing"/>
            </w:pPr>
          </w:p>
        </w:tc>
      </w:tr>
      <w:tr w:rsidR="003F675C" w:rsidRPr="00712E52" w:rsidTr="00BC6118">
        <w:tc>
          <w:tcPr>
            <w:tcW w:w="959" w:type="dxa"/>
          </w:tcPr>
          <w:p w:rsidR="003F675C" w:rsidRPr="00712E52" w:rsidRDefault="003F675C" w:rsidP="00BC6118">
            <w:pPr>
              <w:pStyle w:val="NoSpacing"/>
            </w:pPr>
            <w:r w:rsidRPr="00712E52">
              <w:t>1</w:t>
            </w:r>
          </w:p>
        </w:tc>
        <w:tc>
          <w:tcPr>
            <w:tcW w:w="3969" w:type="dxa"/>
          </w:tcPr>
          <w:p w:rsidR="003F675C" w:rsidRPr="00712E52" w:rsidRDefault="003F675C" w:rsidP="00BC6118">
            <w:pPr>
              <w:pStyle w:val="NoSpacing"/>
            </w:pPr>
          </w:p>
        </w:tc>
        <w:tc>
          <w:tcPr>
            <w:tcW w:w="5386" w:type="dxa"/>
          </w:tcPr>
          <w:p w:rsidR="003F675C" w:rsidRPr="00712E52" w:rsidRDefault="003F675C" w:rsidP="00BC6118">
            <w:pPr>
              <w:pStyle w:val="NoSpacing"/>
            </w:pPr>
          </w:p>
        </w:tc>
      </w:tr>
      <w:tr w:rsidR="003F675C" w:rsidRPr="00712E52" w:rsidTr="00BC6118">
        <w:tc>
          <w:tcPr>
            <w:tcW w:w="959" w:type="dxa"/>
          </w:tcPr>
          <w:p w:rsidR="003F675C" w:rsidRPr="00712E52" w:rsidRDefault="00EC02B4" w:rsidP="00BC6118">
            <w:pPr>
              <w:pStyle w:val="NoSpacing"/>
            </w:pPr>
            <w:r>
              <w:t>0</w:t>
            </w:r>
          </w:p>
        </w:tc>
        <w:tc>
          <w:tcPr>
            <w:tcW w:w="3969" w:type="dxa"/>
          </w:tcPr>
          <w:p w:rsidR="003F675C" w:rsidRPr="00712E52" w:rsidRDefault="007263F5" w:rsidP="007263F5">
            <w:pPr>
              <w:pStyle w:val="NoSpacing"/>
            </w:pPr>
            <w:proofErr w:type="spellStart"/>
            <w:r w:rsidRPr="007263F5">
              <w:t>ExpDividends</w:t>
            </w:r>
            <w:proofErr w:type="spellEnd"/>
          </w:p>
        </w:tc>
        <w:tc>
          <w:tcPr>
            <w:tcW w:w="5386" w:type="dxa"/>
          </w:tcPr>
          <w:p w:rsidR="003F675C" w:rsidRPr="00712E52" w:rsidRDefault="003F675C" w:rsidP="00BC6118">
            <w:pPr>
              <w:pStyle w:val="NoSpacing"/>
            </w:pPr>
          </w:p>
        </w:tc>
      </w:tr>
    </w:tbl>
    <w:p w:rsidR="00712E52" w:rsidRDefault="00712E52" w:rsidP="00712E52">
      <w:pPr>
        <w:pStyle w:val="NoSpacing"/>
      </w:pPr>
    </w:p>
    <w:p w:rsidR="00444E52" w:rsidRDefault="00444E52" w:rsidP="00444E52">
      <w:pPr>
        <w:pStyle w:val="Heading1"/>
      </w:pPr>
      <w:bookmarkStart w:id="10" w:name="_Toc323925318"/>
      <w:r>
        <w:t>Tricks of creating BROS</w:t>
      </w:r>
      <w:bookmarkEnd w:id="10"/>
    </w:p>
    <w:p w:rsidR="00444E52" w:rsidRDefault="00444E52" w:rsidP="00444E52">
      <w:pPr>
        <w:pStyle w:val="NoSpacing"/>
      </w:pPr>
      <w:r>
        <w:t>There are various techniques which can save time and improve accuracy when creating BROS</w:t>
      </w:r>
      <w:r w:rsidR="003A0E35">
        <w:t>.</w:t>
      </w:r>
    </w:p>
    <w:p w:rsidR="003A0E35" w:rsidRDefault="003A0E35" w:rsidP="003A0E35">
      <w:pPr>
        <w:pStyle w:val="Heading2"/>
      </w:pPr>
      <w:bookmarkStart w:id="11" w:name="_Toc323925319"/>
      <w:r>
        <w:t>Main steps</w:t>
      </w:r>
      <w:bookmarkEnd w:id="11"/>
    </w:p>
    <w:p w:rsidR="00AD3C40" w:rsidRDefault="00AD3C40" w:rsidP="00993356">
      <w:pPr>
        <w:pStyle w:val="ListParagraph"/>
        <w:numPr>
          <w:ilvl w:val="0"/>
          <w:numId w:val="36"/>
        </w:numPr>
      </w:pPr>
      <w:r>
        <w:t xml:space="preserve">Download the </w:t>
      </w:r>
      <w:proofErr w:type="spellStart"/>
      <w:r>
        <w:t>TxIds</w:t>
      </w:r>
      <w:proofErr w:type="spellEnd"/>
      <w:r>
        <w:t xml:space="preserve"> using the BRO Prep Lookup Menu. (Save </w:t>
      </w:r>
      <w:proofErr w:type="gramStart"/>
      <w:r>
        <w:t>file</w:t>
      </w:r>
      <w:proofErr w:type="gramEnd"/>
      <w:r>
        <w:t xml:space="preserve"> and open in Excel</w:t>
      </w:r>
      <w:r w:rsidR="00304BFC">
        <w:t>).</w:t>
      </w:r>
    </w:p>
    <w:p w:rsidR="003A0E35" w:rsidRDefault="003A0E35" w:rsidP="00993356">
      <w:pPr>
        <w:pStyle w:val="ListParagraph"/>
        <w:numPr>
          <w:ilvl w:val="0"/>
          <w:numId w:val="36"/>
        </w:numPr>
      </w:pPr>
      <w:r>
        <w:t xml:space="preserve">Cut and paste desired section to </w:t>
      </w:r>
      <w:r w:rsidR="00AD3C40">
        <w:t xml:space="preserve">a new </w:t>
      </w:r>
      <w:r>
        <w:t>Worksheet</w:t>
      </w:r>
      <w:r w:rsidR="00AD3C40">
        <w:t>.</w:t>
      </w:r>
    </w:p>
    <w:p w:rsidR="00AD3C40" w:rsidRDefault="00AD3C40" w:rsidP="00993356">
      <w:pPr>
        <w:pStyle w:val="ListParagraph"/>
        <w:numPr>
          <w:ilvl w:val="0"/>
          <w:numId w:val="36"/>
        </w:numPr>
      </w:pPr>
      <w:r>
        <w:t>In New Worksheet</w:t>
      </w:r>
    </w:p>
    <w:p w:rsidR="00AD3C40" w:rsidRDefault="00AD3C40" w:rsidP="00AD3C40">
      <w:pPr>
        <w:pStyle w:val="ListParagraph"/>
        <w:numPr>
          <w:ilvl w:val="1"/>
          <w:numId w:val="36"/>
        </w:numPr>
      </w:pPr>
      <w:r>
        <w:t>Insert a few blank rows at the top</w:t>
      </w:r>
    </w:p>
    <w:p w:rsidR="003A0E35" w:rsidRDefault="00AD3C40" w:rsidP="00AD3C40">
      <w:pPr>
        <w:pStyle w:val="ListParagraph"/>
        <w:numPr>
          <w:ilvl w:val="1"/>
          <w:numId w:val="36"/>
        </w:numPr>
      </w:pPr>
      <w:r>
        <w:t>C</w:t>
      </w:r>
      <w:r w:rsidR="003A0E35">
        <w:t>opy and paste Header Row and next line or two to provide column titles and lead values from Name</w:t>
      </w:r>
      <w:r w:rsidR="00993356">
        <w:t xml:space="preserve"> Level 0 to required Name</w:t>
      </w:r>
      <w:r>
        <w:t xml:space="preserve"> level from existing BROS GAAP spread sheet.</w:t>
      </w:r>
    </w:p>
    <w:p w:rsidR="00993356" w:rsidRDefault="00993356" w:rsidP="00993356">
      <w:pPr>
        <w:pStyle w:val="ListParagraph"/>
        <w:numPr>
          <w:ilvl w:val="0"/>
          <w:numId w:val="36"/>
        </w:numPr>
      </w:pPr>
      <w:r>
        <w:t>Move original section across far enough that it aligns from the correct Name column; typically N1</w:t>
      </w:r>
    </w:p>
    <w:p w:rsidR="00993356" w:rsidRDefault="00993356" w:rsidP="00993356">
      <w:pPr>
        <w:pStyle w:val="ListParagraph"/>
        <w:numPr>
          <w:ilvl w:val="0"/>
          <w:numId w:val="36"/>
        </w:numPr>
      </w:pPr>
      <w:r>
        <w:t xml:space="preserve">Copy and paste </w:t>
      </w:r>
      <w:r w:rsidR="00304BFC">
        <w:t xml:space="preserve">down </w:t>
      </w:r>
      <w:r>
        <w:t>know</w:t>
      </w:r>
      <w:r w:rsidR="00AD3C40">
        <w:t>n</w:t>
      </w:r>
      <w:r>
        <w:t xml:space="preserve"> fixed values re Name 0, N1 as required e.g. Assets in Name 0.</w:t>
      </w:r>
    </w:p>
    <w:p w:rsidR="00C13EA4" w:rsidRDefault="00C13EA4" w:rsidP="00C13EA4">
      <w:pPr>
        <w:pStyle w:val="ListParagraph"/>
        <w:numPr>
          <w:ilvl w:val="0"/>
          <w:numId w:val="36"/>
        </w:numPr>
      </w:pPr>
      <w:r>
        <w:t>Abstract Elements – not Headings.</w:t>
      </w:r>
    </w:p>
    <w:p w:rsidR="00EE0858" w:rsidRDefault="00C13EA4" w:rsidP="00C13EA4">
      <w:pPr>
        <w:pStyle w:val="ListParagraph"/>
        <w:numPr>
          <w:ilvl w:val="1"/>
          <w:numId w:val="36"/>
        </w:numPr>
      </w:pPr>
      <w:r>
        <w:t xml:space="preserve"> </w:t>
      </w:r>
      <w:r w:rsidR="00EE0858">
        <w:t xml:space="preserve">Look for </w:t>
      </w:r>
      <w:proofErr w:type="spellStart"/>
      <w:r w:rsidR="00EE0858">
        <w:t>TxIds</w:t>
      </w:r>
      <w:proofErr w:type="spellEnd"/>
      <w:r w:rsidR="00EE0858">
        <w:t xml:space="preserve"> which will have an “[A]” at the start and usually not the </w:t>
      </w:r>
      <w:r w:rsidR="00980BEE">
        <w:t>word “</w:t>
      </w:r>
      <w:r w:rsidR="00EE0858">
        <w:t>Heading” at the end. These rows can be removed. Beware that just occasionally there are some which end with “Heading” but should still be removed</w:t>
      </w:r>
    </w:p>
    <w:p w:rsidR="00EE0858" w:rsidRDefault="00EE0858" w:rsidP="00C13EA4">
      <w:pPr>
        <w:pStyle w:val="ListParagraph"/>
        <w:numPr>
          <w:ilvl w:val="2"/>
          <w:numId w:val="36"/>
        </w:numPr>
      </w:pPr>
      <w:r>
        <w:t>Example</w:t>
      </w:r>
      <w:r w:rsidR="00980BEE">
        <w:t xml:space="preserve">: In the table below, the first row is a legitimate Heading which can be used to form part of BRO names. But the second, although it ends with </w:t>
      </w:r>
      <w:r w:rsidR="00AD3C40">
        <w:t>“</w:t>
      </w:r>
      <w:r w:rsidR="00980BEE">
        <w:t>heading</w:t>
      </w:r>
      <w:r w:rsidR="00AD3C40">
        <w:t>”</w:t>
      </w:r>
      <w:r w:rsidR="00980BEE">
        <w:t xml:space="preserve"> is not, and it plus the others shown below should all be removed</w:t>
      </w:r>
    </w:p>
    <w:tbl>
      <w:tblPr>
        <w:tblW w:w="9390" w:type="dxa"/>
        <w:tblInd w:w="1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0"/>
      </w:tblGrid>
      <w:tr w:rsidR="00980BEE" w:rsidRPr="00980BEE" w:rsidTr="00980BEE">
        <w:trPr>
          <w:trHeight w:val="300"/>
        </w:trPr>
        <w:tc>
          <w:tcPr>
            <w:tcW w:w="9390" w:type="dxa"/>
            <w:shd w:val="clear" w:color="auto" w:fill="auto"/>
            <w:noWrap/>
            <w:vAlign w:val="bottom"/>
            <w:hideMark/>
          </w:tcPr>
          <w:p w:rsidR="00980BEE" w:rsidRPr="00980BEE" w:rsidRDefault="00980BEE" w:rsidP="00980BEE">
            <w:pPr>
              <w:rPr>
                <w:rFonts w:ascii="Calibri" w:eastAsia="Times New Roman" w:hAnsi="Calibri" w:cs="Calibri"/>
                <w:color w:val="000000"/>
                <w:sz w:val="18"/>
                <w:szCs w:val="18"/>
              </w:rPr>
            </w:pPr>
            <w:r w:rsidRPr="00980BEE">
              <w:rPr>
                <w:rFonts w:ascii="Calibri" w:eastAsia="Times New Roman" w:hAnsi="Calibri" w:cs="Calibri"/>
                <w:color w:val="000000"/>
                <w:sz w:val="18"/>
                <w:szCs w:val="18"/>
              </w:rPr>
              <w:t xml:space="preserve">[A] 3698 </w:t>
            </w:r>
            <w:proofErr w:type="spellStart"/>
            <w:r w:rsidRPr="00980BEE">
              <w:rPr>
                <w:rFonts w:ascii="Calibri" w:eastAsia="Times New Roman" w:hAnsi="Calibri" w:cs="Calibri"/>
                <w:color w:val="000000"/>
                <w:sz w:val="18"/>
                <w:szCs w:val="18"/>
              </w:rPr>
              <w:t>OwnSharesHeading</w:t>
            </w:r>
            <w:proofErr w:type="spellEnd"/>
          </w:p>
        </w:tc>
      </w:tr>
      <w:tr w:rsidR="00980BEE" w:rsidRPr="00980BEE" w:rsidTr="00980BEE">
        <w:trPr>
          <w:trHeight w:val="300"/>
        </w:trPr>
        <w:tc>
          <w:tcPr>
            <w:tcW w:w="9390" w:type="dxa"/>
            <w:shd w:val="clear" w:color="auto" w:fill="auto"/>
            <w:noWrap/>
            <w:vAlign w:val="bottom"/>
            <w:hideMark/>
          </w:tcPr>
          <w:p w:rsidR="00980BEE" w:rsidRPr="00980BEE" w:rsidRDefault="00980BEE" w:rsidP="00980BEE">
            <w:pPr>
              <w:rPr>
                <w:rFonts w:ascii="Calibri" w:eastAsia="Times New Roman" w:hAnsi="Calibri" w:cs="Calibri"/>
                <w:color w:val="000000"/>
                <w:sz w:val="18"/>
                <w:szCs w:val="18"/>
              </w:rPr>
            </w:pPr>
            <w:r w:rsidRPr="00980BEE">
              <w:rPr>
                <w:rFonts w:ascii="Calibri" w:eastAsia="Times New Roman" w:hAnsi="Calibri" w:cs="Calibri"/>
                <w:color w:val="000000"/>
                <w:sz w:val="18"/>
                <w:szCs w:val="18"/>
              </w:rPr>
              <w:t>[A] 5406 DimensionMembersWhichMustBeUsedToDistinguishTotalSharesIndividualShareTypesClassesHeading</w:t>
            </w:r>
          </w:p>
        </w:tc>
      </w:tr>
      <w:tr w:rsidR="00980BEE" w:rsidRPr="00980BEE" w:rsidTr="00980BEE">
        <w:trPr>
          <w:trHeight w:val="300"/>
        </w:trPr>
        <w:tc>
          <w:tcPr>
            <w:tcW w:w="9390" w:type="dxa"/>
            <w:shd w:val="clear" w:color="auto" w:fill="auto"/>
            <w:noWrap/>
            <w:vAlign w:val="bottom"/>
            <w:hideMark/>
          </w:tcPr>
          <w:p w:rsidR="00980BEE" w:rsidRPr="00980BEE" w:rsidRDefault="00980BEE" w:rsidP="00980BEE">
            <w:pPr>
              <w:rPr>
                <w:rFonts w:ascii="Calibri" w:eastAsia="Times New Roman" w:hAnsi="Calibri" w:cs="Calibri"/>
                <w:color w:val="000000"/>
                <w:sz w:val="18"/>
                <w:szCs w:val="18"/>
              </w:rPr>
            </w:pPr>
            <w:r w:rsidRPr="00980BEE">
              <w:rPr>
                <w:rFonts w:ascii="Calibri" w:eastAsia="Times New Roman" w:hAnsi="Calibri" w:cs="Calibri"/>
                <w:color w:val="000000"/>
                <w:sz w:val="18"/>
                <w:szCs w:val="18"/>
              </w:rPr>
              <w:t xml:space="preserve">[A] 5350 </w:t>
            </w:r>
            <w:proofErr w:type="spellStart"/>
            <w:r w:rsidRPr="00980BEE">
              <w:rPr>
                <w:rFonts w:ascii="Calibri" w:eastAsia="Times New Roman" w:hAnsi="Calibri" w:cs="Calibri"/>
                <w:color w:val="000000"/>
                <w:sz w:val="18"/>
                <w:szCs w:val="18"/>
              </w:rPr>
              <w:t>AllShareClassesDefault</w:t>
            </w:r>
            <w:proofErr w:type="spellEnd"/>
          </w:p>
        </w:tc>
      </w:tr>
      <w:tr w:rsidR="00980BEE" w:rsidRPr="00980BEE" w:rsidTr="00980BEE">
        <w:trPr>
          <w:trHeight w:val="300"/>
        </w:trPr>
        <w:tc>
          <w:tcPr>
            <w:tcW w:w="9390" w:type="dxa"/>
            <w:shd w:val="clear" w:color="auto" w:fill="auto"/>
            <w:noWrap/>
            <w:vAlign w:val="bottom"/>
            <w:hideMark/>
          </w:tcPr>
          <w:p w:rsidR="00980BEE" w:rsidRPr="00980BEE" w:rsidRDefault="00980BEE" w:rsidP="00980BEE">
            <w:pPr>
              <w:rPr>
                <w:rFonts w:ascii="Calibri" w:eastAsia="Times New Roman" w:hAnsi="Calibri" w:cs="Calibri"/>
                <w:color w:val="000000"/>
                <w:sz w:val="18"/>
                <w:szCs w:val="18"/>
              </w:rPr>
            </w:pPr>
            <w:r w:rsidRPr="00980BEE">
              <w:rPr>
                <w:rFonts w:ascii="Calibri" w:eastAsia="Times New Roman" w:hAnsi="Calibri" w:cs="Calibri"/>
                <w:color w:val="000000"/>
                <w:sz w:val="18"/>
                <w:szCs w:val="18"/>
              </w:rPr>
              <w:t xml:space="preserve">[A] 5348 </w:t>
            </w:r>
            <w:proofErr w:type="spellStart"/>
            <w:r w:rsidRPr="00980BEE">
              <w:rPr>
                <w:rFonts w:ascii="Calibri" w:eastAsia="Times New Roman" w:hAnsi="Calibri" w:cs="Calibri"/>
                <w:color w:val="000000"/>
                <w:sz w:val="18"/>
                <w:szCs w:val="18"/>
              </w:rPr>
              <w:t>AllOrdinaryShares</w:t>
            </w:r>
            <w:proofErr w:type="spellEnd"/>
          </w:p>
        </w:tc>
      </w:tr>
      <w:tr w:rsidR="00980BEE" w:rsidRPr="00980BEE" w:rsidTr="00980BEE">
        <w:trPr>
          <w:trHeight w:val="300"/>
        </w:trPr>
        <w:tc>
          <w:tcPr>
            <w:tcW w:w="9390" w:type="dxa"/>
            <w:shd w:val="clear" w:color="auto" w:fill="auto"/>
            <w:noWrap/>
            <w:vAlign w:val="bottom"/>
            <w:hideMark/>
          </w:tcPr>
          <w:p w:rsidR="00980BEE" w:rsidRPr="00980BEE" w:rsidRDefault="00980BEE" w:rsidP="00980BEE">
            <w:pPr>
              <w:rPr>
                <w:rFonts w:ascii="Calibri" w:eastAsia="Times New Roman" w:hAnsi="Calibri" w:cs="Calibri"/>
                <w:color w:val="000000"/>
                <w:sz w:val="18"/>
                <w:szCs w:val="18"/>
              </w:rPr>
            </w:pPr>
            <w:r w:rsidRPr="00980BEE">
              <w:rPr>
                <w:rFonts w:ascii="Calibri" w:eastAsia="Times New Roman" w:hAnsi="Calibri" w:cs="Calibri"/>
                <w:color w:val="000000"/>
                <w:sz w:val="18"/>
                <w:szCs w:val="18"/>
              </w:rPr>
              <w:t>[A] 5535 OrdinaryShareClass1</w:t>
            </w:r>
          </w:p>
        </w:tc>
      </w:tr>
    </w:tbl>
    <w:p w:rsidR="00C13EA4" w:rsidRDefault="00C13EA4" w:rsidP="00C13EA4">
      <w:pPr>
        <w:pStyle w:val="ListParagraph"/>
        <w:numPr>
          <w:ilvl w:val="0"/>
          <w:numId w:val="36"/>
        </w:numPr>
      </w:pPr>
      <w:r>
        <w:t xml:space="preserve">Abstract Elements – </w:t>
      </w:r>
      <w:r w:rsidR="00E5128C">
        <w:t xml:space="preserve">legitimate </w:t>
      </w:r>
      <w:r>
        <w:t>Headings.</w:t>
      </w:r>
    </w:p>
    <w:p w:rsidR="00993356" w:rsidRDefault="00993356" w:rsidP="00E5128C">
      <w:pPr>
        <w:pStyle w:val="ListParagraph"/>
        <w:numPr>
          <w:ilvl w:val="1"/>
          <w:numId w:val="36"/>
        </w:numPr>
      </w:pPr>
      <w:r>
        <w:t xml:space="preserve">Look for Heading </w:t>
      </w:r>
      <w:proofErr w:type="spellStart"/>
      <w:r>
        <w:t>TxIds</w:t>
      </w:r>
      <w:proofErr w:type="spellEnd"/>
      <w:r>
        <w:t xml:space="preserve"> (which will have an </w:t>
      </w:r>
      <w:r w:rsidR="00EE0858">
        <w:t>“</w:t>
      </w:r>
      <w:r>
        <w:t>[A]</w:t>
      </w:r>
      <w:r w:rsidR="00EE0858">
        <w:t>”</w:t>
      </w:r>
      <w:r>
        <w:t xml:space="preserve"> at the start and “Heading” at the end) and move them to the left to the first </w:t>
      </w:r>
      <w:proofErr w:type="spellStart"/>
      <w:proofErr w:type="gramStart"/>
      <w:r>
        <w:t>Tx</w:t>
      </w:r>
      <w:proofErr w:type="spellEnd"/>
      <w:proofErr w:type="gramEnd"/>
      <w:r>
        <w:t xml:space="preserve"> field. </w:t>
      </w:r>
    </w:p>
    <w:p w:rsidR="00993356" w:rsidRDefault="00993356" w:rsidP="00993356">
      <w:pPr>
        <w:pStyle w:val="ListParagraph"/>
        <w:numPr>
          <w:ilvl w:val="1"/>
          <w:numId w:val="36"/>
        </w:numPr>
      </w:pPr>
      <w:r>
        <w:t>Edit the name to something succinct and (where applicable) consisten</w:t>
      </w:r>
      <w:r w:rsidR="00EE0858">
        <w:t>t with any conventions already in use.</w:t>
      </w:r>
    </w:p>
    <w:p w:rsidR="00EE0858" w:rsidRDefault="00993356" w:rsidP="00EE0858">
      <w:pPr>
        <w:pStyle w:val="ListParagraph"/>
        <w:numPr>
          <w:ilvl w:val="1"/>
          <w:numId w:val="36"/>
        </w:numPr>
      </w:pPr>
      <w:r>
        <w:t xml:space="preserve">Copy this down to all </w:t>
      </w:r>
      <w:proofErr w:type="spellStart"/>
      <w:proofErr w:type="gramStart"/>
      <w:r>
        <w:t>Tx</w:t>
      </w:r>
      <w:proofErr w:type="spellEnd"/>
      <w:proofErr w:type="gramEnd"/>
      <w:r>
        <w:t xml:space="preserve"> fields below, where there is a </w:t>
      </w:r>
      <w:proofErr w:type="spellStart"/>
      <w:r>
        <w:t>TxId</w:t>
      </w:r>
      <w:proofErr w:type="spellEnd"/>
      <w:r>
        <w:t xml:space="preserve"> </w:t>
      </w:r>
      <w:r w:rsidR="0051677F">
        <w:t xml:space="preserve">field to the right. (When you encounter a </w:t>
      </w:r>
      <w:proofErr w:type="spellStart"/>
      <w:r w:rsidR="0051677F">
        <w:t>TxId</w:t>
      </w:r>
      <w:proofErr w:type="spellEnd"/>
      <w:r w:rsidR="0051677F">
        <w:t xml:space="preserve"> field in the column with no </w:t>
      </w:r>
      <w:proofErr w:type="spellStart"/>
      <w:r w:rsidR="0051677F">
        <w:t>TxId</w:t>
      </w:r>
      <w:proofErr w:type="spellEnd"/>
      <w:r w:rsidR="0051677F">
        <w:t xml:space="preserve"> in the row to the right, this means a new Name is required </w:t>
      </w:r>
      <w:r w:rsidR="00460CD3">
        <w:t xml:space="preserve">- </w:t>
      </w:r>
      <w:r w:rsidR="0051677F">
        <w:t>this will be obvious, you will see another description beginning with an “[A], or you will see a Tuple type</w:t>
      </w:r>
      <w:r w:rsidR="00EE0858">
        <w:t>)</w:t>
      </w:r>
      <w:r w:rsidR="0051677F">
        <w:t>.</w:t>
      </w:r>
    </w:p>
    <w:p w:rsidR="00E5128C" w:rsidRDefault="00E5128C" w:rsidP="00EE0858">
      <w:pPr>
        <w:pStyle w:val="ListParagraph"/>
        <w:numPr>
          <w:ilvl w:val="0"/>
          <w:numId w:val="36"/>
        </w:numPr>
      </w:pPr>
      <w:r>
        <w:t>Tuples</w:t>
      </w:r>
    </w:p>
    <w:p w:rsidR="00E5128C" w:rsidRDefault="00E5128C" w:rsidP="00E5128C">
      <w:pPr>
        <w:pStyle w:val="ListParagraph"/>
        <w:numPr>
          <w:ilvl w:val="1"/>
          <w:numId w:val="36"/>
        </w:numPr>
      </w:pPr>
      <w:r>
        <w:t>Recognition – The description will be in the wrong column of Period Type, and will end with “Grouping”.</w:t>
      </w:r>
    </w:p>
    <w:p w:rsidR="00E5128C" w:rsidRDefault="00E5128C" w:rsidP="00E5128C">
      <w:pPr>
        <w:pStyle w:val="ListParagraph"/>
        <w:numPr>
          <w:ilvl w:val="1"/>
          <w:numId w:val="36"/>
        </w:numPr>
      </w:pPr>
      <w:r>
        <w:t>Actions</w:t>
      </w:r>
    </w:p>
    <w:p w:rsidR="00E5128C" w:rsidRDefault="00A305BD" w:rsidP="00E5128C">
      <w:pPr>
        <w:pStyle w:val="ListParagraph"/>
        <w:numPr>
          <w:ilvl w:val="2"/>
          <w:numId w:val="36"/>
        </w:numPr>
      </w:pPr>
      <w:r w:rsidRPr="00A305BD">
        <w:rPr>
          <w:b/>
        </w:rPr>
        <w:t>Copy</w:t>
      </w:r>
      <w:r w:rsidR="00E5128C">
        <w:t xml:space="preserve"> this across and edit as with Abstract Headings.</w:t>
      </w:r>
    </w:p>
    <w:p w:rsidR="00E5128C" w:rsidRDefault="00E5128C" w:rsidP="00E5128C">
      <w:pPr>
        <w:pStyle w:val="ListParagraph"/>
        <w:numPr>
          <w:ilvl w:val="2"/>
          <w:numId w:val="36"/>
        </w:numPr>
      </w:pPr>
      <w:r>
        <w:t xml:space="preserve">Copy down the </w:t>
      </w:r>
      <w:proofErr w:type="spellStart"/>
      <w:proofErr w:type="gramStart"/>
      <w:r>
        <w:t>Tx</w:t>
      </w:r>
      <w:proofErr w:type="spellEnd"/>
      <w:proofErr w:type="gramEnd"/>
      <w:r>
        <w:t xml:space="preserve"> columns below, following same rules as Abstract Headings.</w:t>
      </w:r>
    </w:p>
    <w:p w:rsidR="00E5128C" w:rsidRDefault="00E5128C" w:rsidP="00E5128C">
      <w:pPr>
        <w:pStyle w:val="ListParagraph"/>
        <w:numPr>
          <w:ilvl w:val="2"/>
          <w:numId w:val="36"/>
        </w:numPr>
      </w:pPr>
      <w:r>
        <w:t>Delete the Concrete value on the Tuple line</w:t>
      </w:r>
    </w:p>
    <w:p w:rsidR="00A305BD" w:rsidRDefault="00A305BD" w:rsidP="00E5128C">
      <w:pPr>
        <w:pStyle w:val="ListParagraph"/>
        <w:numPr>
          <w:ilvl w:val="2"/>
          <w:numId w:val="36"/>
        </w:numPr>
      </w:pPr>
      <w:r>
        <w:t>Move the original description to align with the other descriptions</w:t>
      </w:r>
    </w:p>
    <w:p w:rsidR="00A305BD" w:rsidRDefault="00A305BD" w:rsidP="00E5128C">
      <w:pPr>
        <w:pStyle w:val="ListParagraph"/>
        <w:numPr>
          <w:ilvl w:val="2"/>
          <w:numId w:val="36"/>
        </w:numPr>
      </w:pPr>
      <w:r>
        <w:t>Cut and paste the Tuple value to the end of the description (this is just done for ease of reference)</w:t>
      </w:r>
    </w:p>
    <w:p w:rsidR="00A305BD" w:rsidRDefault="00A305BD" w:rsidP="00E5128C">
      <w:pPr>
        <w:pStyle w:val="ListParagraph"/>
        <w:numPr>
          <w:ilvl w:val="2"/>
          <w:numId w:val="36"/>
        </w:numPr>
      </w:pPr>
      <w:r>
        <w:t xml:space="preserve">Do the cut and paste for second and subsequent tuple values; these will be shown in </w:t>
      </w:r>
      <w:r w:rsidR="00460CD3">
        <w:t xml:space="preserve">a shortened </w:t>
      </w:r>
      <w:r>
        <w:t xml:space="preserve">form </w:t>
      </w:r>
      <w:r w:rsidR="00460CD3">
        <w:t>e.g.</w:t>
      </w:r>
      <w:r>
        <w:t xml:space="preserve"> [T 19] rather than [Tuple 19]</w:t>
      </w:r>
    </w:p>
    <w:p w:rsidR="00304BFC" w:rsidRDefault="00304BFC" w:rsidP="00304BFC">
      <w:pPr>
        <w:pStyle w:val="ListParagraph"/>
        <w:numPr>
          <w:ilvl w:val="0"/>
          <w:numId w:val="36"/>
        </w:numPr>
      </w:pPr>
      <w:r>
        <w:t xml:space="preserve">Moving columns: At this point, the column numbers and order from the BRO Prep Lookup will </w:t>
      </w:r>
      <w:r w:rsidR="00807179">
        <w:t>still</w:t>
      </w:r>
      <w:r>
        <w:t xml:space="preserve"> not match the order in </w:t>
      </w:r>
      <w:r w:rsidR="00807179">
        <w:t>BROSUK-GAAP. For the most part it is obvious what needs to be moved where and what can also be deleted.</w:t>
      </w:r>
    </w:p>
    <w:p w:rsidR="00807179" w:rsidRDefault="00807179" w:rsidP="00807179">
      <w:pPr>
        <w:pStyle w:val="ListParagraph"/>
        <w:numPr>
          <w:ilvl w:val="1"/>
          <w:numId w:val="36"/>
        </w:numPr>
      </w:pPr>
      <w:r>
        <w:t xml:space="preserve">It is necessary to move the columns to the right at this stage to leave the columns N1 to N8 only containing legitimate data. Otherwise when you come to calculate what Type (Set or </w:t>
      </w:r>
      <w:proofErr w:type="spellStart"/>
      <w:r>
        <w:t>Ele</w:t>
      </w:r>
      <w:proofErr w:type="spellEnd"/>
      <w:r>
        <w:t>) applies to each row, the blank cell check will be inaccurate.</w:t>
      </w:r>
    </w:p>
    <w:p w:rsidR="00807179" w:rsidRDefault="00871EDB" w:rsidP="00807179">
      <w:pPr>
        <w:pStyle w:val="ListParagraph"/>
        <w:numPr>
          <w:ilvl w:val="1"/>
          <w:numId w:val="36"/>
        </w:numPr>
      </w:pPr>
      <w:r w:rsidRPr="00871EDB">
        <w:rPr>
          <w:b/>
        </w:rPr>
        <w:lastRenderedPageBreak/>
        <w:t>Period Type</w:t>
      </w:r>
      <w:r>
        <w:t xml:space="preserve"> (no column header). </w:t>
      </w:r>
      <w:r w:rsidR="00807179">
        <w:t xml:space="preserve">The contents column filled </w:t>
      </w:r>
      <w:r w:rsidR="00807179" w:rsidRPr="00871EDB">
        <w:rPr>
          <w:b/>
        </w:rPr>
        <w:t>Instant</w:t>
      </w:r>
      <w:r w:rsidR="00807179">
        <w:t xml:space="preserve"> and </w:t>
      </w:r>
      <w:r w:rsidR="00807179" w:rsidRPr="00871EDB">
        <w:rPr>
          <w:b/>
        </w:rPr>
        <w:t>Duration</w:t>
      </w:r>
      <w:r w:rsidR="00807179">
        <w:t xml:space="preserve"> can be cleared as long as there is no other text in any of the cells (blanks can be ignored).</w:t>
      </w:r>
      <w:r>
        <w:t xml:space="preserve"> This is one of the columns re-created by a </w:t>
      </w:r>
      <w:proofErr w:type="spellStart"/>
      <w:r>
        <w:t>Braiins</w:t>
      </w:r>
      <w:proofErr w:type="spellEnd"/>
      <w:r>
        <w:t xml:space="preserve"> import.</w:t>
      </w:r>
    </w:p>
    <w:p w:rsidR="009D0558" w:rsidRDefault="00871EDB" w:rsidP="00807179">
      <w:pPr>
        <w:pStyle w:val="ListParagraph"/>
        <w:numPr>
          <w:ilvl w:val="1"/>
          <w:numId w:val="36"/>
        </w:numPr>
      </w:pPr>
      <w:proofErr w:type="spellStart"/>
      <w:r w:rsidRPr="00871EDB">
        <w:rPr>
          <w:b/>
        </w:rPr>
        <w:t>StartEnd</w:t>
      </w:r>
      <w:proofErr w:type="spellEnd"/>
      <w:r w:rsidRPr="00871EDB">
        <w:rPr>
          <w:b/>
        </w:rPr>
        <w:t xml:space="preserve"> column</w:t>
      </w:r>
      <w:r>
        <w:t xml:space="preserve">. </w:t>
      </w:r>
      <w:r w:rsidR="009D0558">
        <w:t>The contents of column containing [Start Label], [End Label] or [</w:t>
      </w:r>
      <w:proofErr w:type="spellStart"/>
      <w:r w:rsidR="009D0558">
        <w:t>StartEnd</w:t>
      </w:r>
      <w:proofErr w:type="spellEnd"/>
      <w:r w:rsidR="009D0558">
        <w:t xml:space="preserve">] can be moved across to the </w:t>
      </w:r>
      <w:proofErr w:type="spellStart"/>
      <w:r w:rsidR="009D0558">
        <w:t>StartEnd</w:t>
      </w:r>
      <w:proofErr w:type="spellEnd"/>
      <w:r w:rsidR="009D0558">
        <w:t xml:space="preserve"> column (Col AF)</w:t>
      </w:r>
      <w:r w:rsidR="009D0558" w:rsidRPr="009D0558">
        <w:t xml:space="preserve"> </w:t>
      </w:r>
      <w:r w:rsidR="009D0558">
        <w:rPr>
          <w:i/>
          <w:sz w:val="20"/>
          <w:szCs w:val="20"/>
        </w:rPr>
        <w:t>(I</w:t>
      </w:r>
      <w:r w:rsidR="009D0558" w:rsidRPr="009D0558">
        <w:rPr>
          <w:i/>
          <w:sz w:val="20"/>
          <w:szCs w:val="20"/>
        </w:rPr>
        <w:t>n due course, you will need to enter the app</w:t>
      </w:r>
      <w:r w:rsidR="009D0558">
        <w:rPr>
          <w:i/>
          <w:sz w:val="20"/>
          <w:szCs w:val="20"/>
        </w:rPr>
        <w:t xml:space="preserve">ropriate command and </w:t>
      </w:r>
      <w:proofErr w:type="spellStart"/>
      <w:r w:rsidR="009D0558">
        <w:rPr>
          <w:i/>
          <w:sz w:val="20"/>
          <w:szCs w:val="20"/>
        </w:rPr>
        <w:t>TxId</w:t>
      </w:r>
      <w:proofErr w:type="spellEnd"/>
      <w:r w:rsidR="009D0558">
        <w:rPr>
          <w:i/>
          <w:sz w:val="20"/>
          <w:szCs w:val="20"/>
        </w:rPr>
        <w:t xml:space="preserve"> value, but this is</w:t>
      </w:r>
      <w:r w:rsidR="009D0558" w:rsidRPr="009D0558">
        <w:rPr>
          <w:i/>
          <w:sz w:val="20"/>
          <w:szCs w:val="20"/>
        </w:rPr>
        <w:t xml:space="preserve"> beyond scope of this section)</w:t>
      </w:r>
      <w:r w:rsidR="009D0558">
        <w:t>.</w:t>
      </w:r>
    </w:p>
    <w:p w:rsidR="00807179" w:rsidRDefault="009D0558" w:rsidP="00807179">
      <w:pPr>
        <w:pStyle w:val="ListParagraph"/>
        <w:numPr>
          <w:ilvl w:val="1"/>
          <w:numId w:val="36"/>
        </w:numPr>
      </w:pPr>
      <w:r>
        <w:t>U</w:t>
      </w:r>
      <w:r w:rsidR="00807179">
        <w:t xml:space="preserve">ltimately we want to put the </w:t>
      </w:r>
      <w:r w:rsidR="00D647CD">
        <w:t>column contain</w:t>
      </w:r>
      <w:r w:rsidR="00871EDB">
        <w:t>ing</w:t>
      </w:r>
      <w:r w:rsidR="00D647CD">
        <w:t xml:space="preserve"> Taxonomy Names in to the </w:t>
      </w:r>
      <w:proofErr w:type="spellStart"/>
      <w:r w:rsidR="00D647CD" w:rsidRPr="00871EDB">
        <w:rPr>
          <w:b/>
        </w:rPr>
        <w:t>Descr</w:t>
      </w:r>
      <w:proofErr w:type="spellEnd"/>
      <w:r w:rsidR="00D647CD">
        <w:t xml:space="preserve"> column; but this will be out of view on even the largest screen which is a nuisance if one is dealing with BRO Dimensions; where visual confirmation is very useful.</w:t>
      </w:r>
    </w:p>
    <w:p w:rsidR="00D647CD" w:rsidRDefault="00D647CD" w:rsidP="00D647CD">
      <w:pPr>
        <w:pStyle w:val="ListParagraph"/>
        <w:numPr>
          <w:ilvl w:val="2"/>
          <w:numId w:val="36"/>
        </w:numPr>
      </w:pPr>
      <w:r>
        <w:t xml:space="preserve">If </w:t>
      </w:r>
      <w:r w:rsidR="009D0558">
        <w:t xml:space="preserve">there are </w:t>
      </w:r>
      <w:r>
        <w:t xml:space="preserve">no BRO Dimensions to deal with, move contents straight to </w:t>
      </w:r>
      <w:proofErr w:type="spellStart"/>
      <w:r>
        <w:t>Descr</w:t>
      </w:r>
      <w:proofErr w:type="spellEnd"/>
      <w:r>
        <w:t xml:space="preserve"> column (Col AJ)</w:t>
      </w:r>
    </w:p>
    <w:p w:rsidR="00D647CD" w:rsidRDefault="00D647CD" w:rsidP="00D647CD">
      <w:pPr>
        <w:pStyle w:val="ListParagraph"/>
        <w:numPr>
          <w:ilvl w:val="2"/>
          <w:numId w:val="36"/>
        </w:numPr>
      </w:pPr>
      <w:r>
        <w:t xml:space="preserve">If there are BRO Dimensions to deal with, move contents temporarily to the BD column (Col O), since this column is never needed at this stage. It is completed within </w:t>
      </w:r>
      <w:proofErr w:type="spellStart"/>
      <w:r w:rsidR="00871EDB">
        <w:t>Braiins</w:t>
      </w:r>
      <w:proofErr w:type="spellEnd"/>
      <w:r>
        <w:t xml:space="preserve"> as part of the </w:t>
      </w:r>
      <w:r w:rsidRPr="00D647CD">
        <w:rPr>
          <w:b/>
          <w:i/>
          <w:sz w:val="20"/>
          <w:szCs w:val="20"/>
        </w:rPr>
        <w:t xml:space="preserve">Build Bro, Tuple &amp; Zone </w:t>
      </w:r>
      <w:proofErr w:type="spellStart"/>
      <w:r w:rsidRPr="00D647CD">
        <w:rPr>
          <w:b/>
          <w:i/>
          <w:sz w:val="20"/>
          <w:szCs w:val="20"/>
        </w:rPr>
        <w:t>Structs</w:t>
      </w:r>
      <w:proofErr w:type="spellEnd"/>
      <w:r>
        <w:t xml:space="preserve"> action.</w:t>
      </w:r>
      <w:r w:rsidR="006153E3">
        <w:t xml:space="preserve"> Since currently BD column is likely to have other stuff in it, most likely Data Type information, best to move contents of the five columns starting at BD three columns to the right. This will correctly align Data Type and Sign. Then just move what will </w:t>
      </w:r>
      <w:r w:rsidR="009D0558">
        <w:t xml:space="preserve">now </w:t>
      </w:r>
      <w:r w:rsidR="006153E3">
        <w:t>be the contents of the RO column back across to the BD column.</w:t>
      </w:r>
    </w:p>
    <w:p w:rsidR="006153E3" w:rsidRDefault="006153E3" w:rsidP="00D647CD">
      <w:pPr>
        <w:pStyle w:val="ListParagraph"/>
        <w:numPr>
          <w:ilvl w:val="1"/>
          <w:numId w:val="36"/>
        </w:numPr>
      </w:pPr>
      <w:proofErr w:type="spellStart"/>
      <w:r w:rsidRPr="00871EDB">
        <w:rPr>
          <w:b/>
        </w:rPr>
        <w:t>TxIds</w:t>
      </w:r>
      <w:proofErr w:type="spellEnd"/>
      <w:r>
        <w:t xml:space="preserve"> – the [C] part of the </w:t>
      </w:r>
      <w:proofErr w:type="spellStart"/>
      <w:r>
        <w:t>TxIds</w:t>
      </w:r>
      <w:proofErr w:type="spellEnd"/>
      <w:r>
        <w:t xml:space="preserve"> can be removed, and contents moved across to the </w:t>
      </w:r>
      <w:proofErr w:type="spellStart"/>
      <w:r>
        <w:t>TxId</w:t>
      </w:r>
      <w:proofErr w:type="spellEnd"/>
      <w:r>
        <w:t xml:space="preserve"> column.</w:t>
      </w:r>
    </w:p>
    <w:p w:rsidR="00D647CD" w:rsidRDefault="006153E3" w:rsidP="00D647CD">
      <w:pPr>
        <w:pStyle w:val="ListParagraph"/>
        <w:numPr>
          <w:ilvl w:val="1"/>
          <w:numId w:val="36"/>
        </w:numPr>
      </w:pPr>
      <w:proofErr w:type="spellStart"/>
      <w:r w:rsidRPr="00871EDB">
        <w:rPr>
          <w:b/>
        </w:rPr>
        <w:t>HyIds</w:t>
      </w:r>
      <w:proofErr w:type="spellEnd"/>
      <w:r>
        <w:t xml:space="preserve"> – these can be moved across to the </w:t>
      </w:r>
      <w:proofErr w:type="spellStart"/>
      <w:r>
        <w:t>HyId</w:t>
      </w:r>
      <w:proofErr w:type="spellEnd"/>
      <w:r>
        <w:t xml:space="preserve"> column.</w:t>
      </w:r>
      <w:r w:rsidR="00D647CD">
        <w:t xml:space="preserve"> </w:t>
      </w:r>
    </w:p>
    <w:p w:rsidR="005558C0" w:rsidRDefault="005558C0" w:rsidP="00871EDB">
      <w:pPr>
        <w:pStyle w:val="ListParagraph"/>
        <w:numPr>
          <w:ilvl w:val="1"/>
          <w:numId w:val="36"/>
        </w:numPr>
      </w:pPr>
      <w:proofErr w:type="spellStart"/>
      <w:r w:rsidRPr="00871EDB">
        <w:rPr>
          <w:b/>
        </w:rPr>
        <w:t>StartEnd</w:t>
      </w:r>
      <w:proofErr w:type="spellEnd"/>
      <w:r>
        <w:t xml:space="preserve">. These need moving across to the </w:t>
      </w:r>
      <w:proofErr w:type="spellStart"/>
      <w:r>
        <w:t>StartEnd</w:t>
      </w:r>
      <w:proofErr w:type="spellEnd"/>
      <w:r>
        <w:t xml:space="preserve"> column. </w:t>
      </w:r>
    </w:p>
    <w:p w:rsidR="00D01E7A" w:rsidRPr="00D01E7A" w:rsidRDefault="00871EDB" w:rsidP="00D01E7A">
      <w:pPr>
        <w:pStyle w:val="ListParagraph"/>
        <w:numPr>
          <w:ilvl w:val="0"/>
          <w:numId w:val="36"/>
        </w:numPr>
      </w:pPr>
      <w:bookmarkStart w:id="12" w:name="_Ref323822346"/>
      <w:r w:rsidRPr="00871EDB">
        <w:rPr>
          <w:b/>
        </w:rPr>
        <w:t>Filling in fields</w:t>
      </w:r>
      <w:r>
        <w:t>:</w:t>
      </w:r>
      <w:bookmarkEnd w:id="12"/>
    </w:p>
    <w:p w:rsidR="00983C0B" w:rsidRPr="00FD409A" w:rsidRDefault="00983C0B" w:rsidP="00D01E7A">
      <w:pPr>
        <w:pStyle w:val="ListParagraph"/>
        <w:numPr>
          <w:ilvl w:val="1"/>
          <w:numId w:val="36"/>
        </w:numPr>
      </w:pPr>
      <w:r w:rsidRPr="00983C0B">
        <w:rPr>
          <w:b/>
        </w:rPr>
        <w:t>Data Type</w:t>
      </w:r>
      <w:r>
        <w:t xml:space="preserve"> – Check that there are no blank fields. These wil</w:t>
      </w:r>
      <w:r w:rsidR="00D01E7A">
        <w:t>l</w:t>
      </w:r>
      <w:r>
        <w:t xml:space="preserve"> have arisen when setting up Abstracts and Tuples, and are non </w:t>
      </w:r>
      <w:proofErr w:type="spellStart"/>
      <w:r>
        <w:t>TxId</w:t>
      </w:r>
      <w:proofErr w:type="spellEnd"/>
      <w:r>
        <w:t xml:space="preserve"> BROS. But th</w:t>
      </w:r>
      <w:r w:rsidR="00D01E7A">
        <w:t>ey</w:t>
      </w:r>
      <w:r>
        <w:t xml:space="preserve"> still need to have a Data Type. Most commonly this will be “Money”</w:t>
      </w:r>
      <w:r w:rsidR="00D01E7A">
        <w:t>. Best way to check is to look at rows immediately below. Copy “Data Type” and “sign” (where applicable. Do not copy “</w:t>
      </w:r>
      <w:proofErr w:type="spellStart"/>
      <w:r w:rsidR="00D01E7A">
        <w:t>HyId</w:t>
      </w:r>
      <w:proofErr w:type="spellEnd"/>
      <w:r w:rsidR="00D01E7A">
        <w:t>” and “</w:t>
      </w:r>
      <w:proofErr w:type="spellStart"/>
      <w:r w:rsidR="00D01E7A">
        <w:t>Excl</w:t>
      </w:r>
      <w:proofErr w:type="spellEnd"/>
      <w:r w:rsidR="00D01E7A">
        <w:t xml:space="preserve"> Dims” fields since these never apply to non </w:t>
      </w:r>
      <w:proofErr w:type="spellStart"/>
      <w:r w:rsidR="00D01E7A">
        <w:t>TxId</w:t>
      </w:r>
      <w:proofErr w:type="spellEnd"/>
      <w:r w:rsidR="00D01E7A">
        <w:t xml:space="preserve"> </w:t>
      </w:r>
      <w:proofErr w:type="spellStart"/>
      <w:proofErr w:type="gramStart"/>
      <w:r w:rsidR="00D01E7A">
        <w:t>BROs.</w:t>
      </w:r>
      <w:proofErr w:type="spellEnd"/>
      <w:proofErr w:type="gramEnd"/>
    </w:p>
    <w:p w:rsidR="005558C0" w:rsidRDefault="00DA3FB3" w:rsidP="00871EDB">
      <w:pPr>
        <w:pStyle w:val="ListParagraph"/>
        <w:numPr>
          <w:ilvl w:val="1"/>
          <w:numId w:val="36"/>
        </w:numPr>
      </w:pPr>
      <w:r w:rsidRPr="00DA3FB3">
        <w:rPr>
          <w:b/>
        </w:rPr>
        <w:t>Acct Types</w:t>
      </w:r>
      <w:r>
        <w:t xml:space="preserve">. This will typically be BS, PL, CF. </w:t>
      </w:r>
      <w:proofErr w:type="gramStart"/>
      <w:r>
        <w:t>Although</w:t>
      </w:r>
      <w:proofErr w:type="gramEnd"/>
      <w:r>
        <w:t xml:space="preserve"> not an active field, it is a useful visual indicator.</w:t>
      </w:r>
      <w:r w:rsidR="00BA155A">
        <w:t xml:space="preserve"> It applies to all Data Types.</w:t>
      </w:r>
    </w:p>
    <w:p w:rsidR="00DA3FB3" w:rsidRDefault="00DA3FB3" w:rsidP="00871EDB">
      <w:pPr>
        <w:pStyle w:val="ListParagraph"/>
        <w:numPr>
          <w:ilvl w:val="1"/>
          <w:numId w:val="36"/>
        </w:numPr>
      </w:pPr>
      <w:r w:rsidRPr="00DA3FB3">
        <w:rPr>
          <w:b/>
        </w:rPr>
        <w:t>Post Type</w:t>
      </w:r>
      <w:r>
        <w:t xml:space="preserve">. There are three possible values, DE, </w:t>
      </w:r>
      <w:proofErr w:type="spellStart"/>
      <w:r>
        <w:t>Sch</w:t>
      </w:r>
      <w:proofErr w:type="spellEnd"/>
      <w:r>
        <w:t xml:space="preserve"> or left blank. </w:t>
      </w:r>
      <w:r w:rsidRPr="00FD409A">
        <w:rPr>
          <w:b/>
          <w:i/>
        </w:rPr>
        <w:t xml:space="preserve">DE and </w:t>
      </w:r>
      <w:proofErr w:type="spellStart"/>
      <w:r w:rsidRPr="00FD409A">
        <w:rPr>
          <w:b/>
          <w:i/>
        </w:rPr>
        <w:t>Sch</w:t>
      </w:r>
      <w:proofErr w:type="spellEnd"/>
      <w:r w:rsidRPr="00FD409A">
        <w:rPr>
          <w:b/>
          <w:i/>
        </w:rPr>
        <w:t xml:space="preserve"> only </w:t>
      </w:r>
      <w:r w:rsidR="00FD409A" w:rsidRPr="00FD409A">
        <w:rPr>
          <w:b/>
          <w:i/>
        </w:rPr>
        <w:t>apply</w:t>
      </w:r>
      <w:r w:rsidRPr="00FD409A">
        <w:rPr>
          <w:b/>
          <w:i/>
        </w:rPr>
        <w:t xml:space="preserve"> to Money type</w:t>
      </w:r>
      <w:r w:rsidR="00FD409A">
        <w:t xml:space="preserve"> </w:t>
      </w:r>
      <w:r>
        <w:t xml:space="preserve">values. </w:t>
      </w:r>
      <w:r w:rsidR="00FD409A">
        <w:t>It differentiates what is considered part of the Double Entry (and therefore part of the Trial Balance), and what is considered supporting schedules, which will be related back to DE figures as appropriate.</w:t>
      </w:r>
    </w:p>
    <w:p w:rsidR="00FD409A" w:rsidRDefault="00FD409A" w:rsidP="00871EDB">
      <w:pPr>
        <w:pStyle w:val="ListParagraph"/>
        <w:numPr>
          <w:ilvl w:val="1"/>
          <w:numId w:val="36"/>
        </w:numPr>
      </w:pPr>
      <w:proofErr w:type="spellStart"/>
      <w:r>
        <w:rPr>
          <w:b/>
        </w:rPr>
        <w:t>Excl</w:t>
      </w:r>
      <w:proofErr w:type="spellEnd"/>
      <w:r>
        <w:rPr>
          <w:b/>
        </w:rPr>
        <w:t xml:space="preserve"> Dims. </w:t>
      </w:r>
      <w:r w:rsidRPr="00FD409A">
        <w:t xml:space="preserve">What needs to be entered here will depend on the nature of the </w:t>
      </w:r>
      <w:proofErr w:type="spellStart"/>
      <w:r w:rsidRPr="00FD409A">
        <w:rPr>
          <w:b/>
        </w:rPr>
        <w:t>HyId</w:t>
      </w:r>
      <w:proofErr w:type="spellEnd"/>
      <w:r w:rsidRPr="00FD409A">
        <w:t xml:space="preserve"> in use, and what if any BRO Dimensions are active.</w:t>
      </w:r>
      <w:r>
        <w:t xml:space="preserve"> Some common scenarios are:</w:t>
      </w:r>
    </w:p>
    <w:p w:rsidR="00FD409A" w:rsidRDefault="00FD409A" w:rsidP="00871EDB">
      <w:pPr>
        <w:pStyle w:val="ListParagraph"/>
        <w:numPr>
          <w:ilvl w:val="2"/>
          <w:numId w:val="36"/>
        </w:numPr>
      </w:pPr>
      <w:proofErr w:type="spellStart"/>
      <w:r w:rsidRPr="00EF0D39">
        <w:t>HyId</w:t>
      </w:r>
      <w:proofErr w:type="spellEnd"/>
      <w:r w:rsidRPr="00EF0D39">
        <w:t xml:space="preserve"> which allows BRO Dims, but not none used</w:t>
      </w:r>
      <w:r>
        <w:rPr>
          <w:b/>
        </w:rPr>
        <w:t xml:space="preserve"> –</w:t>
      </w:r>
      <w:r>
        <w:t xml:space="preserve"> enter </w:t>
      </w:r>
      <w:r w:rsidRPr="00FD409A">
        <w:t>43,44</w:t>
      </w:r>
    </w:p>
    <w:p w:rsidR="00EF0D39" w:rsidRDefault="00EF0D39" w:rsidP="00871EDB">
      <w:pPr>
        <w:pStyle w:val="ListParagraph"/>
        <w:numPr>
          <w:ilvl w:val="2"/>
          <w:numId w:val="36"/>
        </w:numPr>
      </w:pPr>
      <w:proofErr w:type="spellStart"/>
      <w:r w:rsidRPr="00EF0D39">
        <w:t>HyId</w:t>
      </w:r>
      <w:proofErr w:type="spellEnd"/>
      <w:r w:rsidRPr="00EF0D39">
        <w:t xml:space="preserve"> which allows BRO Dims, </w:t>
      </w:r>
      <w:r>
        <w:t xml:space="preserve">Dim Function in use </w:t>
      </w:r>
      <w:r>
        <w:rPr>
          <w:b/>
        </w:rPr>
        <w:t>–</w:t>
      </w:r>
      <w:r>
        <w:t xml:space="preserve"> enter </w:t>
      </w:r>
      <w:r w:rsidRPr="00FD409A">
        <w:t>44</w:t>
      </w:r>
    </w:p>
    <w:p w:rsidR="00EF0D39" w:rsidRDefault="00EF0D39" w:rsidP="00871EDB">
      <w:pPr>
        <w:pStyle w:val="ListParagraph"/>
        <w:numPr>
          <w:ilvl w:val="2"/>
          <w:numId w:val="36"/>
        </w:numPr>
      </w:pPr>
      <w:proofErr w:type="spellStart"/>
      <w:r w:rsidRPr="00EF0D39">
        <w:t>HyId</w:t>
      </w:r>
      <w:proofErr w:type="spellEnd"/>
      <w:r w:rsidRPr="00EF0D39">
        <w:t xml:space="preserve"> which allows BRO Dims, </w:t>
      </w:r>
      <w:r>
        <w:t>Dim Ageing in use</w:t>
      </w:r>
      <w:r>
        <w:rPr>
          <w:b/>
        </w:rPr>
        <w:t xml:space="preserve"> –</w:t>
      </w:r>
      <w:r>
        <w:t xml:space="preserve"> enter </w:t>
      </w:r>
      <w:r w:rsidRPr="00FD409A">
        <w:t>43</w:t>
      </w:r>
    </w:p>
    <w:p w:rsidR="00EF0D39" w:rsidRDefault="00EF0D39" w:rsidP="00871EDB">
      <w:pPr>
        <w:pStyle w:val="ListParagraph"/>
        <w:numPr>
          <w:ilvl w:val="2"/>
          <w:numId w:val="36"/>
        </w:numPr>
      </w:pPr>
      <w:r>
        <w:t xml:space="preserve">Any other type of </w:t>
      </w:r>
      <w:proofErr w:type="spellStart"/>
      <w:r>
        <w:t>HyId</w:t>
      </w:r>
      <w:proofErr w:type="spellEnd"/>
      <w:r>
        <w:t xml:space="preserve"> – leave blank (there are some rare exceptions to this rule).</w:t>
      </w:r>
    </w:p>
    <w:p w:rsidR="001252C3" w:rsidRDefault="001252C3" w:rsidP="00871EDB">
      <w:pPr>
        <w:pStyle w:val="ListParagraph"/>
        <w:numPr>
          <w:ilvl w:val="1"/>
          <w:numId w:val="36"/>
        </w:numPr>
      </w:pPr>
      <w:r w:rsidRPr="001252C3">
        <w:rPr>
          <w:b/>
        </w:rPr>
        <w:t>Except</w:t>
      </w:r>
      <w:r>
        <w:t>. This will always be left blank unless the this BRO is an exceptional item (and meets other criteria – see BROS.docx)</w:t>
      </w:r>
    </w:p>
    <w:p w:rsidR="001252C3" w:rsidRDefault="001252C3" w:rsidP="00871EDB">
      <w:pPr>
        <w:pStyle w:val="ListParagraph"/>
        <w:numPr>
          <w:ilvl w:val="1"/>
          <w:numId w:val="36"/>
        </w:numPr>
      </w:pPr>
      <w:r w:rsidRPr="001252C3">
        <w:rPr>
          <w:b/>
        </w:rPr>
        <w:t>Sum Up</w:t>
      </w:r>
      <w:r>
        <w:t xml:space="preserve">. This will either be “No”, “+” or “NA”. </w:t>
      </w:r>
      <w:r w:rsidR="005403E6">
        <w:t xml:space="preserve">You may want to manually enter “No” for some BROS that you do not want totalled back up the tree. For any others, at </w:t>
      </w:r>
      <w:r>
        <w:t>this stage</w:t>
      </w:r>
      <w:r w:rsidR="005403E6">
        <w:t xml:space="preserve"> </w:t>
      </w:r>
      <w:r>
        <w:t>it</w:t>
      </w:r>
      <w:r w:rsidR="005403E6">
        <w:t xml:space="preserve"> is</w:t>
      </w:r>
      <w:r>
        <w:t xml:space="preserve"> quicker to leave </w:t>
      </w:r>
      <w:r w:rsidR="005403E6">
        <w:t xml:space="preserve">them </w:t>
      </w:r>
      <w:r>
        <w:t>blank and do a BRAIINS Import. Th</w:t>
      </w:r>
      <w:r w:rsidR="005403E6">
        <w:t>e error report will quickly identify any that need adjusting, and why.</w:t>
      </w:r>
    </w:p>
    <w:p w:rsidR="005403E6" w:rsidRDefault="005403E6" w:rsidP="00871EDB">
      <w:pPr>
        <w:pStyle w:val="ListParagraph"/>
        <w:numPr>
          <w:ilvl w:val="1"/>
          <w:numId w:val="36"/>
        </w:numPr>
      </w:pPr>
      <w:r>
        <w:rPr>
          <w:b/>
        </w:rPr>
        <w:t>Context</w:t>
      </w:r>
      <w:r w:rsidRPr="005403E6">
        <w:t>.</w:t>
      </w:r>
      <w:r>
        <w:t xml:space="preserve"> The only entry normally needed to be entered on an Import is Period.  This applies </w:t>
      </w:r>
      <w:r w:rsidR="00D90BAA">
        <w:t xml:space="preserve">all </w:t>
      </w:r>
      <w:proofErr w:type="spellStart"/>
      <w:r>
        <w:t>TxId</w:t>
      </w:r>
      <w:proofErr w:type="spellEnd"/>
      <w:r>
        <w:t xml:space="preserve"> BROS</w:t>
      </w:r>
      <w:r w:rsidR="00206191">
        <w:t xml:space="preserve"> that are not part of a BRO Dimension (other than at the total level)</w:t>
      </w:r>
      <w:r>
        <w:t xml:space="preserve">. So a quick way to complete </w:t>
      </w:r>
      <w:r w:rsidR="00D351C2">
        <w:t>them is:</w:t>
      </w:r>
    </w:p>
    <w:p w:rsidR="00D351C2" w:rsidRDefault="00D351C2" w:rsidP="00D90BAA">
      <w:pPr>
        <w:pStyle w:val="ListParagraph"/>
        <w:numPr>
          <w:ilvl w:val="2"/>
          <w:numId w:val="36"/>
        </w:numPr>
      </w:pPr>
      <w:r>
        <w:rPr>
          <w:b/>
        </w:rPr>
        <w:t xml:space="preserve">Filter on </w:t>
      </w:r>
      <w:proofErr w:type="spellStart"/>
      <w:r>
        <w:rPr>
          <w:b/>
        </w:rPr>
        <w:t>TxId</w:t>
      </w:r>
      <w:proofErr w:type="spellEnd"/>
      <w:r>
        <w:rPr>
          <w:b/>
        </w:rPr>
        <w:t xml:space="preserve"> </w:t>
      </w:r>
      <w:r>
        <w:t xml:space="preserve">– </w:t>
      </w:r>
      <w:r w:rsidR="00B93433">
        <w:t xml:space="preserve">Un-tick </w:t>
      </w:r>
      <w:r w:rsidRPr="00B93433">
        <w:rPr>
          <w:b/>
          <w:i/>
        </w:rPr>
        <w:t>Blank</w:t>
      </w:r>
    </w:p>
    <w:p w:rsidR="00D351C2" w:rsidRDefault="00D351C2" w:rsidP="00D90BAA">
      <w:pPr>
        <w:pStyle w:val="ListParagraph"/>
        <w:numPr>
          <w:ilvl w:val="2"/>
          <w:numId w:val="36"/>
        </w:numPr>
      </w:pPr>
      <w:r>
        <w:rPr>
          <w:b/>
        </w:rPr>
        <w:t xml:space="preserve">Filter on </w:t>
      </w:r>
      <w:r w:rsidR="00D90BAA">
        <w:rPr>
          <w:b/>
        </w:rPr>
        <w:t>BD</w:t>
      </w:r>
      <w:r>
        <w:rPr>
          <w:b/>
        </w:rPr>
        <w:t xml:space="preserve"> </w:t>
      </w:r>
      <w:r>
        <w:t xml:space="preserve">– tick only </w:t>
      </w:r>
      <w:r w:rsidR="00D90BAA">
        <w:rPr>
          <w:b/>
          <w:i/>
        </w:rPr>
        <w:t>Blank</w:t>
      </w:r>
      <w:r w:rsidR="00A00A56">
        <w:t xml:space="preserve"> </w:t>
      </w:r>
      <w:r w:rsidR="00D90BAA">
        <w:t xml:space="preserve">(This only applies if using </w:t>
      </w:r>
      <w:r w:rsidR="00A00A56">
        <w:fldChar w:fldCharType="begin"/>
      </w:r>
      <w:r w:rsidR="00A00A56">
        <w:instrText xml:space="preserve"> REF _Ref323911019 \h </w:instrText>
      </w:r>
      <w:r w:rsidR="00A00A56">
        <w:fldChar w:fldCharType="separate"/>
      </w:r>
      <w:r w:rsidR="00A00A56">
        <w:t>BROS Dimensions</w:t>
      </w:r>
      <w:r w:rsidR="00A00A56">
        <w:fldChar w:fldCharType="end"/>
      </w:r>
      <w:r w:rsidR="00D90BAA">
        <w:t xml:space="preserve">, and the BD values have been entered. (See </w:t>
      </w:r>
      <w:r w:rsidR="00D90BAA">
        <w:fldChar w:fldCharType="begin"/>
      </w:r>
      <w:r w:rsidR="00D90BAA">
        <w:instrText xml:space="preserve"> REF _Ref323911019 \h </w:instrText>
      </w:r>
      <w:r w:rsidR="00D90BAA">
        <w:fldChar w:fldCharType="separate"/>
      </w:r>
      <w:r w:rsidR="00D90BAA">
        <w:t>BROS Dimensions</w:t>
      </w:r>
      <w:r w:rsidR="00D90BAA">
        <w:fldChar w:fldCharType="end"/>
      </w:r>
      <w:r w:rsidR="00D90BAA">
        <w:t xml:space="preserve"> further on)</w:t>
      </w:r>
    </w:p>
    <w:p w:rsidR="00D351C2" w:rsidRDefault="00D351C2" w:rsidP="00D90BAA">
      <w:pPr>
        <w:pStyle w:val="ListParagraph"/>
        <w:numPr>
          <w:ilvl w:val="2"/>
          <w:numId w:val="36"/>
        </w:numPr>
      </w:pPr>
      <w:r w:rsidRPr="00D351C2">
        <w:t xml:space="preserve">Copy and paste “Period” down the </w:t>
      </w:r>
      <w:r>
        <w:rPr>
          <w:b/>
        </w:rPr>
        <w:t xml:space="preserve">Context </w:t>
      </w:r>
      <w:r w:rsidRPr="00D351C2">
        <w:t>column.</w:t>
      </w:r>
    </w:p>
    <w:p w:rsidR="004469A2" w:rsidRDefault="004469A2" w:rsidP="004469A2">
      <w:pPr>
        <w:pStyle w:val="ListParagraph"/>
        <w:numPr>
          <w:ilvl w:val="1"/>
          <w:numId w:val="36"/>
        </w:numPr>
      </w:pPr>
      <w:proofErr w:type="spellStart"/>
      <w:r>
        <w:t>StartEnd</w:t>
      </w:r>
      <w:proofErr w:type="spellEnd"/>
      <w:r>
        <w:t xml:space="preserve">. These can be tricky because they may well make reference to a section of BROS that you are NOT currently importing. </w:t>
      </w:r>
      <w:proofErr w:type="gramStart"/>
      <w:r>
        <w:t>e.g</w:t>
      </w:r>
      <w:proofErr w:type="gramEnd"/>
      <w:r>
        <w:t xml:space="preserve">. only doing </w:t>
      </w:r>
      <w:r w:rsidRPr="004469A2">
        <w:rPr>
          <w:b/>
          <w:i/>
        </w:rPr>
        <w:t>Assets – Current</w:t>
      </w:r>
      <w:r w:rsidR="0022262B">
        <w:t xml:space="preserve">, and the </w:t>
      </w:r>
      <w:r w:rsidR="0022262B" w:rsidRPr="0022262B">
        <w:rPr>
          <w:b/>
          <w:i/>
          <w:color w:val="76923C" w:themeColor="accent3" w:themeShade="BF"/>
        </w:rPr>
        <w:t>inbuilt routines are very clever at spotting errors or fudges</w:t>
      </w:r>
      <w:r w:rsidR="0022262B">
        <w:t>.</w:t>
      </w:r>
      <w:r>
        <w:t xml:space="preserve"> Solution</w:t>
      </w:r>
    </w:p>
    <w:p w:rsidR="004469A2" w:rsidRPr="004469A2" w:rsidRDefault="004469A2" w:rsidP="004469A2">
      <w:pPr>
        <w:pStyle w:val="ListParagraph"/>
        <w:numPr>
          <w:ilvl w:val="2"/>
          <w:numId w:val="36"/>
        </w:numPr>
      </w:pPr>
      <w:r>
        <w:t xml:space="preserve">If at least one </w:t>
      </w:r>
      <w:proofErr w:type="spellStart"/>
      <w:r>
        <w:t>TxId</w:t>
      </w:r>
      <w:proofErr w:type="spellEnd"/>
      <w:r>
        <w:t xml:space="preserve"> that is referred to exists in the current import, then put this </w:t>
      </w:r>
      <w:proofErr w:type="spellStart"/>
      <w:r>
        <w:t>TxId</w:t>
      </w:r>
      <w:proofErr w:type="spellEnd"/>
      <w:r>
        <w:t xml:space="preserve"> value in. For instance for Cash the </w:t>
      </w:r>
      <w:proofErr w:type="spellStart"/>
      <w:r w:rsidRPr="004469A2">
        <w:rPr>
          <w:b/>
          <w:i/>
        </w:rPr>
        <w:t>StartEnd</w:t>
      </w:r>
      <w:proofErr w:type="spellEnd"/>
      <w:r>
        <w:t xml:space="preserve"> entry should be </w:t>
      </w:r>
      <w:proofErr w:type="spellStart"/>
      <w:r w:rsidRPr="004469A2">
        <w:rPr>
          <w:b/>
          <w:i/>
          <w:sz w:val="18"/>
          <w:szCs w:val="18"/>
        </w:rPr>
        <w:t>PostEnd</w:t>
      </w:r>
      <w:proofErr w:type="spellEnd"/>
      <w:r w:rsidRPr="004469A2">
        <w:rPr>
          <w:b/>
          <w:i/>
          <w:sz w:val="18"/>
          <w:szCs w:val="18"/>
        </w:rPr>
        <w:t xml:space="preserve"> 575,541 2646,2647,2648,2649</w:t>
      </w:r>
      <w:r>
        <w:t xml:space="preserve">. But only the first two will be in this import – the others are in the </w:t>
      </w:r>
      <w:proofErr w:type="spellStart"/>
      <w:r>
        <w:t>Cashflow</w:t>
      </w:r>
      <w:proofErr w:type="spellEnd"/>
      <w:r>
        <w:t xml:space="preserve"> Section. Just put in </w:t>
      </w:r>
      <w:proofErr w:type="spellStart"/>
      <w:r w:rsidRPr="004469A2">
        <w:rPr>
          <w:b/>
          <w:i/>
          <w:sz w:val="18"/>
          <w:szCs w:val="18"/>
        </w:rPr>
        <w:t>PostEnd</w:t>
      </w:r>
      <w:proofErr w:type="spellEnd"/>
      <w:r w:rsidRPr="004469A2">
        <w:rPr>
          <w:b/>
          <w:i/>
          <w:sz w:val="18"/>
          <w:szCs w:val="18"/>
        </w:rPr>
        <w:t xml:space="preserve"> 575,541</w:t>
      </w:r>
      <w:r>
        <w:t xml:space="preserve">, and put a note in the Comments field that this needs completion when all the parts are assembled, preferable with an easy to remember and search set of </w:t>
      </w:r>
      <w:proofErr w:type="spellStart"/>
      <w:r>
        <w:t>charactyers</w:t>
      </w:r>
      <w:proofErr w:type="spellEnd"/>
      <w:r>
        <w:t xml:space="preserve"> such as OS for outstanding. So in this case the entry could read </w:t>
      </w:r>
      <w:r w:rsidRPr="004469A2">
        <w:rPr>
          <w:rFonts w:ascii="Calibri" w:eastAsia="Times New Roman" w:hAnsi="Calibri" w:cs="Calibri"/>
          <w:b/>
          <w:i/>
          <w:color w:val="000000"/>
          <w:sz w:val="18"/>
          <w:szCs w:val="18"/>
        </w:rPr>
        <w:t xml:space="preserve">OS Need to put in </w:t>
      </w:r>
      <w:proofErr w:type="spellStart"/>
      <w:r w:rsidRPr="004469A2">
        <w:rPr>
          <w:rFonts w:ascii="Calibri" w:eastAsia="Times New Roman" w:hAnsi="Calibri" w:cs="Calibri"/>
          <w:b/>
          <w:i/>
          <w:color w:val="000000"/>
          <w:sz w:val="18"/>
          <w:szCs w:val="18"/>
        </w:rPr>
        <w:t>StartEnd</w:t>
      </w:r>
      <w:proofErr w:type="spellEnd"/>
      <w:r w:rsidRPr="004469A2">
        <w:rPr>
          <w:rFonts w:ascii="Calibri" w:eastAsia="Times New Roman" w:hAnsi="Calibri" w:cs="Calibri"/>
          <w:b/>
          <w:i/>
          <w:color w:val="000000"/>
          <w:sz w:val="18"/>
          <w:szCs w:val="18"/>
        </w:rPr>
        <w:t xml:space="preserve"> column: </w:t>
      </w:r>
      <w:proofErr w:type="spellStart"/>
      <w:r w:rsidRPr="004469A2">
        <w:rPr>
          <w:rFonts w:ascii="Calibri" w:eastAsia="Times New Roman" w:hAnsi="Calibri" w:cs="Calibri"/>
          <w:b/>
          <w:i/>
          <w:color w:val="000000"/>
          <w:sz w:val="18"/>
          <w:szCs w:val="18"/>
        </w:rPr>
        <w:t>PostEnd</w:t>
      </w:r>
      <w:proofErr w:type="spellEnd"/>
      <w:r w:rsidRPr="004469A2">
        <w:rPr>
          <w:rFonts w:ascii="Calibri" w:eastAsia="Times New Roman" w:hAnsi="Calibri" w:cs="Calibri"/>
          <w:b/>
          <w:i/>
          <w:color w:val="000000"/>
          <w:sz w:val="18"/>
          <w:szCs w:val="18"/>
        </w:rPr>
        <w:t xml:space="preserve"> 575,541 2646,2647,2648,2649</w:t>
      </w:r>
      <w:r w:rsidRPr="004469A2">
        <w:rPr>
          <w:rFonts w:ascii="Calibri" w:eastAsia="Times New Roman" w:hAnsi="Calibri" w:cs="Calibri"/>
          <w:color w:val="000000"/>
        </w:rPr>
        <w:t>.</w:t>
      </w:r>
    </w:p>
    <w:p w:rsidR="004469A2" w:rsidRDefault="004469A2" w:rsidP="004469A2">
      <w:pPr>
        <w:pStyle w:val="ListParagraph"/>
        <w:numPr>
          <w:ilvl w:val="2"/>
          <w:numId w:val="36"/>
        </w:numPr>
      </w:pPr>
      <w:r>
        <w:lastRenderedPageBreak/>
        <w:t xml:space="preserve">If no </w:t>
      </w:r>
      <w:proofErr w:type="spellStart"/>
      <w:r>
        <w:t>TxId</w:t>
      </w:r>
      <w:proofErr w:type="spellEnd"/>
      <w:r>
        <w:t xml:space="preserve"> exists in the current selection, at least one of the required </w:t>
      </w:r>
      <w:proofErr w:type="spellStart"/>
      <w:r>
        <w:t>TxIds</w:t>
      </w:r>
      <w:proofErr w:type="spellEnd"/>
      <w:r>
        <w:t xml:space="preserve"> will have to be copied across from an existing BROSUK-GAAP table. You will need to make sure that this added one leads back up to a level 0 either by copying across required rows from existing BROSUK-GAAP, or creating some dummy.</w:t>
      </w:r>
    </w:p>
    <w:p w:rsidR="004469A2" w:rsidRDefault="004469A2" w:rsidP="004469A2">
      <w:pPr>
        <w:pStyle w:val="ListParagraph"/>
        <w:numPr>
          <w:ilvl w:val="2"/>
          <w:numId w:val="36"/>
        </w:numPr>
      </w:pPr>
      <w:r>
        <w:t xml:space="preserve">This can </w:t>
      </w:r>
      <w:r w:rsidR="0022262B">
        <w:t xml:space="preserve">trickier than </w:t>
      </w:r>
      <w:proofErr w:type="spellStart"/>
      <w:r w:rsidR="0022262B">
        <w:t>i</w:t>
      </w:r>
      <w:proofErr w:type="spellEnd"/>
    </w:p>
    <w:p w:rsidR="005558C0" w:rsidRDefault="005558C0" w:rsidP="005558C0">
      <w:pPr>
        <w:pStyle w:val="ListParagraph"/>
        <w:numPr>
          <w:ilvl w:val="0"/>
          <w:numId w:val="36"/>
        </w:numPr>
      </w:pPr>
      <w:r w:rsidRPr="00BC3CF4">
        <w:rPr>
          <w:b/>
        </w:rPr>
        <w:t>Type</w:t>
      </w:r>
      <w:r>
        <w:t xml:space="preserve"> – Set or </w:t>
      </w:r>
      <w:proofErr w:type="spellStart"/>
      <w:r>
        <w:t>Ele</w:t>
      </w:r>
      <w:proofErr w:type="spellEnd"/>
      <w:r>
        <w:t>. Refer forward to separate section and then return to the next step.</w:t>
      </w:r>
    </w:p>
    <w:p w:rsidR="005403E6" w:rsidRDefault="005403E6" w:rsidP="005558C0">
      <w:pPr>
        <w:pStyle w:val="ListParagraph"/>
        <w:numPr>
          <w:ilvl w:val="0"/>
          <w:numId w:val="36"/>
        </w:numPr>
      </w:pPr>
      <w:r>
        <w:rPr>
          <w:b/>
        </w:rPr>
        <w:t>Other columns</w:t>
      </w:r>
      <w:r w:rsidRPr="009A49A9">
        <w:t xml:space="preserve"> e.</w:t>
      </w:r>
      <w:r>
        <w:t xml:space="preserve">g. BD, </w:t>
      </w:r>
      <w:proofErr w:type="spellStart"/>
      <w:r>
        <w:t>Incl</w:t>
      </w:r>
      <w:proofErr w:type="spellEnd"/>
      <w:r>
        <w:t xml:space="preserve"> Dims, </w:t>
      </w:r>
      <w:proofErr w:type="spellStart"/>
      <w:r>
        <w:t>DiMeId</w:t>
      </w:r>
      <w:proofErr w:type="spellEnd"/>
      <w:r>
        <w:t xml:space="preserve">, Totalling, Sum To, Related, </w:t>
      </w:r>
      <w:r w:rsidR="009A49A9">
        <w:t>can be ignored. If any information needs to be entered in to any of them it can be easily done after an Export.</w:t>
      </w:r>
    </w:p>
    <w:p w:rsidR="005558C0" w:rsidRDefault="005558C0" w:rsidP="005558C0">
      <w:pPr>
        <w:pStyle w:val="ListParagraph"/>
        <w:numPr>
          <w:ilvl w:val="0"/>
          <w:numId w:val="36"/>
        </w:numPr>
      </w:pPr>
      <w:r w:rsidRPr="00BC3CF4">
        <w:rPr>
          <w:b/>
        </w:rPr>
        <w:t>BR</w:t>
      </w:r>
      <w:r w:rsidR="00BC3CF4">
        <w:rPr>
          <w:b/>
        </w:rPr>
        <w:t>OS Dimensions</w:t>
      </w:r>
      <w:r>
        <w:t xml:space="preserve">. Check if there </w:t>
      </w:r>
      <w:r w:rsidR="004270F9">
        <w:t xml:space="preserve">are </w:t>
      </w:r>
      <w:r>
        <w:t>any. If so refer forward to next section and then return to this section, next step.</w:t>
      </w:r>
    </w:p>
    <w:p w:rsidR="004270F9" w:rsidRDefault="004270F9" w:rsidP="005558C0">
      <w:pPr>
        <w:pStyle w:val="ListParagraph"/>
        <w:numPr>
          <w:ilvl w:val="0"/>
          <w:numId w:val="36"/>
        </w:numPr>
      </w:pPr>
      <w:r>
        <w:t>Copy and paste in to BRAIINS.</w:t>
      </w:r>
    </w:p>
    <w:p w:rsidR="00993356" w:rsidRPr="003A0E35" w:rsidRDefault="004270F9" w:rsidP="004270F9">
      <w:pPr>
        <w:pStyle w:val="ListParagraph"/>
        <w:numPr>
          <w:ilvl w:val="1"/>
          <w:numId w:val="36"/>
        </w:numPr>
      </w:pPr>
      <w:r>
        <w:t>Repeat above until all Error messages have been dealt with.</w:t>
      </w:r>
    </w:p>
    <w:p w:rsidR="00444E52" w:rsidRDefault="00444E52" w:rsidP="005558C0">
      <w:pPr>
        <w:pStyle w:val="Heading3"/>
      </w:pPr>
      <w:bookmarkStart w:id="13" w:name="_Toc323925320"/>
      <w:r>
        <w:t xml:space="preserve">Type (Set or </w:t>
      </w:r>
      <w:proofErr w:type="spellStart"/>
      <w:r>
        <w:t>Ele</w:t>
      </w:r>
      <w:proofErr w:type="spellEnd"/>
      <w:r>
        <w:t>)</w:t>
      </w:r>
      <w:bookmarkEnd w:id="13"/>
    </w:p>
    <w:p w:rsidR="00444E52" w:rsidRDefault="00444E52" w:rsidP="00444E52">
      <w:pPr>
        <w:pStyle w:val="NoSpacing"/>
      </w:pPr>
      <w:r>
        <w:t>There are two issues here</w:t>
      </w:r>
    </w:p>
    <w:p w:rsidR="00444E52" w:rsidRDefault="00444E52" w:rsidP="00D22A12">
      <w:pPr>
        <w:pStyle w:val="NoSpacing"/>
        <w:numPr>
          <w:ilvl w:val="0"/>
          <w:numId w:val="38"/>
        </w:numPr>
      </w:pPr>
      <w:r>
        <w:t xml:space="preserve">Is a Type Set or </w:t>
      </w:r>
      <w:proofErr w:type="spellStart"/>
      <w:r>
        <w:t>Ele</w:t>
      </w:r>
      <w:proofErr w:type="spellEnd"/>
      <w:r>
        <w:t>(</w:t>
      </w:r>
      <w:proofErr w:type="spellStart"/>
      <w:r>
        <w:t>ment</w:t>
      </w:r>
      <w:proofErr w:type="spellEnd"/>
      <w:r>
        <w:t>)</w:t>
      </w:r>
    </w:p>
    <w:p w:rsidR="00444E52" w:rsidRDefault="00444E52" w:rsidP="00D22A12">
      <w:pPr>
        <w:pStyle w:val="NoSpacing"/>
        <w:numPr>
          <w:ilvl w:val="0"/>
          <w:numId w:val="38"/>
        </w:numPr>
      </w:pPr>
      <w:r>
        <w:t>Has a Type row been missed e.g. steps down must be in units of 1.</w:t>
      </w:r>
    </w:p>
    <w:p w:rsidR="00444E52" w:rsidRDefault="00444E52" w:rsidP="00444E52">
      <w:pPr>
        <w:pStyle w:val="NoSpacing"/>
      </w:pPr>
    </w:p>
    <w:p w:rsidR="00444E52" w:rsidRDefault="00444E52" w:rsidP="00444E52">
      <w:pPr>
        <w:pStyle w:val="NoSpacing"/>
      </w:pPr>
      <w:r>
        <w:t>Th</w:t>
      </w:r>
      <w:r w:rsidR="00D22A12">
        <w:t>e correct</w:t>
      </w:r>
      <w:r>
        <w:t xml:space="preserve"> Type can be visually recognised by looking at the line below and seeing if an additional BRO Name field has been used. But this can be tedious if dealing with many 10s of row.</w:t>
      </w:r>
    </w:p>
    <w:p w:rsidR="00444E52" w:rsidRDefault="00444E52" w:rsidP="00444E52">
      <w:pPr>
        <w:pStyle w:val="NoSpacing"/>
      </w:pPr>
    </w:p>
    <w:p w:rsidR="00444E52" w:rsidRDefault="00444E52" w:rsidP="00444E52">
      <w:pPr>
        <w:pStyle w:val="NoSpacing"/>
      </w:pPr>
      <w:r>
        <w:t>Quick reliable method is as follows:</w:t>
      </w:r>
    </w:p>
    <w:p w:rsidR="00444E52" w:rsidRDefault="00444E52" w:rsidP="00444E52">
      <w:pPr>
        <w:pStyle w:val="NoSpacing"/>
      </w:pPr>
      <w:r>
        <w:t xml:space="preserve">In the BRO Name </w:t>
      </w:r>
      <w:r w:rsidR="00304BFC">
        <w:t>column</w:t>
      </w:r>
      <w:r>
        <w:t xml:space="preserve"> enter the formula </w:t>
      </w:r>
      <w:r w:rsidRPr="00444E52">
        <w:t>=</w:t>
      </w:r>
      <w:proofErr w:type="gramStart"/>
      <w:r w:rsidRPr="00444E52">
        <w:t>COUNTBLANK(</w:t>
      </w:r>
      <w:proofErr w:type="gramEnd"/>
      <w:r w:rsidRPr="00444E52">
        <w:t>E</w:t>
      </w:r>
      <w:r w:rsidR="009D1146">
        <w:t>6</w:t>
      </w:r>
      <w:r w:rsidRPr="00444E52">
        <w:t>:M</w:t>
      </w:r>
      <w:r w:rsidR="009D1146">
        <w:t>6</w:t>
      </w:r>
      <w:r w:rsidRPr="00444E52">
        <w:t>)</w:t>
      </w:r>
    </w:p>
    <w:p w:rsidR="00444E52" w:rsidRDefault="00444E52" w:rsidP="00444E52">
      <w:pPr>
        <w:pStyle w:val="NoSpacing"/>
      </w:pPr>
      <w:r>
        <w:t xml:space="preserve">In the Type </w:t>
      </w:r>
      <w:r w:rsidR="00304BFC">
        <w:t>column</w:t>
      </w:r>
      <w:r>
        <w:t xml:space="preserve"> enter the formula </w:t>
      </w:r>
      <w:r w:rsidRPr="00444E52">
        <w:t>=+</w:t>
      </w:r>
      <w:proofErr w:type="gramStart"/>
      <w:r w:rsidRPr="00444E52">
        <w:t>IF(</w:t>
      </w:r>
      <w:proofErr w:type="gramEnd"/>
      <w:r w:rsidRPr="00444E52">
        <w:t>D</w:t>
      </w:r>
      <w:r w:rsidR="009D1146">
        <w:t>7</w:t>
      </w:r>
      <w:r w:rsidRPr="00444E52">
        <w:t>&lt;D</w:t>
      </w:r>
      <w:r w:rsidR="009D1146">
        <w:t>6</w:t>
      </w:r>
      <w:r w:rsidRPr="00444E52">
        <w:t>,"Set","Ele")</w:t>
      </w:r>
    </w:p>
    <w:p w:rsidR="009D1146" w:rsidRDefault="009D1146" w:rsidP="00444E52">
      <w:pPr>
        <w:pStyle w:val="NoSpacing"/>
      </w:pPr>
      <w:r>
        <w:t xml:space="preserve">In the Level column enter formula </w:t>
      </w:r>
      <w:r w:rsidRPr="009D1146">
        <w:t>=</w:t>
      </w:r>
      <w:proofErr w:type="gramStart"/>
      <w:r w:rsidRPr="009D1146">
        <w:t>IF(</w:t>
      </w:r>
      <w:proofErr w:type="gramEnd"/>
      <w:r w:rsidRPr="009D1146">
        <w:t>D6-D7&gt;1,"GAP","")</w:t>
      </w:r>
    </w:p>
    <w:p w:rsidR="00D22A12" w:rsidRDefault="00D22A12" w:rsidP="00444E52">
      <w:pPr>
        <w:pStyle w:val="NoSpacing"/>
      </w:pPr>
      <w:r w:rsidRPr="00D22A12">
        <w:rPr>
          <w:sz w:val="18"/>
          <w:szCs w:val="18"/>
        </w:rPr>
        <w:t>(The actual column and row reference will depend on how many blank lines were inserted at the top, and whether any additional columns were inserted to the left to help sort row re Bros Dimensions)</w:t>
      </w:r>
    </w:p>
    <w:p w:rsidR="00444E52" w:rsidRDefault="00444E52" w:rsidP="00444E52">
      <w:pPr>
        <w:pStyle w:val="NoSpacing"/>
      </w:pPr>
      <w:r>
        <w:t>This solves both problems</w:t>
      </w:r>
    </w:p>
    <w:p w:rsidR="00444E52" w:rsidRDefault="00444E52" w:rsidP="00444E52">
      <w:pPr>
        <w:pStyle w:val="NoSpacing"/>
        <w:numPr>
          <w:ilvl w:val="0"/>
          <w:numId w:val="33"/>
        </w:numPr>
      </w:pPr>
      <w:r>
        <w:t>The Type field will be correctly shown as Set or Type</w:t>
      </w:r>
    </w:p>
    <w:p w:rsidR="00444E52" w:rsidRDefault="00444E52" w:rsidP="00444E52">
      <w:pPr>
        <w:pStyle w:val="NoSpacing"/>
        <w:numPr>
          <w:ilvl w:val="0"/>
          <w:numId w:val="33"/>
        </w:numPr>
      </w:pPr>
      <w:r>
        <w:t>If a Step has been jumped, this will become obvious looking at the BRO Name fields and noting any which decrease by more than 1.</w:t>
      </w:r>
      <w:r w:rsidR="009D1146">
        <w:t xml:space="preserve"> (Or better still if you have used the formula above, you will see the word GAP in the Level column).</w:t>
      </w:r>
    </w:p>
    <w:p w:rsidR="00F33C2D" w:rsidRDefault="00F33C2D" w:rsidP="00F33C2D">
      <w:pPr>
        <w:pStyle w:val="NoSpacing"/>
      </w:pPr>
      <w:r>
        <w:t>Obviously one must:</w:t>
      </w:r>
    </w:p>
    <w:p w:rsidR="00F33C2D" w:rsidRDefault="00F33C2D" w:rsidP="00F33C2D">
      <w:pPr>
        <w:pStyle w:val="NoSpacing"/>
        <w:numPr>
          <w:ilvl w:val="0"/>
          <w:numId w:val="34"/>
        </w:numPr>
      </w:pPr>
      <w:r>
        <w:t xml:space="preserve">Copy down all the fields to the required rows, and </w:t>
      </w:r>
    </w:p>
    <w:p w:rsidR="00F33C2D" w:rsidRDefault="00F33C2D" w:rsidP="00F33C2D">
      <w:pPr>
        <w:pStyle w:val="NoSpacing"/>
        <w:numPr>
          <w:ilvl w:val="0"/>
          <w:numId w:val="34"/>
        </w:numPr>
      </w:pPr>
      <w:r>
        <w:t>Copy and paste Text only in the Type cells to preserve the “Set” and “</w:t>
      </w:r>
      <w:proofErr w:type="spellStart"/>
      <w:r>
        <w:t>Ele</w:t>
      </w:r>
      <w:proofErr w:type="spellEnd"/>
      <w:r>
        <w:t xml:space="preserve">” values rather than the underlying Formulae. </w:t>
      </w:r>
    </w:p>
    <w:p w:rsidR="0079210C" w:rsidRDefault="0079210C" w:rsidP="00F33C2D">
      <w:pPr>
        <w:pStyle w:val="NoSpacing"/>
        <w:numPr>
          <w:ilvl w:val="0"/>
          <w:numId w:val="34"/>
        </w:numPr>
      </w:pPr>
      <w:r>
        <w:t>Manually change the Type for the last row to “</w:t>
      </w:r>
      <w:proofErr w:type="spellStart"/>
      <w:r>
        <w:t>Ele</w:t>
      </w:r>
      <w:proofErr w:type="spellEnd"/>
      <w:r>
        <w:t>” (it will calculate as “Set”)</w:t>
      </w:r>
      <w:r w:rsidR="003F5604">
        <w:t xml:space="preserve"> </w:t>
      </w:r>
      <w:proofErr w:type="gramStart"/>
      <w:r w:rsidR="003F5604">
        <w:t>Or</w:t>
      </w:r>
      <w:proofErr w:type="gramEnd"/>
      <w:r w:rsidR="003F5604">
        <w:t xml:space="preserve"> just extend the Count command one row further).</w:t>
      </w:r>
    </w:p>
    <w:p w:rsidR="003F5604" w:rsidRDefault="005558C0" w:rsidP="005558C0">
      <w:pPr>
        <w:pStyle w:val="Heading3"/>
      </w:pPr>
      <w:bookmarkStart w:id="14" w:name="_Ref323911019"/>
      <w:bookmarkStart w:id="15" w:name="_Toc323925321"/>
      <w:r>
        <w:t xml:space="preserve">BROS </w:t>
      </w:r>
      <w:r w:rsidR="004005F2">
        <w:t>Dimensions</w:t>
      </w:r>
      <w:bookmarkEnd w:id="14"/>
      <w:bookmarkEnd w:id="15"/>
    </w:p>
    <w:p w:rsidR="005558C0" w:rsidRDefault="004005F2" w:rsidP="005558C0">
      <w:r>
        <w:t>This relates to BROS Dimensions, such as Ageing or Function.</w:t>
      </w:r>
    </w:p>
    <w:p w:rsidR="004005F2" w:rsidRDefault="004005F2" w:rsidP="005558C0">
      <w:r>
        <w:t>The key point is that the order wants to be sorted by BRO without Dimension, and then matching BROS with Dimension, in the correct dimension order.</w:t>
      </w:r>
    </w:p>
    <w:p w:rsidR="004005F2" w:rsidRDefault="004005F2" w:rsidP="005558C0">
      <w:r>
        <w:t xml:space="preserve">If the </w:t>
      </w:r>
      <w:proofErr w:type="spellStart"/>
      <w:r>
        <w:t>TxIds</w:t>
      </w:r>
      <w:proofErr w:type="spellEnd"/>
      <w:r>
        <w:t xml:space="preserve"> were left in the default order, this would all need to be manually which is slow, tedious and error prone.</w:t>
      </w:r>
    </w:p>
    <w:p w:rsidR="004005F2" w:rsidRDefault="004005F2" w:rsidP="005558C0">
      <w:r>
        <w:t>The objective is to get them sorted in the right order, with all correct details completed (or removed) with simple block commands.</w:t>
      </w:r>
    </w:p>
    <w:p w:rsidR="004005F2" w:rsidRDefault="004005F2" w:rsidP="002468B5">
      <w:pPr>
        <w:pStyle w:val="ListParagraph"/>
        <w:numPr>
          <w:ilvl w:val="0"/>
          <w:numId w:val="37"/>
        </w:numPr>
      </w:pPr>
      <w:r>
        <w:t xml:space="preserve">Need to copy the Concrete Description down the </w:t>
      </w:r>
      <w:proofErr w:type="spellStart"/>
      <w:r>
        <w:t>TxId</w:t>
      </w:r>
      <w:proofErr w:type="spellEnd"/>
      <w:r>
        <w:t xml:space="preserve"> </w:t>
      </w:r>
      <w:r w:rsidR="002468B5">
        <w:t>columns</w:t>
      </w:r>
      <w:r>
        <w:t xml:space="preserve"> following the same rules as with Abstract </w:t>
      </w:r>
      <w:proofErr w:type="spellStart"/>
      <w:r>
        <w:t>TxIds</w:t>
      </w:r>
      <w:proofErr w:type="spellEnd"/>
      <w:r>
        <w:t xml:space="preserve"> (one never normally needs do this with </w:t>
      </w:r>
      <w:r w:rsidR="002468B5">
        <w:t xml:space="preserve">Concrete </w:t>
      </w:r>
      <w:proofErr w:type="spellStart"/>
      <w:r w:rsidR="002468B5">
        <w:t>TxIds</w:t>
      </w:r>
      <w:proofErr w:type="spellEnd"/>
      <w:r w:rsidR="002468B5">
        <w:t xml:space="preserve"> since they will self-populate. So only normal reason would be to use a short Name than the Taxonomy provides) </w:t>
      </w:r>
    </w:p>
    <w:p w:rsidR="002468B5" w:rsidRDefault="002468B5" w:rsidP="002468B5">
      <w:pPr>
        <w:pStyle w:val="ListParagraph"/>
        <w:numPr>
          <w:ilvl w:val="0"/>
          <w:numId w:val="37"/>
        </w:numPr>
      </w:pPr>
      <w:r>
        <w:t>Repeat for Dimensions</w:t>
      </w:r>
    </w:p>
    <w:p w:rsidR="00DA3FB3" w:rsidRDefault="00BC3CF4" w:rsidP="002468B5">
      <w:pPr>
        <w:pStyle w:val="ListParagraph"/>
        <w:numPr>
          <w:ilvl w:val="0"/>
          <w:numId w:val="37"/>
        </w:numPr>
      </w:pPr>
      <w:r>
        <w:t>BRO Dimensions at the Total level e.g. Debtors – Make common changes</w:t>
      </w:r>
      <w:r w:rsidR="00EB27C1">
        <w:t xml:space="preserve"> (see </w:t>
      </w:r>
      <w:r w:rsidR="00EB27C1">
        <w:fldChar w:fldCharType="begin"/>
      </w:r>
      <w:r w:rsidR="00EB27C1">
        <w:instrText xml:space="preserve"> REF _Ref323822346 \r \h </w:instrText>
      </w:r>
      <w:r w:rsidR="00EB27C1">
        <w:fldChar w:fldCharType="separate"/>
      </w:r>
      <w:r w:rsidR="00EB27C1">
        <w:t>10)</w:t>
      </w:r>
      <w:r w:rsidR="00EB27C1">
        <w:fldChar w:fldCharType="end"/>
      </w:r>
      <w:r w:rsidR="00EB27C1">
        <w:t xml:space="preserve"> above.</w:t>
      </w:r>
    </w:p>
    <w:p w:rsidR="00DA3FB3" w:rsidRDefault="00DA3FB3" w:rsidP="002468B5">
      <w:pPr>
        <w:pStyle w:val="ListParagraph"/>
        <w:numPr>
          <w:ilvl w:val="0"/>
          <w:numId w:val="37"/>
        </w:numPr>
      </w:pPr>
      <w:r>
        <w:t>BRO Dimensions at a at an Individual level</w:t>
      </w:r>
      <w:r w:rsidRPr="00DA3FB3">
        <w:t xml:space="preserve"> </w:t>
      </w:r>
      <w:r>
        <w:t xml:space="preserve">e.g. </w:t>
      </w:r>
      <w:proofErr w:type="spellStart"/>
      <w:r w:rsidRPr="002468B5">
        <w:t>DebtorsDueWithinOneYear</w:t>
      </w:r>
      <w:proofErr w:type="spellEnd"/>
      <w:r>
        <w:t xml:space="preserve">, </w:t>
      </w:r>
      <w:proofErr w:type="spellStart"/>
      <w:r w:rsidRPr="002468B5">
        <w:t>DebtorsDueAfterOneYear</w:t>
      </w:r>
      <w:proofErr w:type="spellEnd"/>
    </w:p>
    <w:p w:rsidR="00DA3FB3" w:rsidRDefault="00DA3FB3" w:rsidP="00DA3FB3">
      <w:pPr>
        <w:pStyle w:val="ListParagraph"/>
        <w:numPr>
          <w:ilvl w:val="1"/>
          <w:numId w:val="37"/>
        </w:numPr>
      </w:pPr>
      <w:r w:rsidRPr="00DA3FB3">
        <w:rPr>
          <w:b/>
        </w:rPr>
        <w:t>Type</w:t>
      </w:r>
      <w:r>
        <w:t xml:space="preserve"> will be </w:t>
      </w:r>
      <w:r w:rsidRPr="00DA3FB3">
        <w:rPr>
          <w:b/>
          <w:i/>
        </w:rPr>
        <w:t>Map</w:t>
      </w:r>
      <w:r>
        <w:t xml:space="preserve"> for all</w:t>
      </w:r>
    </w:p>
    <w:p w:rsidR="00A66EA8" w:rsidRDefault="002468B5" w:rsidP="00DA3FB3">
      <w:pPr>
        <w:pStyle w:val="ListParagraph"/>
        <w:numPr>
          <w:ilvl w:val="1"/>
          <w:numId w:val="37"/>
        </w:numPr>
      </w:pPr>
      <w:r>
        <w:t>Remove</w:t>
      </w:r>
      <w:r w:rsidR="00A66EA8">
        <w:t xml:space="preserve"> any entries from the following</w:t>
      </w:r>
      <w:r w:rsidR="001A2C0A">
        <w:t xml:space="preserve"> columns</w:t>
      </w:r>
      <w:r w:rsidR="00A66EA8">
        <w:t xml:space="preserve"> because they do not use BRO Dimensions:</w:t>
      </w:r>
    </w:p>
    <w:p w:rsidR="00A66EA8" w:rsidRDefault="00A66EA8" w:rsidP="00A66EA8">
      <w:pPr>
        <w:pStyle w:val="ListParagraph"/>
        <w:numPr>
          <w:ilvl w:val="2"/>
          <w:numId w:val="37"/>
        </w:numPr>
      </w:pPr>
      <w:r w:rsidRPr="00A66EA8">
        <w:t>Data Type</w:t>
      </w:r>
    </w:p>
    <w:p w:rsidR="00A66EA8" w:rsidRDefault="00A66EA8" w:rsidP="00A66EA8">
      <w:pPr>
        <w:pStyle w:val="ListParagraph"/>
        <w:numPr>
          <w:ilvl w:val="2"/>
          <w:numId w:val="37"/>
        </w:numPr>
      </w:pPr>
      <w:r w:rsidRPr="00A66EA8">
        <w:t>Sign</w:t>
      </w:r>
    </w:p>
    <w:p w:rsidR="00A66EA8" w:rsidRDefault="00A66EA8" w:rsidP="00A66EA8">
      <w:pPr>
        <w:pStyle w:val="ListParagraph"/>
        <w:numPr>
          <w:ilvl w:val="2"/>
          <w:numId w:val="37"/>
        </w:numPr>
      </w:pPr>
      <w:r w:rsidRPr="00A66EA8">
        <w:lastRenderedPageBreak/>
        <w:t>Acct Types</w:t>
      </w:r>
    </w:p>
    <w:p w:rsidR="00A66EA8" w:rsidRDefault="00A66EA8" w:rsidP="00A66EA8">
      <w:pPr>
        <w:pStyle w:val="ListParagraph"/>
        <w:numPr>
          <w:ilvl w:val="2"/>
          <w:numId w:val="37"/>
        </w:numPr>
      </w:pPr>
      <w:r w:rsidRPr="00A66EA8">
        <w:t>Post Type</w:t>
      </w:r>
    </w:p>
    <w:p w:rsidR="00A66EA8" w:rsidRDefault="00A66EA8" w:rsidP="00A66EA8">
      <w:pPr>
        <w:pStyle w:val="ListParagraph"/>
        <w:numPr>
          <w:ilvl w:val="2"/>
          <w:numId w:val="37"/>
        </w:numPr>
      </w:pPr>
      <w:r w:rsidRPr="00A66EA8">
        <w:t>RO</w:t>
      </w:r>
    </w:p>
    <w:p w:rsidR="00A66EA8" w:rsidRDefault="00A66EA8" w:rsidP="00A66EA8">
      <w:pPr>
        <w:pStyle w:val="ListParagraph"/>
        <w:numPr>
          <w:ilvl w:val="2"/>
          <w:numId w:val="37"/>
        </w:numPr>
      </w:pPr>
      <w:proofErr w:type="spellStart"/>
      <w:proofErr w:type="gramStart"/>
      <w:r w:rsidRPr="00A66EA8">
        <w:t>HyId</w:t>
      </w:r>
      <w:proofErr w:type="spellEnd"/>
      <w:r w:rsidR="00EC67EB">
        <w:t xml:space="preserve"> ???</w:t>
      </w:r>
      <w:proofErr w:type="gramEnd"/>
    </w:p>
    <w:p w:rsidR="00A66EA8" w:rsidRDefault="00A66EA8" w:rsidP="00A66EA8">
      <w:pPr>
        <w:pStyle w:val="ListParagraph"/>
        <w:numPr>
          <w:ilvl w:val="2"/>
          <w:numId w:val="37"/>
        </w:numPr>
      </w:pPr>
      <w:proofErr w:type="spellStart"/>
      <w:r w:rsidRPr="00A66EA8">
        <w:t>Excl</w:t>
      </w:r>
      <w:proofErr w:type="spellEnd"/>
      <w:r w:rsidRPr="00A66EA8">
        <w:t xml:space="preserve"> </w:t>
      </w:r>
      <w:proofErr w:type="gramStart"/>
      <w:r w:rsidRPr="00A66EA8">
        <w:t>Dims</w:t>
      </w:r>
      <w:r w:rsidR="00EC67EB">
        <w:t xml:space="preserve"> ???</w:t>
      </w:r>
      <w:proofErr w:type="gramEnd"/>
    </w:p>
    <w:p w:rsidR="00A66EA8" w:rsidRDefault="00A66EA8" w:rsidP="00A66EA8">
      <w:pPr>
        <w:pStyle w:val="ListParagraph"/>
        <w:numPr>
          <w:ilvl w:val="2"/>
          <w:numId w:val="37"/>
        </w:numPr>
      </w:pPr>
      <w:proofErr w:type="spellStart"/>
      <w:r w:rsidRPr="00A66EA8">
        <w:t>Incl</w:t>
      </w:r>
      <w:proofErr w:type="spellEnd"/>
      <w:r w:rsidRPr="00A66EA8">
        <w:t xml:space="preserve"> Dims</w:t>
      </w:r>
    </w:p>
    <w:p w:rsidR="00A66EA8" w:rsidRDefault="00A66EA8" w:rsidP="00A66EA8">
      <w:pPr>
        <w:pStyle w:val="ListParagraph"/>
        <w:numPr>
          <w:ilvl w:val="2"/>
          <w:numId w:val="37"/>
        </w:numPr>
      </w:pPr>
      <w:proofErr w:type="spellStart"/>
      <w:r w:rsidRPr="00A66EA8">
        <w:t>DiMeId</w:t>
      </w:r>
      <w:proofErr w:type="spellEnd"/>
    </w:p>
    <w:p w:rsidR="00A66EA8" w:rsidRDefault="00A66EA8" w:rsidP="00A66EA8">
      <w:pPr>
        <w:pStyle w:val="ListParagraph"/>
        <w:numPr>
          <w:ilvl w:val="2"/>
          <w:numId w:val="37"/>
        </w:numPr>
      </w:pPr>
      <w:r w:rsidRPr="00A66EA8">
        <w:t>Except</w:t>
      </w:r>
    </w:p>
    <w:p w:rsidR="00A66EA8" w:rsidRDefault="00A66EA8" w:rsidP="00A66EA8">
      <w:pPr>
        <w:pStyle w:val="ListParagraph"/>
        <w:numPr>
          <w:ilvl w:val="2"/>
          <w:numId w:val="37"/>
        </w:numPr>
      </w:pPr>
      <w:proofErr w:type="spellStart"/>
      <w:r w:rsidRPr="00A66EA8">
        <w:t>Amort</w:t>
      </w:r>
      <w:proofErr w:type="spellEnd"/>
    </w:p>
    <w:p w:rsidR="00A66EA8" w:rsidRDefault="00A66EA8" w:rsidP="00A66EA8">
      <w:pPr>
        <w:pStyle w:val="ListParagraph"/>
        <w:numPr>
          <w:ilvl w:val="2"/>
          <w:numId w:val="37"/>
        </w:numPr>
      </w:pPr>
      <w:r w:rsidRPr="00A66EA8">
        <w:t>Sum Up</w:t>
      </w:r>
    </w:p>
    <w:p w:rsidR="00A66EA8" w:rsidRDefault="00A66EA8" w:rsidP="00A66EA8">
      <w:pPr>
        <w:pStyle w:val="ListParagraph"/>
        <w:numPr>
          <w:ilvl w:val="2"/>
          <w:numId w:val="37"/>
        </w:numPr>
      </w:pPr>
      <w:r w:rsidRPr="00A66EA8">
        <w:t>Totalling</w:t>
      </w:r>
    </w:p>
    <w:p w:rsidR="001A2C0A" w:rsidRDefault="00A66EA8" w:rsidP="00A66EA8">
      <w:pPr>
        <w:pStyle w:val="ListParagraph"/>
        <w:numPr>
          <w:ilvl w:val="2"/>
          <w:numId w:val="37"/>
        </w:numPr>
      </w:pPr>
      <w:r w:rsidRPr="00A66EA8">
        <w:t>Sum To</w:t>
      </w:r>
    </w:p>
    <w:p w:rsidR="001A2C0A" w:rsidRDefault="00A66EA8" w:rsidP="00A66EA8">
      <w:pPr>
        <w:pStyle w:val="ListParagraph"/>
        <w:numPr>
          <w:ilvl w:val="2"/>
          <w:numId w:val="37"/>
        </w:numPr>
      </w:pPr>
      <w:r w:rsidRPr="00A66EA8">
        <w:t>Related</w:t>
      </w:r>
    </w:p>
    <w:p w:rsidR="001A2C0A" w:rsidRDefault="001A2C0A" w:rsidP="001A2C0A">
      <w:pPr>
        <w:pStyle w:val="ListParagraph"/>
        <w:numPr>
          <w:ilvl w:val="2"/>
          <w:numId w:val="37"/>
        </w:numPr>
      </w:pPr>
      <w:proofErr w:type="spellStart"/>
      <w:r>
        <w:t>StartEnd</w:t>
      </w:r>
      <w:proofErr w:type="spellEnd"/>
    </w:p>
    <w:p w:rsidR="00A66EA8" w:rsidRPr="002468B5" w:rsidRDefault="00A66EA8" w:rsidP="001A2C0A">
      <w:pPr>
        <w:pStyle w:val="ListParagraph"/>
        <w:numPr>
          <w:ilvl w:val="2"/>
          <w:numId w:val="37"/>
        </w:numPr>
      </w:pPr>
      <w:r w:rsidRPr="00A66EA8">
        <w:t xml:space="preserve">Context </w:t>
      </w:r>
      <w:proofErr w:type="spellStart"/>
      <w:r w:rsidR="002468B5" w:rsidRPr="001A2C0A">
        <w:rPr>
          <w:b/>
        </w:rPr>
        <w:t>HyId</w:t>
      </w:r>
      <w:proofErr w:type="spellEnd"/>
      <w:r w:rsidR="002468B5">
        <w:t xml:space="preserve"> </w:t>
      </w:r>
      <w:r w:rsidR="00DA3FB3">
        <w:t xml:space="preserve">values </w:t>
      </w:r>
      <w:r w:rsidR="002468B5">
        <w:t>f</w:t>
      </w:r>
      <w:r w:rsidR="00DA3FB3">
        <w:t>o</w:t>
      </w:r>
      <w:r w:rsidR="002468B5">
        <w:t>r</w:t>
      </w:r>
      <w:r w:rsidR="00DA3FB3">
        <w:t xml:space="preserve"> </w:t>
      </w:r>
      <w:r w:rsidR="002468B5">
        <w:t xml:space="preserve">Money </w:t>
      </w:r>
      <w:proofErr w:type="spellStart"/>
      <w:r w:rsidR="002468B5">
        <w:t>TxIds</w:t>
      </w:r>
      <w:proofErr w:type="spellEnd"/>
    </w:p>
    <w:p w:rsidR="00D22A12" w:rsidRDefault="00D22A12" w:rsidP="002468B5">
      <w:pPr>
        <w:pStyle w:val="ListParagraph"/>
        <w:numPr>
          <w:ilvl w:val="0"/>
          <w:numId w:val="37"/>
        </w:numPr>
      </w:pPr>
      <w:r>
        <w:t xml:space="preserve">Columns for Fill and Sort. These two actions each require a column. You can create a new column for each e.g. </w:t>
      </w:r>
      <w:r w:rsidR="004F5B3B">
        <w:t xml:space="preserve">new </w:t>
      </w:r>
      <w:r>
        <w:t xml:space="preserve">Col A and Col B, but bear in mind that at this stage there are three existing columns on the left which are unused, </w:t>
      </w:r>
      <w:r w:rsidR="004F5B3B">
        <w:t>ID (Col A), Level (Col C) and BRO Name (Col D). So these can be used, and then the contents deleted when the exercise is complete.</w:t>
      </w:r>
    </w:p>
    <w:p w:rsidR="002468B5" w:rsidRPr="002468B5" w:rsidRDefault="00D973C6" w:rsidP="002468B5">
      <w:pPr>
        <w:pStyle w:val="ListParagraph"/>
        <w:numPr>
          <w:ilvl w:val="0"/>
          <w:numId w:val="37"/>
        </w:numPr>
      </w:pPr>
      <w:r>
        <w:t xml:space="preserve">In </w:t>
      </w:r>
      <w:r w:rsidR="004F5B3B">
        <w:t xml:space="preserve">left most </w:t>
      </w:r>
      <w:r>
        <w:t>new or unused Column (example Column A), p</w:t>
      </w:r>
      <w:r w:rsidR="005F11AF">
        <w:t xml:space="preserve">ut Fill values against each BRO Dimension, including </w:t>
      </w:r>
      <w:proofErr w:type="spellStart"/>
      <w:r w:rsidR="005F11AF">
        <w:t>TxId</w:t>
      </w:r>
      <w:proofErr w:type="spellEnd"/>
      <w:r w:rsidR="005F11AF">
        <w:t xml:space="preserve"> without any Dimension e.g. Debtors</w:t>
      </w:r>
    </w:p>
    <w:p w:rsidR="002468B5" w:rsidRDefault="005F11AF" w:rsidP="002468B5">
      <w:pPr>
        <w:pStyle w:val="ListParagraph"/>
        <w:numPr>
          <w:ilvl w:val="0"/>
          <w:numId w:val="37"/>
        </w:numPr>
      </w:pPr>
      <w:r>
        <w:t>Check if count for all Dimensions is the same.</w:t>
      </w:r>
    </w:p>
    <w:p w:rsidR="00BC6118" w:rsidRDefault="00BC6118" w:rsidP="00BC6118">
      <w:pPr>
        <w:pStyle w:val="ListParagraph"/>
        <w:numPr>
          <w:ilvl w:val="1"/>
          <w:numId w:val="37"/>
        </w:numPr>
      </w:pPr>
      <w:r>
        <w:t xml:space="preserve">It is assumed that the order of the </w:t>
      </w:r>
      <w:proofErr w:type="spellStart"/>
      <w:r>
        <w:t>TxIds</w:t>
      </w:r>
      <w:proofErr w:type="spellEnd"/>
      <w:r>
        <w:t xml:space="preserve"> for each dimension will already be in the same order (as defined by the UK GAAP Taxonomy, but just do a quick visual check to make sure this is the case)</w:t>
      </w:r>
    </w:p>
    <w:p w:rsidR="00D973C6" w:rsidRPr="00D973C6" w:rsidRDefault="005F11AF" w:rsidP="00D973C6">
      <w:pPr>
        <w:pStyle w:val="ListParagraph"/>
        <w:numPr>
          <w:ilvl w:val="1"/>
          <w:numId w:val="37"/>
        </w:numPr>
      </w:pPr>
      <w:r>
        <w:t xml:space="preserve">If </w:t>
      </w:r>
      <w:r w:rsidR="00BC6118">
        <w:t>either the count or the order are not the same</w:t>
      </w:r>
      <w:r w:rsidR="00BC3CF4">
        <w:t>,</w:t>
      </w:r>
      <w:r>
        <w:t xml:space="preserve"> look to see which </w:t>
      </w:r>
      <w:r w:rsidR="00BC6118">
        <w:t xml:space="preserve">are </w:t>
      </w:r>
      <w:r>
        <w:t xml:space="preserve">missing </w:t>
      </w:r>
      <w:r w:rsidR="00BC6118">
        <w:t xml:space="preserve">or out of order, </w:t>
      </w:r>
      <w:r>
        <w:t xml:space="preserve">and adjust subsequent Fill </w:t>
      </w:r>
      <w:proofErr w:type="gramStart"/>
      <w:r>
        <w:t>numbers</w:t>
      </w:r>
      <w:r w:rsidR="00D973C6">
        <w:t>.</w:t>
      </w:r>
      <w:proofErr w:type="gramEnd"/>
      <w:r w:rsidR="00D973C6">
        <w:t xml:space="preserve"> </w:t>
      </w:r>
      <w:r w:rsidR="00BC6118">
        <w:t>For example</w:t>
      </w:r>
      <w:r w:rsidR="00D973C6">
        <w:t xml:space="preserve"> in Debtors, </w:t>
      </w:r>
      <w:proofErr w:type="spellStart"/>
      <w:r w:rsidR="00D973C6" w:rsidRPr="00D973C6">
        <w:t>CalledUpShareCapitalNot-</w:t>
      </w:r>
      <w:proofErr w:type="gramStart"/>
      <w:r w:rsidR="00D973C6" w:rsidRPr="00D973C6">
        <w:t>paidCurrentAsset</w:t>
      </w:r>
      <w:proofErr w:type="spellEnd"/>
      <w:r w:rsidR="00BC6118">
        <w:t>,</w:t>
      </w:r>
      <w:proofErr w:type="gramEnd"/>
      <w:r w:rsidR="00BC6118">
        <w:t xml:space="preserve"> appears as both “total”</w:t>
      </w:r>
      <w:r w:rsidR="00D973C6">
        <w:t xml:space="preserve"> </w:t>
      </w:r>
      <w:r w:rsidR="00BC6118">
        <w:t>and</w:t>
      </w:r>
      <w:r w:rsidR="00D973C6">
        <w:t xml:space="preserve"> </w:t>
      </w:r>
      <w:r w:rsidR="00BC6118">
        <w:t>“</w:t>
      </w:r>
      <w:r w:rsidR="00D973C6">
        <w:t>Less than 1 year</w:t>
      </w:r>
      <w:r w:rsidR="00BC6118">
        <w:t>”</w:t>
      </w:r>
      <w:r w:rsidR="00D973C6">
        <w:t xml:space="preserve">, </w:t>
      </w:r>
      <w:r w:rsidR="00BC6118">
        <w:t xml:space="preserve">but </w:t>
      </w:r>
      <w:r w:rsidR="00D973C6">
        <w:t>no</w:t>
      </w:r>
      <w:r w:rsidR="00BC6118">
        <w:t>t</w:t>
      </w:r>
      <w:r w:rsidR="00D973C6">
        <w:t xml:space="preserve"> </w:t>
      </w:r>
      <w:r w:rsidR="00BC6118">
        <w:t>“</w:t>
      </w:r>
      <w:r w:rsidR="00D973C6">
        <w:t>Greater than 1 year</w:t>
      </w:r>
      <w:r w:rsidR="00BC6118">
        <w:t>”</w:t>
      </w:r>
      <w:r w:rsidR="00D973C6">
        <w:t>.</w:t>
      </w:r>
    </w:p>
    <w:p w:rsidR="009F47C9" w:rsidRDefault="009F47C9" w:rsidP="005F11AF">
      <w:pPr>
        <w:pStyle w:val="ListParagraph"/>
        <w:numPr>
          <w:ilvl w:val="1"/>
          <w:numId w:val="37"/>
        </w:numPr>
      </w:pPr>
      <w:r>
        <w:t>I cannot see any fully automatic way of doing this. One cannot sort by Element because that may be different between the Dimensions e.g. “Debtors” matches “</w:t>
      </w:r>
      <w:proofErr w:type="spellStart"/>
      <w:r>
        <w:t>DebtorsDueWithinOneYear</w:t>
      </w:r>
      <w:proofErr w:type="spellEnd"/>
      <w:r>
        <w:t>” and “</w:t>
      </w:r>
      <w:proofErr w:type="spellStart"/>
      <w:r>
        <w:t>DebtorsDueAfterOneYear</w:t>
      </w:r>
      <w:proofErr w:type="spellEnd"/>
      <w:r>
        <w:t>”. Just these three by themselves would come out in the wrong order. In addition there are other Labels starting with the Label “Debtor</w:t>
      </w:r>
      <w:proofErr w:type="gramStart"/>
      <w:r>
        <w:t>..”</w:t>
      </w:r>
      <w:proofErr w:type="gramEnd"/>
      <w:r>
        <w:t xml:space="preserve"> that can get interspersed. Nevertheless it might help to visually pinpoint the “missing” items. If not just scan manually down the column.</w:t>
      </w:r>
    </w:p>
    <w:p w:rsidR="00D973C6" w:rsidRDefault="009F47C9" w:rsidP="005F11AF">
      <w:pPr>
        <w:pStyle w:val="ListParagraph"/>
        <w:numPr>
          <w:ilvl w:val="1"/>
          <w:numId w:val="37"/>
        </w:numPr>
      </w:pPr>
      <w:r>
        <w:t>Whichever method is used, put them back in default order and a</w:t>
      </w:r>
      <w:r w:rsidR="00D973C6">
        <w:t xml:space="preserve">djust numbers  i.e. delete and move up, so all numbers match </w:t>
      </w:r>
      <w:r w:rsidR="00BC6118">
        <w:t xml:space="preserve">the equivalent </w:t>
      </w:r>
      <w:proofErr w:type="spellStart"/>
      <w:r w:rsidR="00D973C6">
        <w:t>TxId</w:t>
      </w:r>
      <w:proofErr w:type="spellEnd"/>
      <w:r w:rsidR="00D973C6">
        <w:t xml:space="preserve"> description</w:t>
      </w:r>
    </w:p>
    <w:p w:rsidR="00D973C6" w:rsidRDefault="004F5B3B" w:rsidP="00D973C6">
      <w:pPr>
        <w:pStyle w:val="ListParagraph"/>
        <w:numPr>
          <w:ilvl w:val="0"/>
          <w:numId w:val="37"/>
        </w:numPr>
      </w:pPr>
      <w:r>
        <w:t>In a new or unused column to the right of the one used for Fill e.g. Col B, enter a</w:t>
      </w:r>
      <w:r w:rsidR="00D973C6">
        <w:t xml:space="preserve"> value</w:t>
      </w:r>
      <w:r>
        <w:t xml:space="preserve"> </w:t>
      </w:r>
      <w:r w:rsidR="00D973C6">
        <w:t>against each Dimension in the required order e.g. for Debtors</w:t>
      </w:r>
    </w:p>
    <w:p w:rsidR="005F11AF" w:rsidRDefault="00D973C6" w:rsidP="004F5B3B">
      <w:pPr>
        <w:pStyle w:val="ListParagraph"/>
        <w:numPr>
          <w:ilvl w:val="1"/>
          <w:numId w:val="39"/>
        </w:numPr>
      </w:pPr>
      <w:r>
        <w:t xml:space="preserve">A for all Un-aged </w:t>
      </w:r>
    </w:p>
    <w:p w:rsidR="00D973C6" w:rsidRDefault="00D973C6" w:rsidP="004F5B3B">
      <w:pPr>
        <w:pStyle w:val="ListParagraph"/>
        <w:numPr>
          <w:ilvl w:val="1"/>
          <w:numId w:val="39"/>
        </w:numPr>
      </w:pPr>
      <w:r>
        <w:t>B for all &lt; 1year</w:t>
      </w:r>
    </w:p>
    <w:p w:rsidR="00D973C6" w:rsidRDefault="00D973C6" w:rsidP="004F5B3B">
      <w:pPr>
        <w:pStyle w:val="ListParagraph"/>
        <w:numPr>
          <w:ilvl w:val="1"/>
          <w:numId w:val="39"/>
        </w:numPr>
      </w:pPr>
      <w:r>
        <w:t>C for all &gt;1 year.</w:t>
      </w:r>
    </w:p>
    <w:p w:rsidR="00D973C6" w:rsidRDefault="00D973C6" w:rsidP="00D973C6">
      <w:pPr>
        <w:pStyle w:val="ListParagraph"/>
        <w:numPr>
          <w:ilvl w:val="0"/>
          <w:numId w:val="37"/>
        </w:numPr>
      </w:pPr>
      <w:r>
        <w:t xml:space="preserve">Sort. One can now sort by </w:t>
      </w:r>
      <w:r w:rsidR="004F5B3B">
        <w:t xml:space="preserve">Fill e.g. </w:t>
      </w:r>
      <w:r>
        <w:t xml:space="preserve">Col A and then </w:t>
      </w:r>
      <w:r w:rsidR="004F5B3B">
        <w:t xml:space="preserve">by Dimension order </w:t>
      </w:r>
      <w:proofErr w:type="spellStart"/>
      <w:r w:rsidR="004F5B3B">
        <w:t>e.g.</w:t>
      </w:r>
      <w:r>
        <w:t>Column</w:t>
      </w:r>
      <w:proofErr w:type="spellEnd"/>
      <w:r>
        <w:t xml:space="preserve"> B</w:t>
      </w:r>
    </w:p>
    <w:p w:rsidR="00595599" w:rsidRDefault="00595599" w:rsidP="00595599">
      <w:pPr>
        <w:pStyle w:val="ListParagraph"/>
        <w:numPr>
          <w:ilvl w:val="0"/>
          <w:numId w:val="37"/>
        </w:numPr>
      </w:pPr>
      <w:r>
        <w:t>Check if count for all Dimensions is the same. (part 2)</w:t>
      </w:r>
    </w:p>
    <w:p w:rsidR="00BC3CF4" w:rsidRDefault="00BC3CF4" w:rsidP="00D973C6">
      <w:pPr>
        <w:pStyle w:val="ListParagraph"/>
        <w:numPr>
          <w:ilvl w:val="0"/>
          <w:numId w:val="37"/>
        </w:numPr>
      </w:pPr>
    </w:p>
    <w:p w:rsidR="004005F2" w:rsidRDefault="004005F2" w:rsidP="005558C0"/>
    <w:p w:rsidR="003C3BF5" w:rsidRDefault="003C3BF5" w:rsidP="003C3BF5">
      <w:pPr>
        <w:pStyle w:val="Heading1"/>
      </w:pPr>
      <w:bookmarkStart w:id="16" w:name="_Toc323925322"/>
      <w:r>
        <w:t>Operational points</w:t>
      </w:r>
      <w:bookmarkEnd w:id="16"/>
    </w:p>
    <w:p w:rsidR="003C3BF5" w:rsidRDefault="003C3BF5" w:rsidP="003C3BF5">
      <w:pPr>
        <w:pStyle w:val="Heading2"/>
      </w:pPr>
      <w:bookmarkStart w:id="17" w:name="_Toc323925323"/>
      <w:r>
        <w:t>Modes of data entry</w:t>
      </w:r>
      <w:bookmarkEnd w:id="17"/>
    </w:p>
    <w:p w:rsidR="003C3BF5" w:rsidRDefault="003C3BF5" w:rsidP="003C3BF5">
      <w:r>
        <w:t>This splits into to two areas</w:t>
      </w:r>
    </w:p>
    <w:p w:rsidR="003C3BF5" w:rsidRDefault="003C3BF5" w:rsidP="003C3BF5">
      <w:r>
        <w:t>Automatic versus Manual</w:t>
      </w:r>
    </w:p>
    <w:p w:rsidR="003C3BF5" w:rsidRDefault="003C3BF5" w:rsidP="003C3BF5">
      <w:r>
        <w:t>Closing Trial Balance versus Opening or Extended Trial Balance</w:t>
      </w:r>
    </w:p>
    <w:p w:rsidR="003C3BF5" w:rsidRDefault="003C3BF5" w:rsidP="003C3BF5">
      <w:pPr>
        <w:pStyle w:val="Heading3"/>
      </w:pPr>
      <w:bookmarkStart w:id="18" w:name="_Toc323925324"/>
      <w:r>
        <w:t>Automatic versus Manual</w:t>
      </w:r>
      <w:bookmarkEnd w:id="18"/>
    </w:p>
    <w:p w:rsidR="003C3BF5" w:rsidRDefault="003C3BF5" w:rsidP="003C3BF5">
      <w:r>
        <w:t>This is simply whether data is imported directly in from an electronic source via a mapping file, or posted manually by a User.</w:t>
      </w:r>
    </w:p>
    <w:p w:rsidR="003C3BF5" w:rsidRDefault="003C3BF5" w:rsidP="003C3BF5"/>
    <w:p w:rsidR="003C3BF5" w:rsidRDefault="003C3BF5" w:rsidP="003C3BF5">
      <w:r>
        <w:lastRenderedPageBreak/>
        <w:t>The two methods are not mutually exclusive, but issues of control and feed-back arise where both methods are used.</w:t>
      </w:r>
    </w:p>
    <w:p w:rsidR="003C3BF5" w:rsidRDefault="00D72676" w:rsidP="003C3BF5">
      <w:pPr>
        <w:pStyle w:val="Heading3"/>
      </w:pPr>
      <w:bookmarkStart w:id="19" w:name="_Toc323925325"/>
      <w:r>
        <w:t>Data Readiness -</w:t>
      </w:r>
      <w:r w:rsidR="00184F1E">
        <w:t xml:space="preserve">Adjusted </w:t>
      </w:r>
      <w:r w:rsidR="003C3BF5">
        <w:t>Closing Trial Balance versus Opening or Extended Trial Balance</w:t>
      </w:r>
      <w:bookmarkEnd w:id="19"/>
    </w:p>
    <w:p w:rsidR="003C3BF5" w:rsidRDefault="003C3BF5" w:rsidP="003C3BF5">
      <w:r>
        <w:t xml:space="preserve">To re-iterate, </w:t>
      </w:r>
      <w:r w:rsidR="00D72676">
        <w:t>BRAIINS is not designed to be a</w:t>
      </w:r>
      <w:r>
        <w:t xml:space="preserve"> general accounting system. Its </w:t>
      </w:r>
      <w:r w:rsidR="00184F1E">
        <w:t>basic unit or level of “granularity” is a GL balance.</w:t>
      </w:r>
    </w:p>
    <w:p w:rsidR="00184F1E" w:rsidRDefault="00184F1E" w:rsidP="003C3BF5"/>
    <w:p w:rsidR="00184F1E" w:rsidRDefault="00184F1E" w:rsidP="003C3BF5">
      <w:r>
        <w:t>But it should allow for the varying degrees of “final account readiness” from the Entity.</w:t>
      </w:r>
    </w:p>
    <w:p w:rsidR="00D72676" w:rsidRDefault="00184F1E" w:rsidP="003C3BF5">
      <w:r>
        <w:t>The degrees might be described as</w:t>
      </w:r>
      <w:r w:rsidR="00D72676">
        <w:t xml:space="preserve"> follows (note that they are in decreasing degrees of completeness)</w:t>
      </w:r>
    </w:p>
    <w:p w:rsidR="00C03468" w:rsidRDefault="00C03468" w:rsidP="00D72676">
      <w:pPr>
        <w:rPr>
          <w:b/>
        </w:rPr>
      </w:pPr>
    </w:p>
    <w:p w:rsidR="00D72676" w:rsidRPr="00D72676" w:rsidRDefault="00D72676" w:rsidP="00D72676">
      <w:pPr>
        <w:rPr>
          <w:b/>
        </w:rPr>
      </w:pPr>
      <w:r w:rsidRPr="00D72676">
        <w:rPr>
          <w:b/>
        </w:rPr>
        <w:t>Adjusted Closing Trial Balance</w:t>
      </w:r>
    </w:p>
    <w:p w:rsidR="00D72676" w:rsidRDefault="00D72676" w:rsidP="00D72676">
      <w:r>
        <w:t xml:space="preserve">This is what would be expected from larger </w:t>
      </w:r>
      <w:r w:rsidR="006F7FF6">
        <w:t xml:space="preserve">Entities with more </w:t>
      </w:r>
      <w:r>
        <w:t xml:space="preserve">sophisticated </w:t>
      </w:r>
      <w:r w:rsidR="006F7FF6">
        <w:t xml:space="preserve">accounting systems </w:t>
      </w:r>
      <w:r>
        <w:t>or from Agent</w:t>
      </w:r>
      <w:r w:rsidR="006F7FF6">
        <w:t>s</w:t>
      </w:r>
      <w:r>
        <w:t xml:space="preserve"> </w:t>
      </w:r>
      <w:r w:rsidR="006F7FF6">
        <w:t xml:space="preserve">who </w:t>
      </w:r>
      <w:r>
        <w:t>use their own processes or tools to get to this point.</w:t>
      </w:r>
    </w:p>
    <w:p w:rsidR="00D72676" w:rsidRDefault="00D72676" w:rsidP="00D72676"/>
    <w:p w:rsidR="00D72676" w:rsidRPr="003C3BF5" w:rsidRDefault="006F7FF6" w:rsidP="00D72676">
      <w:r>
        <w:t>This means that all BRAIINS would need to hold is a single Closing Trial Balance for each year.</w:t>
      </w:r>
    </w:p>
    <w:p w:rsidR="00D72676" w:rsidRDefault="00D72676" w:rsidP="003C3BF5">
      <w:pPr>
        <w:rPr>
          <w:b/>
        </w:rPr>
      </w:pPr>
    </w:p>
    <w:p w:rsidR="00184F1E" w:rsidRPr="00D72676" w:rsidRDefault="00D72676" w:rsidP="003C3BF5">
      <w:pPr>
        <w:rPr>
          <w:b/>
        </w:rPr>
      </w:pPr>
      <w:r w:rsidRPr="00D72676">
        <w:rPr>
          <w:b/>
        </w:rPr>
        <w:t>Unadjusted Closing Trial Balance</w:t>
      </w:r>
    </w:p>
    <w:p w:rsidR="00D72676" w:rsidRDefault="00D72676" w:rsidP="003C3BF5">
      <w:r>
        <w:t>Essentially this is what would typically be produced by a SME entity using a program such as Sage Line 50, TAS Books or Intuit. The trial balance merely reflects the balance of the daily operations without any special adjustments to reflect period ends or adjustments and additions to provide required accounting information for regulatory accounts</w:t>
      </w:r>
    </w:p>
    <w:p w:rsidR="006F7FF6" w:rsidRDefault="006F7FF6" w:rsidP="003C3BF5"/>
    <w:p w:rsidR="006F7FF6" w:rsidRDefault="006F7FF6" w:rsidP="003C3BF5">
      <w:r>
        <w:t>This means that BRAIINS would need to hold a Trial Balance plus various forms of Adjustment Journals. These Adjustment journals could be shown in the form of an Extended Trial Balance, but this is not essential.</w:t>
      </w:r>
    </w:p>
    <w:p w:rsidR="006F7FF6" w:rsidRDefault="006F7FF6" w:rsidP="003C3BF5"/>
    <w:p w:rsidR="006F7FF6" w:rsidRDefault="00ED3432" w:rsidP="003C3BF5">
      <w:r>
        <w:t xml:space="preserve">End of period entries </w:t>
      </w:r>
      <w:r w:rsidR="006F7FF6">
        <w:t>would cover:</w:t>
      </w:r>
    </w:p>
    <w:p w:rsidR="00ED3432" w:rsidRDefault="00ED3432" w:rsidP="003C3BF5">
      <w:r>
        <w:t>Adjusting entries</w:t>
      </w:r>
    </w:p>
    <w:p w:rsidR="00ED3432" w:rsidRDefault="00ED3432" w:rsidP="00ED3432">
      <w:pPr>
        <w:pStyle w:val="ListParagraph"/>
        <w:numPr>
          <w:ilvl w:val="0"/>
          <w:numId w:val="29"/>
        </w:numPr>
      </w:pPr>
      <w:r>
        <w:t>Unexpired costs</w:t>
      </w:r>
    </w:p>
    <w:p w:rsidR="00ED3432" w:rsidRDefault="00ED3432" w:rsidP="00ED3432">
      <w:pPr>
        <w:pStyle w:val="ListParagraph"/>
        <w:numPr>
          <w:ilvl w:val="0"/>
          <w:numId w:val="29"/>
        </w:numPr>
      </w:pPr>
      <w:r>
        <w:t>Unearned income</w:t>
      </w:r>
    </w:p>
    <w:p w:rsidR="00ED3432" w:rsidRDefault="00ED3432" w:rsidP="00ED3432">
      <w:pPr>
        <w:pStyle w:val="ListParagraph"/>
        <w:numPr>
          <w:ilvl w:val="0"/>
          <w:numId w:val="29"/>
        </w:numPr>
      </w:pPr>
      <w:r>
        <w:t>Unrecorded expenses</w:t>
      </w:r>
    </w:p>
    <w:p w:rsidR="00ED3432" w:rsidRDefault="00ED3432" w:rsidP="00ED3432">
      <w:pPr>
        <w:pStyle w:val="ListParagraph"/>
        <w:numPr>
          <w:ilvl w:val="0"/>
          <w:numId w:val="29"/>
        </w:numPr>
      </w:pPr>
      <w:r>
        <w:t>Unrecorded revenues</w:t>
      </w:r>
    </w:p>
    <w:p w:rsidR="00ED3432" w:rsidRDefault="00ED3432" w:rsidP="00ED3432">
      <w:r>
        <w:t>Change in value of Fixed Assets</w:t>
      </w:r>
    </w:p>
    <w:p w:rsidR="00ED3432" w:rsidRDefault="00ED3432" w:rsidP="00ED3432">
      <w:pPr>
        <w:pStyle w:val="ListParagraph"/>
        <w:numPr>
          <w:ilvl w:val="0"/>
          <w:numId w:val="29"/>
        </w:numPr>
      </w:pPr>
      <w:r>
        <w:t>Depletion: Depreciation/amortisation</w:t>
      </w:r>
    </w:p>
    <w:p w:rsidR="00ED3432" w:rsidRDefault="00ED3432" w:rsidP="00ED3432">
      <w:pPr>
        <w:pStyle w:val="ListParagraph"/>
        <w:numPr>
          <w:ilvl w:val="0"/>
          <w:numId w:val="29"/>
        </w:numPr>
      </w:pPr>
      <w:r>
        <w:t>Impairment: Provision for depreciation</w:t>
      </w:r>
    </w:p>
    <w:p w:rsidR="00ED3432" w:rsidRDefault="00ED3432" w:rsidP="00ED3432">
      <w:r>
        <w:t>Change in value of current assets</w:t>
      </w:r>
    </w:p>
    <w:p w:rsidR="00ED3432" w:rsidRDefault="00ED3432" w:rsidP="00ED3432">
      <w:pPr>
        <w:pStyle w:val="ListParagraph"/>
        <w:numPr>
          <w:ilvl w:val="0"/>
          <w:numId w:val="29"/>
        </w:numPr>
      </w:pPr>
      <w:r>
        <w:t>Valuation allowances</w:t>
      </w:r>
    </w:p>
    <w:p w:rsidR="00ED3432" w:rsidRDefault="00ED3432" w:rsidP="00ED3432">
      <w:pPr>
        <w:pStyle w:val="ListParagraph"/>
        <w:numPr>
          <w:ilvl w:val="0"/>
          <w:numId w:val="29"/>
        </w:numPr>
      </w:pPr>
      <w:r>
        <w:t>Provision for depreciation (AR, Inventories, Current Investments)</w:t>
      </w:r>
    </w:p>
    <w:p w:rsidR="00ED3432" w:rsidRDefault="00ED3432" w:rsidP="00ED3432">
      <w:r>
        <w:t>Ending inventory</w:t>
      </w:r>
    </w:p>
    <w:p w:rsidR="00ED3432" w:rsidRDefault="00ED3432" w:rsidP="00ED3432">
      <w:r>
        <w:t>Error correction</w:t>
      </w:r>
    </w:p>
    <w:p w:rsidR="00ED3432" w:rsidRDefault="00ED3432" w:rsidP="00ED3432">
      <w:r>
        <w:t>Closing entries</w:t>
      </w:r>
    </w:p>
    <w:p w:rsidR="006F7FF6" w:rsidRDefault="006F7FF6" w:rsidP="003C3BF5"/>
    <w:p w:rsidR="00C03468" w:rsidRDefault="00C03468" w:rsidP="003C3BF5">
      <w:r>
        <w:t>In incorporating these entry types, BRAIINS can also carry out much more data validation e.g. there is an entry in an Inventory NL account, but nothing shown in the Ending Inventory Journal. Or even more simply, no entries have been posted in any of the Adjusting Entry type journals = highly unlikely.</w:t>
      </w:r>
    </w:p>
    <w:p w:rsidR="00C03468" w:rsidRDefault="003F5604" w:rsidP="003F5604">
      <w:pPr>
        <w:pStyle w:val="Heading2"/>
      </w:pPr>
      <w:bookmarkStart w:id="20" w:name="_Toc323925326"/>
      <w:r>
        <w:t xml:space="preserve">BROS Function </w:t>
      </w:r>
      <w:r w:rsidRPr="003F5604">
        <w:rPr>
          <w:rStyle w:val="Heading2Char"/>
        </w:rPr>
        <w:t>–</w:t>
      </w:r>
      <w:r>
        <w:t xml:space="preserve"> Sorting</w:t>
      </w:r>
      <w:bookmarkEnd w:id="20"/>
    </w:p>
    <w:p w:rsidR="003F5604" w:rsidRDefault="003F5604" w:rsidP="00D72676">
      <w:r w:rsidRPr="003F5604">
        <w:t xml:space="preserve">If </w:t>
      </w:r>
      <w:r>
        <w:t>sorting out a load of BROS that involve e BROS Function there are a number of things that can make this easier.</w:t>
      </w:r>
    </w:p>
    <w:p w:rsidR="003F5604" w:rsidRDefault="003F5604" w:rsidP="00D72676"/>
    <w:p w:rsidR="003F5604" w:rsidRDefault="003F5604" w:rsidP="00D72676">
      <w:r>
        <w:t xml:space="preserve">Assuming that a whole mass of </w:t>
      </w:r>
      <w:proofErr w:type="spellStart"/>
      <w:r>
        <w:t>TxId</w:t>
      </w:r>
      <w:proofErr w:type="spellEnd"/>
      <w:r>
        <w:t xml:space="preserve"> have been downloaded using </w:t>
      </w:r>
      <w:r w:rsidRPr="003F5604">
        <w:rPr>
          <w:i/>
        </w:rPr>
        <w:t>Bro Data Prep Version of Lookup of UK-GAAP Taxonomy Element(s)</w:t>
      </w:r>
      <w:r>
        <w:t xml:space="preserve"> the following steps help</w:t>
      </w:r>
    </w:p>
    <w:p w:rsidR="003F5604" w:rsidRDefault="003F5604" w:rsidP="003A0E35">
      <w:pPr>
        <w:pStyle w:val="ListParagraph"/>
        <w:numPr>
          <w:ilvl w:val="0"/>
          <w:numId w:val="35"/>
        </w:numPr>
      </w:pPr>
      <w:r>
        <w:t xml:space="preserve">Keep the </w:t>
      </w:r>
      <w:proofErr w:type="spellStart"/>
      <w:r>
        <w:t>TxIds</w:t>
      </w:r>
      <w:proofErr w:type="spellEnd"/>
      <w:r>
        <w:t xml:space="preserve"> in downloaded order</w:t>
      </w:r>
    </w:p>
    <w:p w:rsidR="003F5604" w:rsidRDefault="003F5604" w:rsidP="003A0E35">
      <w:pPr>
        <w:pStyle w:val="ListParagraph"/>
        <w:numPr>
          <w:ilvl w:val="0"/>
          <w:numId w:val="35"/>
        </w:numPr>
      </w:pPr>
      <w:r>
        <w:t xml:space="preserve">Do the normal </w:t>
      </w:r>
      <w:r w:rsidR="003A0E35">
        <w:t>steps (see above)</w:t>
      </w:r>
      <w:proofErr w:type="gramStart"/>
      <w:r w:rsidR="003A0E35">
        <w:t>.</w:t>
      </w:r>
      <w:proofErr w:type="gramEnd"/>
    </w:p>
    <w:p w:rsidR="003F5604" w:rsidRDefault="003F5604" w:rsidP="003A0E35">
      <w:pPr>
        <w:pStyle w:val="ListParagraph"/>
        <w:numPr>
          <w:ilvl w:val="0"/>
          <w:numId w:val="35"/>
        </w:numPr>
      </w:pPr>
      <w:r>
        <w:t xml:space="preserve">Create or Use blank a column to Fill with the number of rows in each </w:t>
      </w:r>
      <w:r w:rsidR="003A0E35">
        <w:t xml:space="preserve">Function e.g. Total, Less than 1 year, Greater than 1 years or if PL, Total, Cos, </w:t>
      </w:r>
      <w:proofErr w:type="spellStart"/>
      <w:r w:rsidR="003A0E35">
        <w:t>Distrib</w:t>
      </w:r>
      <w:proofErr w:type="spellEnd"/>
      <w:r w:rsidR="003A0E35">
        <w:t xml:space="preserve">, Admin. </w:t>
      </w:r>
      <w:r>
        <w:t xml:space="preserve"> </w:t>
      </w:r>
    </w:p>
    <w:p w:rsidR="003F5604" w:rsidRPr="003F5604" w:rsidRDefault="003F5604" w:rsidP="00D72676">
      <w:r>
        <w:t xml:space="preserve"> </w:t>
      </w:r>
    </w:p>
    <w:p w:rsidR="00D72676" w:rsidRPr="00D72676" w:rsidRDefault="00D72676" w:rsidP="00D72676">
      <w:pPr>
        <w:rPr>
          <w:b/>
        </w:rPr>
      </w:pPr>
      <w:r w:rsidRPr="00D72676">
        <w:rPr>
          <w:b/>
        </w:rPr>
        <w:t>Incomplete Records</w:t>
      </w:r>
    </w:p>
    <w:p w:rsidR="00D72676" w:rsidRDefault="00D72676" w:rsidP="00D72676">
      <w:r>
        <w:lastRenderedPageBreak/>
        <w:t>Essentially there are no meaningful accounts, just bags of source and some rough schedules.</w:t>
      </w:r>
    </w:p>
    <w:p w:rsidR="00C03468" w:rsidRDefault="00C03468" w:rsidP="00D72676"/>
    <w:p w:rsidR="00C03468" w:rsidRDefault="00C03468" w:rsidP="00D72676">
      <w:r>
        <w:t>This is the most complex for BRAIINS to handle. Essentially it is dealing with Daybooks (=detailed transactions) rather than Trial Balances (=summarised figures).</w:t>
      </w:r>
    </w:p>
    <w:p w:rsidR="00C03468" w:rsidRDefault="00C03468" w:rsidP="00D72676"/>
    <w:p w:rsidR="00C03468" w:rsidRDefault="00C03468" w:rsidP="004B77DC">
      <w:r>
        <w:t>I am going to leave this area suspended as at the time of writing (18 April 2012).</w:t>
      </w:r>
    </w:p>
    <w:p w:rsidR="00885174" w:rsidRDefault="00885174" w:rsidP="004B77DC">
      <w:r>
        <w:t>The reasons are:</w:t>
      </w:r>
    </w:p>
    <w:p w:rsidR="00885174" w:rsidRDefault="004B77DC" w:rsidP="004B77DC">
      <w:pPr>
        <w:pStyle w:val="ListParagraph"/>
        <w:numPr>
          <w:ilvl w:val="0"/>
          <w:numId w:val="31"/>
        </w:numPr>
      </w:pPr>
      <w:r>
        <w:t>S</w:t>
      </w:r>
      <w:r w:rsidR="00C03468">
        <w:t>uspect very few entities actually work from incomplete records; and certainly if they are ones needing to report under UK GAAP (or an IFRS).</w:t>
      </w:r>
    </w:p>
    <w:p w:rsidR="00C03468" w:rsidRDefault="004B77DC" w:rsidP="004B77DC">
      <w:pPr>
        <w:pStyle w:val="ListParagraph"/>
        <w:numPr>
          <w:ilvl w:val="0"/>
          <w:numId w:val="31"/>
        </w:numPr>
      </w:pPr>
      <w:r>
        <w:t xml:space="preserve">Therefore </w:t>
      </w:r>
      <w:r w:rsidR="00C03468">
        <w:t xml:space="preserve">we could waste a lot of time just working through the requirements (let alone </w:t>
      </w:r>
      <w:r w:rsidR="00885174">
        <w:t xml:space="preserve">the much greater work involved </w:t>
      </w:r>
      <w:r w:rsidR="00C03468">
        <w:t>should we bother to construct</w:t>
      </w:r>
      <w:r w:rsidR="00885174">
        <w:t xml:space="preserve"> any additional modules) for no practical value.</w:t>
      </w:r>
    </w:p>
    <w:p w:rsidR="00C03468" w:rsidRDefault="00953420" w:rsidP="004B77DC">
      <w:r>
        <w:t>Revision</w:t>
      </w:r>
    </w:p>
    <w:p w:rsidR="00953420" w:rsidRDefault="00953420" w:rsidP="004B77DC">
      <w:r>
        <w:t>Consider that we avoid doing Incomplete Records at all and merely direct any User wanting to use such an entry method to one of the On-Line systems designed specifically for this purpose.</w:t>
      </w:r>
    </w:p>
    <w:p w:rsidR="00953420" w:rsidRDefault="00953420" w:rsidP="004B77DC">
      <w:r>
        <w:t>We then just import the trial balance.</w:t>
      </w:r>
    </w:p>
    <w:p w:rsidR="004B77DC" w:rsidRDefault="004B77DC" w:rsidP="004B77DC"/>
    <w:p w:rsidR="00953420" w:rsidRDefault="00953420" w:rsidP="004B77DC">
      <w:r>
        <w:t>Potential programs</w:t>
      </w:r>
    </w:p>
    <w:p w:rsidR="002C1D7E" w:rsidRDefault="002C1D7E" w:rsidP="004B77DC">
      <w:r>
        <w:t xml:space="preserve">HMRC are now listing programs that meet their </w:t>
      </w:r>
    </w:p>
    <w:p w:rsidR="002C1D7E" w:rsidRDefault="00BC6118" w:rsidP="004B77DC">
      <w:hyperlink r:id="rId9" w:history="1">
        <w:r w:rsidR="002C1D7E" w:rsidRPr="00FC1FAB">
          <w:rPr>
            <w:rStyle w:val="Hyperlink"/>
          </w:rPr>
          <w:t>http://www.hmrc.gov.uk/softwaredevelopers/mobile-apps/record-keeping.htm</w:t>
        </w:r>
      </w:hyperlink>
    </w:p>
    <w:p w:rsidR="002C1D7E" w:rsidRDefault="002C1D7E" w:rsidP="004B77DC"/>
    <w:p w:rsidR="002C1D7E" w:rsidRDefault="002C1D7E" w:rsidP="004B77DC"/>
    <w:p w:rsidR="00953420" w:rsidRPr="004B77DC" w:rsidRDefault="00953420" w:rsidP="004B77DC">
      <w:pPr>
        <w:rPr>
          <w:b/>
        </w:rPr>
      </w:pPr>
      <w:proofErr w:type="spellStart"/>
      <w:r w:rsidRPr="004B77DC">
        <w:rPr>
          <w:b/>
        </w:rPr>
        <w:t>QuickFile</w:t>
      </w:r>
      <w:proofErr w:type="spellEnd"/>
    </w:p>
    <w:p w:rsidR="00953420" w:rsidRDefault="00953420" w:rsidP="004B77DC">
      <w:r w:rsidRPr="00953420">
        <w:t>http://www.quickfile.co.uk/</w:t>
      </w:r>
    </w:p>
    <w:p w:rsidR="004B77DC" w:rsidRDefault="004B77DC" w:rsidP="004B77DC">
      <w:r>
        <w:t>Looks neat and it is free</w:t>
      </w:r>
    </w:p>
    <w:p w:rsidR="006B0890" w:rsidRDefault="006B0890" w:rsidP="004B77DC">
      <w:r>
        <w:t xml:space="preserve">NB. The founder/programmer behind </w:t>
      </w:r>
      <w:proofErr w:type="spellStart"/>
      <w:r>
        <w:t>QuickFile</w:t>
      </w:r>
      <w:proofErr w:type="spellEnd"/>
      <w:r>
        <w:t>, Glenn Drake, has a sister company, Company Wizard.</w:t>
      </w:r>
    </w:p>
    <w:p w:rsidR="006B0890" w:rsidRDefault="00BC6118" w:rsidP="004B77DC">
      <w:hyperlink r:id="rId10" w:history="1">
        <w:r w:rsidR="006B0890" w:rsidRPr="00FC1FAB">
          <w:rPr>
            <w:rStyle w:val="Hyperlink"/>
          </w:rPr>
          <w:t>http://company-wizard.co.uk/</w:t>
        </w:r>
      </w:hyperlink>
    </w:p>
    <w:p w:rsidR="006B0890" w:rsidRDefault="006B0890" w:rsidP="004B77DC">
      <w:r>
        <w:t xml:space="preserve">He mentions using Shoebox and </w:t>
      </w:r>
      <w:proofErr w:type="spellStart"/>
      <w:r>
        <w:t>Dropbox</w:t>
      </w:r>
      <w:proofErr w:type="spellEnd"/>
      <w:r>
        <w:t xml:space="preserve"> to store copies documents.</w:t>
      </w:r>
    </w:p>
    <w:p w:rsidR="006B0890" w:rsidRDefault="00BC6118" w:rsidP="004B77DC">
      <w:hyperlink r:id="rId11" w:history="1">
        <w:r w:rsidR="006B0890" w:rsidRPr="00FC1FAB">
          <w:rPr>
            <w:rStyle w:val="Hyperlink"/>
          </w:rPr>
          <w:t>http://www.quickfile.co.uk/help/Receipt_Archiving_with_DropBox_Shoeboxed.aspx</w:t>
        </w:r>
      </w:hyperlink>
    </w:p>
    <w:p w:rsidR="006B0890" w:rsidRDefault="006B0890" w:rsidP="004B77DC"/>
    <w:p w:rsidR="00953420" w:rsidRDefault="004B77DC" w:rsidP="004B77DC">
      <w:r>
        <w:t>Shoebox</w:t>
      </w:r>
    </w:p>
    <w:p w:rsidR="005B7197" w:rsidRDefault="00BC6118" w:rsidP="004B77DC">
      <w:hyperlink r:id="rId12" w:history="1">
        <w:r w:rsidR="005B7197" w:rsidRPr="00FC1FAB">
          <w:rPr>
            <w:rStyle w:val="Hyperlink"/>
          </w:rPr>
          <w:t>https://www.shoeboxed.com/sbx-home/</w:t>
        </w:r>
      </w:hyperlink>
    </w:p>
    <w:p w:rsidR="00953420" w:rsidRDefault="00953420" w:rsidP="004B77DC"/>
    <w:p w:rsidR="00953420" w:rsidRDefault="006A4F01" w:rsidP="006A4F01">
      <w:pPr>
        <w:pStyle w:val="Heading1"/>
      </w:pPr>
      <w:bookmarkStart w:id="21" w:name="_Toc323925327"/>
      <w:r>
        <w:t>Operating and Non-Operating</w:t>
      </w:r>
      <w:bookmarkEnd w:id="21"/>
    </w:p>
    <w:p w:rsidR="006A4F01" w:rsidRDefault="00A230FA" w:rsidP="006A4F01">
      <w:r>
        <w:t xml:space="preserve">Both </w:t>
      </w:r>
      <w:r w:rsidR="006A4F01">
        <w:t xml:space="preserve">UK GAAP </w:t>
      </w:r>
      <w:r>
        <w:t>and UK IFRS differentiate</w:t>
      </w:r>
      <w:r w:rsidR="006A4F01">
        <w:t xml:space="preserve"> between Operating and Non- Operating </w:t>
      </w:r>
      <w:r w:rsidR="002C4F94">
        <w:t>Revenue</w:t>
      </w:r>
      <w:r w:rsidR="006A4F01">
        <w:t xml:space="preserve"> and Costs.</w:t>
      </w:r>
    </w:p>
    <w:p w:rsidR="006A4F01" w:rsidRDefault="006A4F01" w:rsidP="006A4F01">
      <w:r>
        <w:t>(You will note that I have currently used this as the major split between Costs and Revenue groups in BROS at present).</w:t>
      </w:r>
    </w:p>
    <w:p w:rsidR="006A4F01" w:rsidRDefault="006A4F01" w:rsidP="006A4F01"/>
    <w:p w:rsidR="006A4F01" w:rsidRDefault="006A4F01" w:rsidP="006A4F01">
      <w:r>
        <w:t>The significance is follows:</w:t>
      </w:r>
    </w:p>
    <w:p w:rsidR="006A4F01" w:rsidRDefault="006A4F01" w:rsidP="006A4F01">
      <w:r>
        <w:t>Operating relates to the major areas of business of an entity</w:t>
      </w:r>
    </w:p>
    <w:p w:rsidR="006A4F01" w:rsidRDefault="006A4F01" w:rsidP="006A4F01">
      <w:r>
        <w:t xml:space="preserve">Non-operational relates to the general handling of ancillary and </w:t>
      </w:r>
      <w:r w:rsidR="002C4F94">
        <w:t xml:space="preserve">usually </w:t>
      </w:r>
      <w:r>
        <w:t xml:space="preserve">financial aspects e.g. the putting of surplus cash into interest bearing accounts. </w:t>
      </w:r>
    </w:p>
    <w:p w:rsidR="006A4F01" w:rsidRDefault="006A4F01" w:rsidP="006A4F01"/>
    <w:p w:rsidR="006A4F01" w:rsidRDefault="006A4F01" w:rsidP="006A4F01">
      <w:r>
        <w:t xml:space="preserve">Not only does the P&amp;L account make this distinction, so does the </w:t>
      </w:r>
      <w:proofErr w:type="spellStart"/>
      <w:r>
        <w:t>Cashflow</w:t>
      </w:r>
      <w:proofErr w:type="spellEnd"/>
      <w:r>
        <w:t xml:space="preserve">. So not </w:t>
      </w:r>
      <w:r w:rsidR="002C4F94">
        <w:t xml:space="preserve">only </w:t>
      </w:r>
      <w:r>
        <w:t xml:space="preserve">is it important to differentiate, but it must (or should) be used as a basis for reconciling what is happening within the P&amp;L to what happens in the </w:t>
      </w:r>
      <w:proofErr w:type="spellStart"/>
      <w:r>
        <w:t>Cashflow</w:t>
      </w:r>
      <w:proofErr w:type="spellEnd"/>
      <w:r>
        <w:t>.</w:t>
      </w:r>
    </w:p>
    <w:p w:rsidR="006A4F01" w:rsidRDefault="006A4F01" w:rsidP="006A4F01"/>
    <w:p w:rsidR="006A4F01" w:rsidRDefault="006A4F01" w:rsidP="006A4F01">
      <w:r>
        <w:t xml:space="preserve">What makes this whole area fraught, is that one cannot </w:t>
      </w:r>
      <w:r w:rsidR="002C4F94">
        <w:t>simply say for instance that interest or dividends paid or received must be Non-Operational, or vice versa. Depending on the type of business, and the even circumstances within a business, something like “Bank Interest Paid” could be either. (Whether it could be both in the same Entity is more problematic again).</w:t>
      </w:r>
    </w:p>
    <w:p w:rsidR="002C4F94" w:rsidRDefault="002C4F94" w:rsidP="006A4F01"/>
    <w:p w:rsidR="002C4F94" w:rsidRDefault="002C4F94" w:rsidP="006A4F01">
      <w:r>
        <w:t xml:space="preserve">International Accounting Standard 7 (IAS7) does not prescribe any particular classification </w:t>
      </w:r>
    </w:p>
    <w:p w:rsidR="002C4F94" w:rsidRDefault="002C4F94" w:rsidP="006A4F01">
      <w:r>
        <w:t>Extract from International Reporting Standard – A Practical Guide” by Alan Melville p 242</w:t>
      </w:r>
    </w:p>
    <w:p w:rsidR="00132911" w:rsidRPr="00007B75" w:rsidRDefault="002C4F94" w:rsidP="006A4F01">
      <w:pPr>
        <w:rPr>
          <w:i/>
          <w:sz w:val="20"/>
          <w:szCs w:val="20"/>
        </w:rPr>
      </w:pPr>
      <w:r w:rsidRPr="00007B75">
        <w:rPr>
          <w:i/>
          <w:sz w:val="20"/>
          <w:szCs w:val="20"/>
        </w:rPr>
        <w:lastRenderedPageBreak/>
        <w:t>“</w:t>
      </w:r>
      <w:r w:rsidR="00132911" w:rsidRPr="00007B75">
        <w:rPr>
          <w:i/>
          <w:sz w:val="20"/>
          <w:szCs w:val="20"/>
        </w:rPr>
        <w:t>IAS7 requires that cash flows arising from interest received, dividends received, interest paid and dividends paid should be shown separately in the cash flow statement. However, there is no consensus as to the classification of these items. Interest received and dividends received are usually classified as cash flows arising from investing activities, but the correct treatment of interest paid and dividends paid is less clear. For instance:</w:t>
      </w:r>
    </w:p>
    <w:p w:rsidR="00132911" w:rsidRPr="00007B75" w:rsidRDefault="00132911" w:rsidP="00132911">
      <w:pPr>
        <w:pStyle w:val="ListParagraph"/>
        <w:numPr>
          <w:ilvl w:val="0"/>
          <w:numId w:val="32"/>
        </w:numPr>
        <w:rPr>
          <w:i/>
          <w:sz w:val="20"/>
          <w:szCs w:val="20"/>
        </w:rPr>
      </w:pPr>
      <w:r w:rsidRPr="00007B75">
        <w:rPr>
          <w:i/>
          <w:sz w:val="20"/>
          <w:szCs w:val="20"/>
        </w:rPr>
        <w:t xml:space="preserve">Interest paid on a loan obtained for operating purposes might be classified under the operating activities. Alternatively, it could be argued that interest paid should be classified under finance </w:t>
      </w:r>
      <w:r w:rsidR="00D60BBA" w:rsidRPr="00007B75">
        <w:rPr>
          <w:i/>
          <w:sz w:val="20"/>
          <w:szCs w:val="20"/>
        </w:rPr>
        <w:t>activities</w:t>
      </w:r>
      <w:r w:rsidRPr="00007B75">
        <w:rPr>
          <w:i/>
          <w:sz w:val="20"/>
          <w:szCs w:val="20"/>
        </w:rPr>
        <w:t xml:space="preserve"> since it is a cost of obtaining finance.</w:t>
      </w:r>
    </w:p>
    <w:p w:rsidR="002C4F94" w:rsidRPr="00007B75" w:rsidRDefault="00505727" w:rsidP="00132911">
      <w:pPr>
        <w:pStyle w:val="ListParagraph"/>
        <w:numPr>
          <w:ilvl w:val="0"/>
          <w:numId w:val="32"/>
        </w:numPr>
        <w:rPr>
          <w:i/>
          <w:sz w:val="20"/>
          <w:szCs w:val="20"/>
        </w:rPr>
      </w:pPr>
      <w:r w:rsidRPr="00007B75">
        <w:rPr>
          <w:i/>
          <w:sz w:val="20"/>
          <w:szCs w:val="20"/>
        </w:rPr>
        <w:t xml:space="preserve">Dividends paid might be classified under operating activities so that users may determine an </w:t>
      </w:r>
      <w:r w:rsidR="00D60BBA" w:rsidRPr="00007B75">
        <w:rPr>
          <w:i/>
          <w:sz w:val="20"/>
          <w:szCs w:val="20"/>
        </w:rPr>
        <w:t>entity’s</w:t>
      </w:r>
      <w:r w:rsidRPr="00007B75">
        <w:rPr>
          <w:i/>
          <w:sz w:val="20"/>
          <w:szCs w:val="20"/>
        </w:rPr>
        <w:t xml:space="preserve"> ability to pay dividends out of operating cash flows. Alternatively, it could be argued that dividends paid are a cost of obtaining financial resources and so should be classified under finance activities.</w:t>
      </w:r>
    </w:p>
    <w:p w:rsidR="00505727" w:rsidRPr="00007B75" w:rsidRDefault="00505727" w:rsidP="00505727">
      <w:pPr>
        <w:rPr>
          <w:i/>
          <w:sz w:val="20"/>
          <w:szCs w:val="20"/>
        </w:rPr>
      </w:pPr>
    </w:p>
    <w:p w:rsidR="00505727" w:rsidRPr="00007B75" w:rsidRDefault="00505727" w:rsidP="00505727">
      <w:pPr>
        <w:rPr>
          <w:i/>
          <w:sz w:val="20"/>
          <w:szCs w:val="20"/>
        </w:rPr>
      </w:pPr>
      <w:r w:rsidRPr="00007B75">
        <w:rPr>
          <w:i/>
          <w:sz w:val="20"/>
          <w:szCs w:val="20"/>
        </w:rPr>
        <w:t>IAS7 does not prescribe any particular classification for these items but does require that each of them should be classified in a consistent manner from period to period</w:t>
      </w:r>
      <w:r w:rsidR="00007B75" w:rsidRPr="00007B75">
        <w:rPr>
          <w:i/>
          <w:sz w:val="20"/>
          <w:szCs w:val="20"/>
        </w:rPr>
        <w:t>.</w:t>
      </w:r>
    </w:p>
    <w:p w:rsidR="00007B75" w:rsidRPr="00007B75" w:rsidRDefault="00007B75" w:rsidP="00505727">
      <w:pPr>
        <w:rPr>
          <w:i/>
          <w:sz w:val="20"/>
          <w:szCs w:val="20"/>
        </w:rPr>
      </w:pPr>
    </w:p>
    <w:p w:rsidR="00007B75" w:rsidRDefault="00007B75" w:rsidP="00505727">
      <w:r w:rsidRPr="00007B75">
        <w:rPr>
          <w:i/>
          <w:sz w:val="20"/>
          <w:szCs w:val="20"/>
        </w:rPr>
        <w:t>Cash inflows and outflows arising from income taxes must be disclosed separately and should be classified under operating activities unless specifically associated with investing or financing activities.”</w:t>
      </w:r>
    </w:p>
    <w:p w:rsidR="002C4F94" w:rsidRDefault="002C4F94" w:rsidP="006A4F01"/>
    <w:p w:rsidR="00A230FA" w:rsidRDefault="00A230FA" w:rsidP="006A4F01">
      <w:r>
        <w:t xml:space="preserve">So looking back at this from the Entity’s point of view; having an account called “Bank Overdraft Interest” is easy to understand. But it would be far less easy for a bookkeeper to know whether some bank interest should be classified as Operating or Non-operating. (It may well be that this distinction is drawn at the end of the year, and applied in the form of a percentage or ratio split, just as might be the case of some </w:t>
      </w:r>
      <w:r w:rsidR="00C004A7">
        <w:t>other</w:t>
      </w:r>
      <w:r>
        <w:t xml:space="preserve"> Natural Accounts between the Functions of </w:t>
      </w:r>
      <w:proofErr w:type="spellStart"/>
      <w:r>
        <w:t>CoS</w:t>
      </w:r>
      <w:proofErr w:type="spellEnd"/>
      <w:r>
        <w:t>, Distribution or Admin.</w:t>
      </w:r>
    </w:p>
    <w:p w:rsidR="00A230FA" w:rsidRDefault="00A230FA" w:rsidP="006A4F01"/>
    <w:p w:rsidR="00A230FA" w:rsidRDefault="00A230FA" w:rsidP="006A4F01">
      <w:r>
        <w:t xml:space="preserve"> </w:t>
      </w:r>
      <w:r w:rsidR="00C004A7">
        <w:t>Likewise having Bank Loan Interest  appearing as 317 and 318 and then 410 and 411, as it does in SAPA is also less than obvious and user friendly (Note by the way that SAPA contains the advice “</w:t>
      </w:r>
      <w:r w:rsidR="00C004A7" w:rsidRPr="00C004A7">
        <w:rPr>
          <w:i/>
        </w:rPr>
        <w:t>(use a/c's 410 &amp; 411 for statutory disclosure)</w:t>
      </w:r>
      <w:r w:rsidR="00C004A7">
        <w:t xml:space="preserve">”. In fact this statement is inaccurate, either or both are required for correct statutory disclosure. I think that this advice has been in their since the early to middle 1990s. </w:t>
      </w:r>
    </w:p>
    <w:p w:rsidR="00C004A7" w:rsidRDefault="00C004A7" w:rsidP="006A4F01"/>
    <w:p w:rsidR="002C4F94" w:rsidRDefault="002C4F94" w:rsidP="006A4F01">
      <w:r>
        <w:t>Now we already have our expenses classified by their Nature e.g. wages, and then by their Function e.g. Administration.</w:t>
      </w:r>
    </w:p>
    <w:p w:rsidR="002C4F94" w:rsidRDefault="002C4F94" w:rsidP="006A4F01"/>
    <w:p w:rsidR="002C4F94" w:rsidRDefault="002C4F94" w:rsidP="006A4F01">
      <w:r>
        <w:t xml:space="preserve">Really, any Natural Account which can be subsequently divided as to </w:t>
      </w:r>
      <w:proofErr w:type="gramStart"/>
      <w:r w:rsidR="000A061C">
        <w:t>Function</w:t>
      </w:r>
      <w:proofErr w:type="gramEnd"/>
      <w:r>
        <w:t xml:space="preserve"> is by definition an Operational Cost.</w:t>
      </w:r>
      <w:r w:rsidR="000A061C">
        <w:t xml:space="preserve"> Or we might say that we could add a 4</w:t>
      </w:r>
      <w:r w:rsidR="000A061C" w:rsidRPr="000A061C">
        <w:rPr>
          <w:vertAlign w:val="superscript"/>
        </w:rPr>
        <w:t>th</w:t>
      </w:r>
      <w:r w:rsidR="000A061C">
        <w:t xml:space="preserve"> Function “Finance and Investing”, and simply know that this was the only </w:t>
      </w:r>
      <w:proofErr w:type="spellStart"/>
      <w:r w:rsidR="000A061C">
        <w:t>Non Operating</w:t>
      </w:r>
      <w:proofErr w:type="spellEnd"/>
      <w:r w:rsidR="000A061C">
        <w:t xml:space="preserve"> Function</w:t>
      </w:r>
    </w:p>
    <w:p w:rsidR="000A061C" w:rsidRDefault="000A061C" w:rsidP="006A4F01"/>
    <w:p w:rsidR="000A061C" w:rsidRDefault="000A061C" w:rsidP="006A4F01">
      <w:r>
        <w:t>We could look at it in at least three ways</w:t>
      </w:r>
    </w:p>
    <w:p w:rsidR="000A061C" w:rsidRDefault="000A061C" w:rsidP="006A4F01"/>
    <w:p w:rsidR="000A061C" w:rsidRPr="000A061C" w:rsidRDefault="000A061C" w:rsidP="006A4F01">
      <w:pPr>
        <w:rPr>
          <w:b/>
        </w:rPr>
      </w:pPr>
      <w:r w:rsidRPr="000A061C">
        <w:rPr>
          <w:b/>
        </w:rPr>
        <w:t>Method 1</w:t>
      </w:r>
    </w:p>
    <w:p w:rsidR="000A061C" w:rsidRDefault="000A061C" w:rsidP="006A4F01">
      <w:proofErr w:type="spellStart"/>
      <w:r>
        <w:t>CoS</w:t>
      </w:r>
      <w:proofErr w:type="spellEnd"/>
    </w:p>
    <w:p w:rsidR="000A061C" w:rsidRDefault="000A061C" w:rsidP="006A4F01">
      <w:r>
        <w:t>Distribution</w:t>
      </w:r>
    </w:p>
    <w:p w:rsidR="000A061C" w:rsidRDefault="000A061C" w:rsidP="006A4F01">
      <w:r>
        <w:t>Admin</w:t>
      </w:r>
    </w:p>
    <w:p w:rsidR="000A061C" w:rsidRDefault="000A061C" w:rsidP="006A4F01">
      <w:r>
        <w:t>Finance and Investing</w:t>
      </w:r>
    </w:p>
    <w:p w:rsidR="000A061C" w:rsidRDefault="000A061C" w:rsidP="006A4F01"/>
    <w:p w:rsidR="000A061C" w:rsidRDefault="000A061C" w:rsidP="006A4F01">
      <w:r w:rsidRPr="000A061C">
        <w:rPr>
          <w:b/>
        </w:rPr>
        <w:t>Method 2</w:t>
      </w:r>
    </w:p>
    <w:p w:rsidR="000A061C" w:rsidRDefault="000A061C" w:rsidP="006A4F01">
      <w:r>
        <w:t>Operati</w:t>
      </w:r>
      <w:r w:rsidR="00377851">
        <w:t>ng</w:t>
      </w:r>
    </w:p>
    <w:p w:rsidR="000A061C" w:rsidRDefault="000A061C" w:rsidP="000A061C">
      <w:pPr>
        <w:pStyle w:val="ListParagraph"/>
        <w:numPr>
          <w:ilvl w:val="0"/>
          <w:numId w:val="29"/>
        </w:numPr>
      </w:pPr>
      <w:r>
        <w:t>Cos</w:t>
      </w:r>
    </w:p>
    <w:p w:rsidR="000A061C" w:rsidRDefault="000A061C" w:rsidP="000A061C">
      <w:pPr>
        <w:pStyle w:val="ListParagraph"/>
        <w:numPr>
          <w:ilvl w:val="0"/>
          <w:numId w:val="29"/>
        </w:numPr>
      </w:pPr>
      <w:proofErr w:type="spellStart"/>
      <w:r>
        <w:t>Distrib</w:t>
      </w:r>
      <w:proofErr w:type="spellEnd"/>
    </w:p>
    <w:p w:rsidR="000A061C" w:rsidRDefault="000A061C" w:rsidP="000A061C">
      <w:pPr>
        <w:pStyle w:val="ListParagraph"/>
        <w:numPr>
          <w:ilvl w:val="0"/>
          <w:numId w:val="29"/>
        </w:numPr>
      </w:pPr>
      <w:r>
        <w:t>Admin</w:t>
      </w:r>
    </w:p>
    <w:p w:rsidR="000A061C" w:rsidRDefault="00377851" w:rsidP="000A061C">
      <w:r>
        <w:t>Non-Operating</w:t>
      </w:r>
    </w:p>
    <w:p w:rsidR="000A061C" w:rsidRDefault="000A061C" w:rsidP="000A061C"/>
    <w:p w:rsidR="000A061C" w:rsidRPr="000A061C" w:rsidRDefault="000A061C" w:rsidP="000A061C">
      <w:pPr>
        <w:rPr>
          <w:b/>
        </w:rPr>
      </w:pPr>
      <w:r w:rsidRPr="000A061C">
        <w:rPr>
          <w:b/>
        </w:rPr>
        <w:t>Method 3</w:t>
      </w:r>
    </w:p>
    <w:p w:rsidR="000A061C" w:rsidRDefault="000A061C" w:rsidP="000A061C">
      <w:r>
        <w:t>Keep the two areas quite distinct. So leave BROS Functions as is, and a</w:t>
      </w:r>
      <w:r w:rsidR="00377851">
        <w:t>d</w:t>
      </w:r>
      <w:r>
        <w:t>d</w:t>
      </w:r>
      <w:r w:rsidR="00377851">
        <w:t>s</w:t>
      </w:r>
      <w:r>
        <w:t xml:space="preserve"> </w:t>
      </w:r>
      <w:r w:rsidR="00377851">
        <w:t>additional</w:t>
      </w:r>
      <w:r>
        <w:t xml:space="preserve"> </w:t>
      </w:r>
      <w:r w:rsidR="00377851">
        <w:t>Dimensions</w:t>
      </w:r>
      <w:r>
        <w:t xml:space="preserve"> for Operating and </w:t>
      </w:r>
      <w:proofErr w:type="spellStart"/>
      <w:r>
        <w:t>Non Operating</w:t>
      </w:r>
      <w:proofErr w:type="spellEnd"/>
      <w:r>
        <w:t>.</w:t>
      </w:r>
    </w:p>
    <w:p w:rsidR="000A061C" w:rsidRDefault="000A061C" w:rsidP="000A061C"/>
    <w:p w:rsidR="00377851" w:rsidRPr="006A4F01" w:rsidRDefault="00377851" w:rsidP="00377851">
      <w:r>
        <w:t xml:space="preserve">In theory I guess an Operating Cost Bank Charge could be split between Cos, </w:t>
      </w:r>
      <w:proofErr w:type="spellStart"/>
      <w:r>
        <w:t>Distrib</w:t>
      </w:r>
      <w:proofErr w:type="spellEnd"/>
      <w:r>
        <w:t>. and Admin.</w:t>
      </w:r>
    </w:p>
    <w:p w:rsidR="00377851" w:rsidRDefault="00377851" w:rsidP="000A061C"/>
    <w:p w:rsidR="000A061C" w:rsidRDefault="00377851" w:rsidP="000A061C">
      <w:r>
        <w:t xml:space="preserve">So </w:t>
      </w:r>
      <w:r w:rsidR="000A061C">
        <w:t xml:space="preserve">Method </w:t>
      </w:r>
      <w:r>
        <w:t>1 is probably the truest and the most simple</w:t>
      </w:r>
    </w:p>
    <w:p w:rsidR="006A4F01" w:rsidRDefault="006A4F01" w:rsidP="00567B61">
      <w:pPr>
        <w:pStyle w:val="NormSpace"/>
      </w:pPr>
    </w:p>
    <w:p w:rsidR="008D7153" w:rsidRDefault="008D7153" w:rsidP="00165A45">
      <w:pPr>
        <w:pStyle w:val="Heading1"/>
      </w:pPr>
      <w:bookmarkStart w:id="22" w:name="_Toc323925328"/>
      <w:r>
        <w:t>Issues arising</w:t>
      </w:r>
      <w:bookmarkEnd w:id="22"/>
    </w:p>
    <w:tbl>
      <w:tblPr>
        <w:tblStyle w:val="TableGrid8"/>
        <w:tblW w:w="0" w:type="auto"/>
        <w:tblLook w:val="04A0" w:firstRow="1" w:lastRow="0" w:firstColumn="1" w:lastColumn="0" w:noHBand="0" w:noVBand="1"/>
      </w:tblPr>
      <w:tblGrid>
        <w:gridCol w:w="1126"/>
        <w:gridCol w:w="501"/>
        <w:gridCol w:w="9055"/>
      </w:tblGrid>
      <w:tr w:rsidR="00F5151F" w:rsidTr="00050B92">
        <w:trPr>
          <w:cnfStyle w:val="100000000000" w:firstRow="1" w:lastRow="0" w:firstColumn="0" w:lastColumn="0" w:oddVBand="0" w:evenVBand="0" w:oddHBand="0" w:evenHBand="0" w:firstRowFirstColumn="0" w:firstRowLastColumn="0" w:lastRowFirstColumn="0" w:lastRowLastColumn="0"/>
        </w:trPr>
        <w:tc>
          <w:tcPr>
            <w:tcW w:w="1295" w:type="dxa"/>
          </w:tcPr>
          <w:p w:rsidR="00572E49" w:rsidRPr="004031FF" w:rsidRDefault="00050B92" w:rsidP="00050B92">
            <w:pPr>
              <w:rPr>
                <w:b w:val="0"/>
              </w:rPr>
            </w:pPr>
            <w:r>
              <w:t>Topic</w:t>
            </w:r>
          </w:p>
        </w:tc>
        <w:tc>
          <w:tcPr>
            <w:tcW w:w="634" w:type="dxa"/>
          </w:tcPr>
          <w:p w:rsidR="00572E49" w:rsidRPr="004031FF" w:rsidRDefault="00050B92" w:rsidP="00050B92">
            <w:pPr>
              <w:jc w:val="center"/>
              <w:rPr>
                <w:b w:val="0"/>
              </w:rPr>
            </w:pPr>
            <w:r>
              <w:t>Ref</w:t>
            </w:r>
          </w:p>
        </w:tc>
        <w:tc>
          <w:tcPr>
            <w:tcW w:w="8549" w:type="dxa"/>
          </w:tcPr>
          <w:p w:rsidR="00572E49" w:rsidRPr="004031FF" w:rsidRDefault="00050B92" w:rsidP="00050B92">
            <w:pPr>
              <w:rPr>
                <w:b w:val="0"/>
              </w:rPr>
            </w:pPr>
            <w:r>
              <w:t>Details</w:t>
            </w:r>
          </w:p>
        </w:tc>
      </w:tr>
      <w:tr w:rsidR="00572E49" w:rsidTr="00050B92">
        <w:tc>
          <w:tcPr>
            <w:tcW w:w="1295" w:type="dxa"/>
          </w:tcPr>
          <w:p w:rsidR="00572E49" w:rsidRDefault="00050B92" w:rsidP="004031FF">
            <w:r>
              <w:t>Money-Instant-Start/End with Ag</w:t>
            </w:r>
            <w:r w:rsidR="00246426">
              <w:t>e</w:t>
            </w:r>
            <w:r>
              <w:t>ing</w:t>
            </w:r>
          </w:p>
        </w:tc>
        <w:tc>
          <w:tcPr>
            <w:tcW w:w="634" w:type="dxa"/>
          </w:tcPr>
          <w:p w:rsidR="00572E49" w:rsidRDefault="00572E49" w:rsidP="006A680F">
            <w:pPr>
              <w:pStyle w:val="NormSpace"/>
              <w:jc w:val="center"/>
            </w:pPr>
          </w:p>
        </w:tc>
        <w:tc>
          <w:tcPr>
            <w:tcW w:w="8549" w:type="dxa"/>
          </w:tcPr>
          <w:p w:rsidR="00572E49" w:rsidRDefault="00050B92" w:rsidP="00254A49">
            <w:r>
              <w:t>When  BROs was being designed we did not think there would (or could) be a valid combination of a Money Instant with separate Start End values which also required Ag</w:t>
            </w:r>
            <w:r w:rsidR="00254A49">
              <w:t>e</w:t>
            </w:r>
            <w:r>
              <w:t>ing (BRO Dim 4</w:t>
            </w:r>
            <w:r w:rsidR="00254A49">
              <w:t>4</w:t>
            </w:r>
            <w:r>
              <w:t>)</w:t>
            </w:r>
          </w:p>
          <w:p w:rsidR="00254A49" w:rsidRDefault="00254A49" w:rsidP="00254A49">
            <w:r>
              <w:t>But Obligations under finance leases and hire purchase contracts does appear to require both</w:t>
            </w:r>
          </w:p>
          <w:p w:rsidR="00254A49" w:rsidRDefault="00254A49" w:rsidP="00254A49"/>
          <w:p w:rsidR="00254A49" w:rsidRPr="00254A49" w:rsidRDefault="00254A49" w:rsidP="00254A49">
            <w:pPr>
              <w:rPr>
                <w:sz w:val="16"/>
              </w:rPr>
            </w:pPr>
            <w:r w:rsidRPr="00254A49">
              <w:rPr>
                <w:sz w:val="16"/>
              </w:rPr>
              <w:t>[C] 3387 [H 13] [Money Cr Instant] [</w:t>
            </w:r>
            <w:proofErr w:type="spellStart"/>
            <w:r w:rsidRPr="00254A49">
              <w:rPr>
                <w:sz w:val="16"/>
              </w:rPr>
              <w:t>StartEnd</w:t>
            </w:r>
            <w:proofErr w:type="spellEnd"/>
            <w:r w:rsidRPr="00254A49">
              <w:rPr>
                <w:sz w:val="16"/>
              </w:rPr>
              <w:t>] Obligations under finance lease and hire purchase contracts</w:t>
            </w:r>
          </w:p>
          <w:p w:rsidR="00254A49" w:rsidRPr="00254A49" w:rsidRDefault="00254A49" w:rsidP="00254A49">
            <w:pPr>
              <w:rPr>
                <w:rStyle w:val="b"/>
                <w:sz w:val="14"/>
                <w:szCs w:val="16"/>
              </w:rPr>
            </w:pPr>
            <w:r w:rsidRPr="00254A49">
              <w:rPr>
                <w:rStyle w:val="b"/>
                <w:sz w:val="14"/>
                <w:szCs w:val="16"/>
              </w:rPr>
              <w:t>[C] 3389 [H 1,13] [Money Cr Instant] [</w:t>
            </w:r>
            <w:proofErr w:type="spellStart"/>
            <w:r w:rsidRPr="00254A49">
              <w:rPr>
                <w:rStyle w:val="b"/>
                <w:sz w:val="14"/>
                <w:szCs w:val="16"/>
              </w:rPr>
              <w:t>StartEnd</w:t>
            </w:r>
            <w:proofErr w:type="spellEnd"/>
            <w:r w:rsidRPr="00254A49">
              <w:rPr>
                <w:rStyle w:val="b"/>
                <w:sz w:val="14"/>
                <w:szCs w:val="16"/>
              </w:rPr>
              <w:t>] Obligations under finance lease and hire purchase contracts within one year</w:t>
            </w:r>
          </w:p>
          <w:p w:rsidR="00254A49" w:rsidRPr="00254A49" w:rsidRDefault="00254A49" w:rsidP="00254A49">
            <w:pPr>
              <w:rPr>
                <w:sz w:val="14"/>
                <w:szCs w:val="16"/>
              </w:rPr>
            </w:pPr>
            <w:r w:rsidRPr="00254A49">
              <w:rPr>
                <w:rStyle w:val="b"/>
                <w:sz w:val="14"/>
                <w:szCs w:val="16"/>
              </w:rPr>
              <w:t>[C] 3388 [H 13] [Money Cr Instant] [</w:t>
            </w:r>
            <w:proofErr w:type="spellStart"/>
            <w:r w:rsidRPr="00254A49">
              <w:rPr>
                <w:rStyle w:val="b"/>
                <w:sz w:val="14"/>
                <w:szCs w:val="16"/>
              </w:rPr>
              <w:t>StartEnd</w:t>
            </w:r>
            <w:proofErr w:type="spellEnd"/>
            <w:r w:rsidRPr="00254A49">
              <w:rPr>
                <w:rStyle w:val="b"/>
                <w:sz w:val="14"/>
                <w:szCs w:val="16"/>
              </w:rPr>
              <w:t>] Obligations under finance lease and hire purchase contracts after one year</w:t>
            </w:r>
          </w:p>
          <w:p w:rsidR="00254A49" w:rsidRDefault="00254A49" w:rsidP="00254A49"/>
          <w:p w:rsidR="00254A49" w:rsidRDefault="00165A45" w:rsidP="00254A49">
            <w:r>
              <w:t>But w</w:t>
            </w:r>
            <w:r w:rsidR="00254A49">
              <w:t xml:space="preserve">ithin Balance Sheet Creditors </w:t>
            </w:r>
            <w:r w:rsidR="008D7153">
              <w:t>we do have such a thing.</w:t>
            </w:r>
          </w:p>
          <w:p w:rsidR="008D7153" w:rsidRDefault="008D7153" w:rsidP="00254A49">
            <w:r>
              <w:t>This is strange because the level above Obligations FLHP, Creditors, is a simple Money Instant.</w:t>
            </w:r>
          </w:p>
          <w:p w:rsidR="008D7153" w:rsidRDefault="008D7153" w:rsidP="00254A49">
            <w:r>
              <w:t xml:space="preserve">In addition when thinking of the schedule nature of the </w:t>
            </w:r>
            <w:proofErr w:type="spellStart"/>
            <w:r>
              <w:t>ObligationFLHP</w:t>
            </w:r>
            <w:proofErr w:type="spellEnd"/>
            <w:r>
              <w:t xml:space="preserve"> it is very odd to separate by period.</w:t>
            </w:r>
          </w:p>
          <w:p w:rsidR="00CD34A9" w:rsidRDefault="00CD34A9" w:rsidP="00254A49"/>
          <w:p w:rsidR="00F85CB7" w:rsidRDefault="00F85CB7" w:rsidP="00254A49">
            <w:r>
              <w:t xml:space="preserve">Note in the extract below that where there is further analysis of the Obligations FLHP  &gt;1 into 1-2, 2-5 and &gt;5, none of these Instants have Start End </w:t>
            </w:r>
          </w:p>
          <w:p w:rsidR="00F85CB7" w:rsidRDefault="00F85CB7" w:rsidP="00254A49"/>
          <w:p w:rsidR="00CD34A9" w:rsidRPr="00CD34A9" w:rsidRDefault="00CD34A9" w:rsidP="00CD34A9">
            <w:pPr>
              <w:rPr>
                <w:sz w:val="16"/>
              </w:rPr>
            </w:pPr>
            <w:r w:rsidRPr="00CD34A9">
              <w:rPr>
                <w:sz w:val="16"/>
              </w:rPr>
              <w:t>[A] 3390 Obligations under finance leases and hire purchase contracts - Maturity Profile</w:t>
            </w:r>
          </w:p>
          <w:p w:rsidR="00CD34A9" w:rsidRPr="00CD34A9" w:rsidRDefault="00CD34A9" w:rsidP="00CD34A9">
            <w:pPr>
              <w:rPr>
                <w:sz w:val="16"/>
              </w:rPr>
            </w:pPr>
            <w:r w:rsidRPr="00CD34A9">
              <w:rPr>
                <w:sz w:val="16"/>
              </w:rPr>
              <w:t xml:space="preserve">  [C] 3389 [H 1,13] [Money Cr Instant] </w:t>
            </w:r>
            <w:r w:rsidRPr="00CD34A9">
              <w:rPr>
                <w:b/>
                <w:sz w:val="16"/>
              </w:rPr>
              <w:t>[</w:t>
            </w:r>
            <w:proofErr w:type="spellStart"/>
            <w:r w:rsidRPr="00CD34A9">
              <w:rPr>
                <w:b/>
                <w:sz w:val="16"/>
              </w:rPr>
              <w:t>StartEnd</w:t>
            </w:r>
            <w:proofErr w:type="spellEnd"/>
            <w:r w:rsidRPr="00CD34A9">
              <w:rPr>
                <w:b/>
                <w:sz w:val="16"/>
              </w:rPr>
              <w:t>]</w:t>
            </w:r>
            <w:r w:rsidRPr="00CD34A9">
              <w:rPr>
                <w:sz w:val="16"/>
              </w:rPr>
              <w:t xml:space="preserve"> Obligations under finance lease and hire purchase contracts within one year</w:t>
            </w:r>
          </w:p>
          <w:p w:rsidR="00CD34A9" w:rsidRPr="00CD34A9" w:rsidRDefault="00CD34A9" w:rsidP="00CD34A9">
            <w:pPr>
              <w:rPr>
                <w:sz w:val="16"/>
              </w:rPr>
            </w:pPr>
            <w:r w:rsidRPr="00CD34A9">
              <w:rPr>
                <w:sz w:val="16"/>
              </w:rPr>
              <w:t xml:space="preserve">  [C] 3392 [H 1] [Money Cr Instant] Obligations under finance leases and hire purchase contracts between one to two years</w:t>
            </w:r>
          </w:p>
          <w:p w:rsidR="00CD34A9" w:rsidRPr="00CD34A9" w:rsidRDefault="00CD34A9" w:rsidP="00CD34A9">
            <w:pPr>
              <w:rPr>
                <w:sz w:val="16"/>
              </w:rPr>
            </w:pPr>
            <w:r w:rsidRPr="00CD34A9">
              <w:rPr>
                <w:sz w:val="16"/>
              </w:rPr>
              <w:t xml:space="preserve">  [C] 3393 [H 1] [Money Cr Instant] Obligations under finance leases and hire purchase contracts between two to five years</w:t>
            </w:r>
          </w:p>
          <w:p w:rsidR="00CD34A9" w:rsidRPr="00CD34A9" w:rsidRDefault="00CD34A9" w:rsidP="00CD34A9">
            <w:pPr>
              <w:rPr>
                <w:sz w:val="16"/>
              </w:rPr>
            </w:pPr>
            <w:r w:rsidRPr="00CD34A9">
              <w:rPr>
                <w:sz w:val="16"/>
              </w:rPr>
              <w:t xml:space="preserve">  [C] 3391 [H 1] [Money Cr Instant] Obligations under finance leases and hire purchase contracts after five years</w:t>
            </w:r>
          </w:p>
          <w:p w:rsidR="00CD34A9" w:rsidRPr="00CD34A9" w:rsidRDefault="00CD34A9" w:rsidP="00CD34A9">
            <w:pPr>
              <w:rPr>
                <w:sz w:val="16"/>
              </w:rPr>
            </w:pPr>
            <w:r w:rsidRPr="00CD34A9">
              <w:rPr>
                <w:sz w:val="16"/>
              </w:rPr>
              <w:t xml:space="preserve">  [C] 1593 [H 1] [String Duration] Description of terms of repayment and rate of interest for finance leases and hire purchase contracts after five years</w:t>
            </w:r>
          </w:p>
          <w:p w:rsidR="00CD34A9" w:rsidRPr="00CD34A9" w:rsidRDefault="00CD34A9" w:rsidP="00CD34A9">
            <w:pPr>
              <w:rPr>
                <w:sz w:val="16"/>
              </w:rPr>
            </w:pPr>
            <w:r w:rsidRPr="00CD34A9">
              <w:rPr>
                <w:sz w:val="16"/>
              </w:rPr>
              <w:t xml:space="preserve">  [C] 2265 [H 1] [Money Dr Instant] Future finance charges</w:t>
            </w:r>
          </w:p>
          <w:p w:rsidR="00F85CB7" w:rsidRDefault="00F85CB7" w:rsidP="00CD34A9"/>
          <w:p w:rsidR="00F85CB7" w:rsidRDefault="00F85CB7" w:rsidP="00F85CB7">
            <w:r>
              <w:t xml:space="preserve">The </w:t>
            </w:r>
            <w:proofErr w:type="spellStart"/>
            <w:r w:rsidRPr="00F85CB7">
              <w:t>BrosStartEndWip</w:t>
            </w:r>
            <w:proofErr w:type="spellEnd"/>
            <w:r>
              <w:t xml:space="preserve"> SSs do show 3387</w:t>
            </w:r>
            <w:proofErr w:type="gramStart"/>
            <w:r>
              <w:t>,3389</w:t>
            </w:r>
            <w:proofErr w:type="gramEnd"/>
            <w:r>
              <w:t xml:space="preserve"> and 3388 as Start/End Instants and list the Sum End </w:t>
            </w:r>
            <w:proofErr w:type="spellStart"/>
            <w:r>
              <w:t>TxIds</w:t>
            </w:r>
            <w:proofErr w:type="spellEnd"/>
            <w:r>
              <w:t xml:space="preserve"> required.</w:t>
            </w:r>
          </w:p>
          <w:p w:rsidR="00F85CB7" w:rsidRDefault="00F85CB7" w:rsidP="00F85CB7">
            <w:r>
              <w:t>Unfortunately I failed to realise the significance of the &lt;1 and &gt;1.</w:t>
            </w:r>
          </w:p>
          <w:p w:rsidR="00F85CB7" w:rsidRDefault="00F85CB7" w:rsidP="00F85CB7"/>
          <w:p w:rsidR="00F85CB7" w:rsidRDefault="00F85CB7" w:rsidP="00F85CB7">
            <w:r>
              <w:t>Scope of the problem</w:t>
            </w:r>
          </w:p>
          <w:p w:rsidR="00F85CB7" w:rsidRDefault="00F85CB7" w:rsidP="00F85CB7">
            <w:r>
              <w:t xml:space="preserve">I cannot see any other </w:t>
            </w:r>
            <w:proofErr w:type="spellStart"/>
            <w:r>
              <w:t>TxIds</w:t>
            </w:r>
            <w:proofErr w:type="spellEnd"/>
            <w:r>
              <w:t xml:space="preserve"> involving Ageing that have </w:t>
            </w:r>
            <w:proofErr w:type="spellStart"/>
            <w:r>
              <w:t>StartEnds</w:t>
            </w:r>
            <w:proofErr w:type="spellEnd"/>
          </w:p>
          <w:p w:rsidR="00F85CB7" w:rsidRDefault="00F85CB7" w:rsidP="00F85CB7"/>
          <w:p w:rsidR="00F85CB7" w:rsidRDefault="00F85CB7" w:rsidP="00F85CB7">
            <w:r>
              <w:t>Possible solutions</w:t>
            </w:r>
          </w:p>
          <w:p w:rsidR="00F85CB7" w:rsidRDefault="00F85CB7" w:rsidP="00794DB5">
            <w:pPr>
              <w:pStyle w:val="ListParagraph"/>
              <w:numPr>
                <w:ilvl w:val="0"/>
                <w:numId w:val="25"/>
              </w:numPr>
            </w:pPr>
            <w:r>
              <w:t xml:space="preserve">Modify BROS Import </w:t>
            </w:r>
            <w:proofErr w:type="spellStart"/>
            <w:r>
              <w:t>php</w:t>
            </w:r>
            <w:proofErr w:type="spellEnd"/>
            <w:r>
              <w:t xml:space="preserve"> to handle this.</w:t>
            </w:r>
          </w:p>
          <w:p w:rsidR="00F85CB7" w:rsidRDefault="00F85CB7" w:rsidP="00F85CB7">
            <w:r>
              <w:t xml:space="preserve">But this is not a 5 minute job, and it is only required for two (related) </w:t>
            </w:r>
            <w:proofErr w:type="spellStart"/>
            <w:r>
              <w:t>TxIds</w:t>
            </w:r>
            <w:proofErr w:type="spellEnd"/>
          </w:p>
          <w:p w:rsidR="00F85CB7" w:rsidRDefault="00F85CB7" w:rsidP="00794DB5">
            <w:pPr>
              <w:pStyle w:val="ListParagraph"/>
              <w:numPr>
                <w:ilvl w:val="0"/>
                <w:numId w:val="25"/>
              </w:numPr>
            </w:pPr>
            <w:r>
              <w:t>Construct special BROS import lines</w:t>
            </w:r>
          </w:p>
          <w:p w:rsidR="00F85CB7" w:rsidRDefault="00F85CB7" w:rsidP="00F85CB7">
            <w:r>
              <w:t xml:space="preserve">I have dealt with the </w:t>
            </w:r>
            <w:proofErr w:type="spellStart"/>
            <w:r>
              <w:t>CashFlow</w:t>
            </w:r>
            <w:proofErr w:type="spellEnd"/>
            <w:r>
              <w:t xml:space="preserve"> items by no longer treating them as Ageing Dimensions.</w:t>
            </w:r>
          </w:p>
          <w:p w:rsidR="00F85CB7" w:rsidRDefault="00F85CB7" w:rsidP="00F85CB7">
            <w:r>
              <w:t>This works fine in that</w:t>
            </w:r>
          </w:p>
          <w:p w:rsidR="00F85CB7" w:rsidRDefault="00F85CB7" w:rsidP="00F85CB7">
            <w:pPr>
              <w:pStyle w:val="ListParagraph"/>
              <w:numPr>
                <w:ilvl w:val="0"/>
                <w:numId w:val="23"/>
              </w:numPr>
            </w:pPr>
            <w:r>
              <w:t>The Cas</w:t>
            </w:r>
            <w:r w:rsidR="000C374D">
              <w:t>h</w:t>
            </w:r>
            <w:r>
              <w:t xml:space="preserve"> Flo</w:t>
            </w:r>
            <w:r w:rsidR="000C374D">
              <w:t>w</w:t>
            </w:r>
            <w:r>
              <w:t xml:space="preserve"> can </w:t>
            </w:r>
            <w:r w:rsidR="000C374D">
              <w:t>still sum up.</w:t>
            </w:r>
          </w:p>
          <w:p w:rsidR="000C374D" w:rsidRDefault="000C374D" w:rsidP="00F85CB7">
            <w:pPr>
              <w:pStyle w:val="ListParagraph"/>
              <w:numPr>
                <w:ilvl w:val="0"/>
                <w:numId w:val="23"/>
              </w:numPr>
            </w:pPr>
            <w:r>
              <w:t xml:space="preserve">It is dubious that each </w:t>
            </w:r>
            <w:proofErr w:type="gramStart"/>
            <w:r>
              <w:t>Ageing</w:t>
            </w:r>
            <w:proofErr w:type="gramEnd"/>
            <w:r>
              <w:t xml:space="preserve"> item was directly comparable (in contrast to all other Creditors and Debtors. E.g. </w:t>
            </w:r>
          </w:p>
          <w:p w:rsidR="000C374D" w:rsidRDefault="000C374D" w:rsidP="009C052A">
            <w:r>
              <w:t>Not sure if:</w:t>
            </w:r>
          </w:p>
          <w:p w:rsidR="00CD34A9" w:rsidRPr="009C052A" w:rsidRDefault="000C374D" w:rsidP="009C052A">
            <w:pPr>
              <w:rPr>
                <w:rFonts w:ascii="Calibri" w:hAnsi="Calibri" w:cs="Calibri"/>
                <w:color w:val="000000"/>
              </w:rPr>
            </w:pPr>
            <w:proofErr w:type="spellStart"/>
            <w:r w:rsidRPr="009C052A">
              <w:rPr>
                <w:rFonts w:ascii="Calibri" w:hAnsi="Calibri" w:cs="Calibri"/>
                <w:color w:val="000000"/>
              </w:rPr>
              <w:t>CapitalElementFinanceRentalPayments</w:t>
            </w:r>
            <w:proofErr w:type="spellEnd"/>
            <w:r w:rsidRPr="009C052A">
              <w:rPr>
                <w:rFonts w:ascii="Calibri" w:hAnsi="Calibri" w:cs="Calibri"/>
                <w:color w:val="000000"/>
              </w:rPr>
              <w:t xml:space="preserve"> (</w:t>
            </w:r>
            <w:proofErr w:type="spellStart"/>
            <w:r w:rsidRPr="009C052A">
              <w:rPr>
                <w:rFonts w:ascii="Calibri" w:hAnsi="Calibri" w:cs="Calibri"/>
                <w:color w:val="000000"/>
              </w:rPr>
              <w:t>TxId</w:t>
            </w:r>
            <w:proofErr w:type="spellEnd"/>
            <w:r w:rsidRPr="009C052A">
              <w:rPr>
                <w:rFonts w:ascii="Calibri" w:hAnsi="Calibri" w:cs="Calibri"/>
                <w:color w:val="000000"/>
              </w:rPr>
              <w:t xml:space="preserve"> 505) is the same as</w:t>
            </w:r>
          </w:p>
          <w:p w:rsidR="000C374D" w:rsidRDefault="000C374D" w:rsidP="000C374D">
            <w:pPr>
              <w:rPr>
                <w:rFonts w:ascii="Calibri" w:hAnsi="Calibri" w:cs="Calibri"/>
                <w:color w:val="000000"/>
              </w:rPr>
            </w:pPr>
            <w:r>
              <w:rPr>
                <w:rFonts w:ascii="Calibri" w:hAnsi="Calibri" w:cs="Calibri"/>
                <w:color w:val="000000"/>
              </w:rPr>
              <w:t>IncrInFinanceHirePurchaseDueWithinOneYearReflectedInCashOutflowInflow (</w:t>
            </w:r>
            <w:proofErr w:type="spellStart"/>
            <w:r>
              <w:rPr>
                <w:rFonts w:ascii="Calibri" w:hAnsi="Calibri" w:cs="Calibri"/>
                <w:color w:val="000000"/>
              </w:rPr>
              <w:t>TxId</w:t>
            </w:r>
            <w:proofErr w:type="spellEnd"/>
            <w:r>
              <w:rPr>
                <w:rFonts w:ascii="Calibri" w:hAnsi="Calibri" w:cs="Calibri"/>
                <w:color w:val="000000"/>
              </w:rPr>
              <w:t xml:space="preserve"> 2687) and</w:t>
            </w:r>
          </w:p>
          <w:p w:rsidR="000C374D" w:rsidRDefault="000C374D" w:rsidP="000C374D">
            <w:pPr>
              <w:rPr>
                <w:rFonts w:ascii="Calibri" w:hAnsi="Calibri" w:cs="Calibri"/>
                <w:color w:val="000000"/>
              </w:rPr>
            </w:pPr>
            <w:r>
              <w:rPr>
                <w:rFonts w:ascii="Calibri" w:hAnsi="Calibri" w:cs="Calibri"/>
                <w:color w:val="000000"/>
              </w:rPr>
              <w:t>IncrInFinanceHirePurchaseDueAfterOneYearReflectedInCashOutflowInflow (</w:t>
            </w:r>
            <w:proofErr w:type="spellStart"/>
            <w:r>
              <w:rPr>
                <w:rFonts w:ascii="Calibri" w:hAnsi="Calibri" w:cs="Calibri"/>
                <w:color w:val="000000"/>
              </w:rPr>
              <w:t>TxId</w:t>
            </w:r>
            <w:proofErr w:type="spellEnd"/>
            <w:r>
              <w:rPr>
                <w:rFonts w:ascii="Calibri" w:hAnsi="Calibri" w:cs="Calibri"/>
                <w:color w:val="000000"/>
              </w:rPr>
              <w:t xml:space="preserve"> 2684)</w:t>
            </w:r>
          </w:p>
          <w:p w:rsidR="000C374D" w:rsidRDefault="000C374D" w:rsidP="000C374D">
            <w:pPr>
              <w:pStyle w:val="ListParagraph"/>
            </w:pPr>
          </w:p>
          <w:p w:rsidR="000C374D" w:rsidRDefault="000C374D" w:rsidP="000C374D">
            <w:r>
              <w:t>Likewise not sure if</w:t>
            </w:r>
          </w:p>
          <w:p w:rsidR="000C374D" w:rsidRDefault="000C374D" w:rsidP="000C374D">
            <w:pPr>
              <w:rPr>
                <w:rFonts w:ascii="Calibri" w:hAnsi="Calibri" w:cs="Calibri"/>
                <w:color w:val="000000"/>
              </w:rPr>
            </w:pPr>
            <w:proofErr w:type="spellStart"/>
            <w:r>
              <w:rPr>
                <w:rFonts w:ascii="Calibri" w:hAnsi="Calibri" w:cs="Calibri"/>
                <w:color w:val="000000"/>
              </w:rPr>
              <w:t>NewFinance</w:t>
            </w:r>
            <w:proofErr w:type="spellEnd"/>
            <w:r>
              <w:rPr>
                <w:rFonts w:ascii="Calibri" w:hAnsi="Calibri" w:cs="Calibri"/>
                <w:color w:val="000000"/>
              </w:rPr>
              <w:t xml:space="preserve"> (</w:t>
            </w:r>
            <w:proofErr w:type="spellStart"/>
            <w:r>
              <w:rPr>
                <w:rFonts w:ascii="Calibri" w:hAnsi="Calibri" w:cs="Calibri"/>
                <w:color w:val="000000"/>
              </w:rPr>
              <w:t>TxId</w:t>
            </w:r>
            <w:proofErr w:type="spellEnd"/>
            <w:r>
              <w:rPr>
                <w:rFonts w:ascii="Calibri" w:hAnsi="Calibri" w:cs="Calibri"/>
                <w:color w:val="000000"/>
              </w:rPr>
              <w:t xml:space="preserve"> 3322) is equivalent to</w:t>
            </w:r>
          </w:p>
          <w:p w:rsidR="000C374D" w:rsidRDefault="000C374D" w:rsidP="000C374D">
            <w:pPr>
              <w:rPr>
                <w:rFonts w:ascii="Calibri" w:hAnsi="Calibri" w:cs="Calibri"/>
                <w:color w:val="000000"/>
              </w:rPr>
            </w:pPr>
            <w:r>
              <w:rPr>
                <w:rFonts w:ascii="Calibri" w:hAnsi="Calibri" w:cs="Calibri"/>
                <w:color w:val="000000"/>
              </w:rPr>
              <w:t>IncrInFinanceHirePurchaseDueWithinOneYearFromOtherNoncashChanges (</w:t>
            </w:r>
            <w:proofErr w:type="spellStart"/>
            <w:r>
              <w:rPr>
                <w:rFonts w:ascii="Calibri" w:hAnsi="Calibri" w:cs="Calibri"/>
                <w:color w:val="000000"/>
              </w:rPr>
              <w:t>TxId</w:t>
            </w:r>
            <w:proofErr w:type="spellEnd"/>
            <w:r>
              <w:rPr>
                <w:rFonts w:ascii="Calibri" w:hAnsi="Calibri" w:cs="Calibri"/>
                <w:color w:val="000000"/>
              </w:rPr>
              <w:t xml:space="preserve"> 2686) and</w:t>
            </w:r>
          </w:p>
          <w:p w:rsidR="000C374D" w:rsidRDefault="000C374D" w:rsidP="000C374D">
            <w:pPr>
              <w:rPr>
                <w:rFonts w:ascii="Calibri" w:hAnsi="Calibri" w:cs="Calibri"/>
                <w:color w:val="000000"/>
              </w:rPr>
            </w:pPr>
            <w:proofErr w:type="spellStart"/>
            <w:r>
              <w:rPr>
                <w:rFonts w:ascii="Calibri" w:hAnsi="Calibri" w:cs="Calibri"/>
                <w:color w:val="000000"/>
              </w:rPr>
              <w:t>IncrInFinanceHirePurchaseDueAfterOneYearFromOtherNoncashChanges</w:t>
            </w:r>
            <w:proofErr w:type="spellEnd"/>
            <w:r w:rsidR="009C052A">
              <w:rPr>
                <w:rFonts w:ascii="Calibri" w:hAnsi="Calibri" w:cs="Calibri"/>
                <w:color w:val="000000"/>
              </w:rPr>
              <w:t xml:space="preserve"> (</w:t>
            </w:r>
            <w:proofErr w:type="spellStart"/>
            <w:r w:rsidR="009C052A">
              <w:rPr>
                <w:rFonts w:ascii="Calibri" w:hAnsi="Calibri" w:cs="Calibri"/>
                <w:color w:val="000000"/>
              </w:rPr>
              <w:t>TxId</w:t>
            </w:r>
            <w:proofErr w:type="spellEnd"/>
            <w:r w:rsidR="009C052A">
              <w:rPr>
                <w:rFonts w:ascii="Calibri" w:hAnsi="Calibri" w:cs="Calibri"/>
                <w:color w:val="000000"/>
              </w:rPr>
              <w:t xml:space="preserve"> 2683)</w:t>
            </w:r>
          </w:p>
          <w:p w:rsidR="000C374D" w:rsidRDefault="000C374D" w:rsidP="000C374D">
            <w:pPr>
              <w:rPr>
                <w:rFonts w:ascii="Calibri" w:hAnsi="Calibri" w:cs="Calibri"/>
                <w:color w:val="000000"/>
              </w:rPr>
            </w:pPr>
          </w:p>
          <w:p w:rsidR="000C374D" w:rsidRDefault="00794DB5" w:rsidP="000C374D">
            <w:r>
              <w:t xml:space="preserve">Have treated each </w:t>
            </w:r>
            <w:proofErr w:type="spellStart"/>
            <w:r>
              <w:t>ObligationFLHP</w:t>
            </w:r>
            <w:proofErr w:type="spellEnd"/>
            <w:r>
              <w:t xml:space="preserve"> Set as a non-Taxonomy Bro</w:t>
            </w:r>
          </w:p>
          <w:p w:rsidR="00794DB5" w:rsidRDefault="00794DB5" w:rsidP="000C374D"/>
          <w:p w:rsidR="00794DB5" w:rsidRDefault="00794DB5" w:rsidP="000C374D">
            <w:r>
              <w:lastRenderedPageBreak/>
              <w:t xml:space="preserve">For the Balance sheet I have entered the following </w:t>
            </w:r>
            <w:proofErr w:type="spellStart"/>
            <w:r>
              <w:t>TxIds</w:t>
            </w:r>
            <w:proofErr w:type="spellEnd"/>
            <w:r>
              <w:t xml:space="preserve"> as straight elements with no Ageing Dim 44</w:t>
            </w:r>
          </w:p>
          <w:tbl>
            <w:tblPr>
              <w:tblW w:w="5760" w:type="dxa"/>
              <w:tblLook w:val="04A0" w:firstRow="1" w:lastRow="0" w:firstColumn="1" w:lastColumn="0" w:noHBand="0" w:noVBand="1"/>
            </w:tblPr>
            <w:tblGrid>
              <w:gridCol w:w="2966"/>
              <w:gridCol w:w="960"/>
              <w:gridCol w:w="960"/>
              <w:gridCol w:w="960"/>
            </w:tblGrid>
            <w:tr w:rsidR="00794DB5" w:rsidRPr="00794DB5" w:rsidTr="00794DB5">
              <w:trPr>
                <w:trHeight w:val="300"/>
              </w:trPr>
              <w:tc>
                <w:tcPr>
                  <w:tcW w:w="2880" w:type="dxa"/>
                  <w:tcBorders>
                    <w:top w:val="nil"/>
                    <w:left w:val="nil"/>
                    <w:bottom w:val="nil"/>
                    <w:right w:val="nil"/>
                  </w:tcBorders>
                  <w:shd w:val="clear" w:color="auto" w:fill="auto"/>
                  <w:noWrap/>
                  <w:vAlign w:val="bottom"/>
                  <w:hideMark/>
                </w:tcPr>
                <w:p w:rsidR="00794DB5" w:rsidRPr="00794DB5" w:rsidRDefault="00794DB5" w:rsidP="00794DB5">
                  <w:pPr>
                    <w:rPr>
                      <w:rFonts w:ascii="Calibri" w:eastAsia="Times New Roman" w:hAnsi="Calibri" w:cs="Calibri"/>
                      <w:color w:val="000000"/>
                    </w:rPr>
                  </w:pPr>
                  <w:proofErr w:type="spellStart"/>
                  <w:r w:rsidRPr="00794DB5">
                    <w:rPr>
                      <w:rFonts w:ascii="Calibri" w:eastAsia="Times New Roman" w:hAnsi="Calibri" w:cs="Calibri"/>
                      <w:color w:val="000000"/>
                    </w:rPr>
                    <w:t>FinLeasesHPContractsAll</w:t>
                  </w:r>
                  <w:proofErr w:type="spellEnd"/>
                </w:p>
              </w:tc>
              <w:tc>
                <w:tcPr>
                  <w:tcW w:w="960" w:type="dxa"/>
                  <w:tcBorders>
                    <w:top w:val="nil"/>
                    <w:left w:val="nil"/>
                    <w:bottom w:val="nil"/>
                    <w:right w:val="nil"/>
                  </w:tcBorders>
                  <w:shd w:val="clear" w:color="auto" w:fill="auto"/>
                  <w:noWrap/>
                  <w:vAlign w:val="bottom"/>
                  <w:hideMark/>
                </w:tcPr>
                <w:p w:rsidR="00794DB5" w:rsidRPr="00794DB5" w:rsidRDefault="00794DB5" w:rsidP="00794DB5">
                  <w:pP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94DB5" w:rsidRPr="00794DB5" w:rsidRDefault="00794DB5" w:rsidP="00794DB5">
                  <w:pPr>
                    <w:rPr>
                      <w:rFonts w:ascii="Calibri" w:eastAsia="Times New Roman" w:hAnsi="Calibri" w:cs="Calibri"/>
                      <w:color w:val="000000"/>
                    </w:rPr>
                  </w:pPr>
                  <w:r w:rsidRPr="00794DB5">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794DB5" w:rsidRPr="00794DB5" w:rsidRDefault="00794DB5" w:rsidP="00794DB5">
                  <w:pPr>
                    <w:jc w:val="right"/>
                    <w:rPr>
                      <w:rFonts w:ascii="Calibri" w:eastAsia="Times New Roman" w:hAnsi="Calibri" w:cs="Calibri"/>
                      <w:color w:val="000000"/>
                    </w:rPr>
                  </w:pPr>
                  <w:r w:rsidRPr="00794DB5">
                    <w:rPr>
                      <w:rFonts w:ascii="Calibri" w:eastAsia="Times New Roman" w:hAnsi="Calibri" w:cs="Calibri"/>
                      <w:color w:val="000000"/>
                    </w:rPr>
                    <w:t>3387</w:t>
                  </w:r>
                </w:p>
              </w:tc>
            </w:tr>
            <w:tr w:rsidR="00794DB5" w:rsidRPr="00794DB5" w:rsidTr="00794DB5">
              <w:trPr>
                <w:trHeight w:val="300"/>
              </w:trPr>
              <w:tc>
                <w:tcPr>
                  <w:tcW w:w="2880" w:type="dxa"/>
                  <w:tcBorders>
                    <w:top w:val="nil"/>
                    <w:left w:val="nil"/>
                    <w:bottom w:val="nil"/>
                    <w:right w:val="nil"/>
                  </w:tcBorders>
                  <w:shd w:val="clear" w:color="auto" w:fill="auto"/>
                  <w:noWrap/>
                  <w:vAlign w:val="bottom"/>
                  <w:hideMark/>
                </w:tcPr>
                <w:p w:rsidR="00794DB5" w:rsidRPr="00794DB5" w:rsidRDefault="00794DB5" w:rsidP="00794DB5">
                  <w:pPr>
                    <w:rPr>
                      <w:rFonts w:ascii="Calibri" w:eastAsia="Times New Roman" w:hAnsi="Calibri" w:cs="Calibri"/>
                      <w:color w:val="000000"/>
                    </w:rPr>
                  </w:pPr>
                  <w:r w:rsidRPr="00794DB5">
                    <w:rPr>
                      <w:rFonts w:ascii="Calibri" w:eastAsia="Times New Roman" w:hAnsi="Calibri" w:cs="Calibri"/>
                      <w:color w:val="000000"/>
                    </w:rPr>
                    <w:t>FinLeasesHPContractsLess1Yr</w:t>
                  </w:r>
                </w:p>
              </w:tc>
              <w:tc>
                <w:tcPr>
                  <w:tcW w:w="960" w:type="dxa"/>
                  <w:tcBorders>
                    <w:top w:val="nil"/>
                    <w:left w:val="nil"/>
                    <w:bottom w:val="nil"/>
                    <w:right w:val="nil"/>
                  </w:tcBorders>
                  <w:shd w:val="clear" w:color="auto" w:fill="auto"/>
                  <w:noWrap/>
                  <w:vAlign w:val="bottom"/>
                  <w:hideMark/>
                </w:tcPr>
                <w:p w:rsidR="00794DB5" w:rsidRPr="00794DB5" w:rsidRDefault="00794DB5" w:rsidP="00794DB5">
                  <w:pP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94DB5" w:rsidRPr="00794DB5" w:rsidRDefault="00794DB5" w:rsidP="00794DB5">
                  <w:pPr>
                    <w:rPr>
                      <w:rFonts w:ascii="Calibri" w:eastAsia="Times New Roman" w:hAnsi="Calibri" w:cs="Calibri"/>
                      <w:color w:val="000000"/>
                    </w:rPr>
                  </w:pPr>
                  <w:r w:rsidRPr="00794DB5">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794DB5" w:rsidRPr="00794DB5" w:rsidRDefault="00794DB5" w:rsidP="00794DB5">
                  <w:pPr>
                    <w:jc w:val="right"/>
                    <w:rPr>
                      <w:rFonts w:ascii="Calibri" w:eastAsia="Times New Roman" w:hAnsi="Calibri" w:cs="Calibri"/>
                      <w:color w:val="000000"/>
                    </w:rPr>
                  </w:pPr>
                  <w:r w:rsidRPr="00794DB5">
                    <w:rPr>
                      <w:rFonts w:ascii="Calibri" w:eastAsia="Times New Roman" w:hAnsi="Calibri" w:cs="Calibri"/>
                      <w:color w:val="000000"/>
                    </w:rPr>
                    <w:t>3389</w:t>
                  </w:r>
                </w:p>
              </w:tc>
            </w:tr>
            <w:tr w:rsidR="00794DB5" w:rsidRPr="00794DB5" w:rsidTr="00794DB5">
              <w:trPr>
                <w:trHeight w:val="300"/>
              </w:trPr>
              <w:tc>
                <w:tcPr>
                  <w:tcW w:w="2880" w:type="dxa"/>
                  <w:tcBorders>
                    <w:top w:val="nil"/>
                    <w:left w:val="nil"/>
                    <w:bottom w:val="nil"/>
                    <w:right w:val="nil"/>
                  </w:tcBorders>
                  <w:shd w:val="clear" w:color="auto" w:fill="auto"/>
                  <w:noWrap/>
                  <w:vAlign w:val="bottom"/>
                  <w:hideMark/>
                </w:tcPr>
                <w:p w:rsidR="00794DB5" w:rsidRPr="00794DB5" w:rsidRDefault="00794DB5" w:rsidP="00794DB5">
                  <w:pPr>
                    <w:rPr>
                      <w:rFonts w:ascii="Calibri" w:eastAsia="Times New Roman" w:hAnsi="Calibri" w:cs="Calibri"/>
                      <w:color w:val="000000"/>
                    </w:rPr>
                  </w:pPr>
                  <w:r w:rsidRPr="00794DB5">
                    <w:rPr>
                      <w:rFonts w:ascii="Calibri" w:eastAsia="Times New Roman" w:hAnsi="Calibri" w:cs="Calibri"/>
                      <w:color w:val="000000"/>
                    </w:rPr>
                    <w:t>FinLeasesHPContractsMore1Yr</w:t>
                  </w:r>
                </w:p>
              </w:tc>
              <w:tc>
                <w:tcPr>
                  <w:tcW w:w="960" w:type="dxa"/>
                  <w:tcBorders>
                    <w:top w:val="nil"/>
                    <w:left w:val="nil"/>
                    <w:bottom w:val="nil"/>
                    <w:right w:val="nil"/>
                  </w:tcBorders>
                  <w:shd w:val="clear" w:color="auto" w:fill="auto"/>
                  <w:noWrap/>
                  <w:vAlign w:val="bottom"/>
                  <w:hideMark/>
                </w:tcPr>
                <w:p w:rsidR="00794DB5" w:rsidRPr="00794DB5" w:rsidRDefault="00794DB5" w:rsidP="00794DB5">
                  <w:pP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94DB5" w:rsidRPr="00794DB5" w:rsidRDefault="00794DB5" w:rsidP="00794DB5">
                  <w:pPr>
                    <w:rPr>
                      <w:rFonts w:ascii="Calibri" w:eastAsia="Times New Roman" w:hAnsi="Calibri" w:cs="Calibri"/>
                      <w:color w:val="000000"/>
                    </w:rPr>
                  </w:pPr>
                  <w:r w:rsidRPr="00794DB5">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794DB5" w:rsidRPr="00794DB5" w:rsidRDefault="00794DB5" w:rsidP="00794DB5">
                  <w:pPr>
                    <w:jc w:val="right"/>
                    <w:rPr>
                      <w:rFonts w:ascii="Calibri" w:eastAsia="Times New Roman" w:hAnsi="Calibri" w:cs="Calibri"/>
                      <w:color w:val="000000"/>
                    </w:rPr>
                  </w:pPr>
                  <w:r w:rsidRPr="00794DB5">
                    <w:rPr>
                      <w:rFonts w:ascii="Calibri" w:eastAsia="Times New Roman" w:hAnsi="Calibri" w:cs="Calibri"/>
                      <w:color w:val="000000"/>
                    </w:rPr>
                    <w:t>3388</w:t>
                  </w:r>
                </w:p>
              </w:tc>
            </w:tr>
          </w:tbl>
          <w:p w:rsidR="00794DB5" w:rsidRDefault="00794DB5" w:rsidP="000C374D"/>
          <w:p w:rsidR="00F5151F" w:rsidRDefault="00794DB5" w:rsidP="000C374D">
            <w:r>
              <w:t>Then created three further non</w:t>
            </w:r>
            <w:r w:rsidR="00F5151F">
              <w:t>-</w:t>
            </w:r>
            <w:r>
              <w:t>Taxon</w:t>
            </w:r>
            <w:r w:rsidR="00F5151F">
              <w:t>o</w:t>
            </w:r>
            <w:r>
              <w:t xml:space="preserve">my BROs and should them as Related To </w:t>
            </w:r>
            <w:r w:rsidR="00F5151F">
              <w:t>each of the above.</w:t>
            </w:r>
          </w:p>
          <w:p w:rsidR="00794DB5" w:rsidRDefault="00F5151F" w:rsidP="000C374D">
            <w:r>
              <w:t xml:space="preserve">This seems to work fine for the </w:t>
            </w:r>
            <w:r w:rsidR="00794DB5">
              <w:t xml:space="preserve"> </w:t>
            </w:r>
            <w:r>
              <w:t xml:space="preserve">Element, but not for the two Map Bros. Get import error message that cannot use </w:t>
            </w:r>
            <w:proofErr w:type="spellStart"/>
            <w:r>
              <w:t>Braiins</w:t>
            </w:r>
            <w:proofErr w:type="spellEnd"/>
            <w:r>
              <w:t xml:space="preserve"> Dimension maps with non-Taxonomy elements</w:t>
            </w:r>
          </w:p>
          <w:p w:rsidR="00F5151F" w:rsidRDefault="00F5151F" w:rsidP="000C374D"/>
          <w:tbl>
            <w:tblPr>
              <w:tblW w:w="9390" w:type="dxa"/>
              <w:tblLook w:val="04A0" w:firstRow="1" w:lastRow="0" w:firstColumn="1" w:lastColumn="0" w:noHBand="0" w:noVBand="1"/>
            </w:tblPr>
            <w:tblGrid>
              <w:gridCol w:w="742"/>
              <w:gridCol w:w="2361"/>
              <w:gridCol w:w="5736"/>
            </w:tblGrid>
            <w:tr w:rsidR="00F5151F" w:rsidRPr="00F5151F" w:rsidTr="00F5151F">
              <w:trPr>
                <w:trHeight w:val="300"/>
              </w:trPr>
              <w:tc>
                <w:tcPr>
                  <w:tcW w:w="778" w:type="dxa"/>
                  <w:tcBorders>
                    <w:top w:val="nil"/>
                    <w:left w:val="nil"/>
                    <w:bottom w:val="nil"/>
                    <w:right w:val="nil"/>
                  </w:tcBorders>
                  <w:shd w:val="clear" w:color="auto" w:fill="auto"/>
                  <w:noWrap/>
                  <w:vAlign w:val="bottom"/>
                  <w:hideMark/>
                </w:tcPr>
                <w:p w:rsidR="00F5151F" w:rsidRPr="00F5151F" w:rsidRDefault="00F5151F" w:rsidP="00F5151F">
                  <w:pPr>
                    <w:jc w:val="right"/>
                    <w:rPr>
                      <w:rFonts w:ascii="Calibri" w:eastAsia="Times New Roman" w:hAnsi="Calibri" w:cs="Calibri"/>
                      <w:color w:val="000000"/>
                      <w:sz w:val="16"/>
                    </w:rPr>
                  </w:pPr>
                  <w:r w:rsidRPr="00F5151F">
                    <w:rPr>
                      <w:rFonts w:ascii="Calibri" w:eastAsia="Times New Roman" w:hAnsi="Calibri" w:cs="Calibri"/>
                      <w:color w:val="000000"/>
                      <w:sz w:val="16"/>
                    </w:rPr>
                    <w:t>1635</w:t>
                  </w:r>
                </w:p>
              </w:tc>
              <w:tc>
                <w:tcPr>
                  <w:tcW w:w="2505" w:type="dxa"/>
                  <w:tcBorders>
                    <w:top w:val="nil"/>
                    <w:left w:val="nil"/>
                    <w:bottom w:val="nil"/>
                    <w:right w:val="nil"/>
                  </w:tcBorders>
                  <w:shd w:val="clear" w:color="auto" w:fill="auto"/>
                  <w:noWrap/>
                  <w:vAlign w:val="bottom"/>
                  <w:hideMark/>
                </w:tcPr>
                <w:p w:rsidR="00F5151F" w:rsidRPr="00F5151F" w:rsidRDefault="00F5151F" w:rsidP="00F5151F">
                  <w:pPr>
                    <w:rPr>
                      <w:rFonts w:ascii="Calibri" w:eastAsia="Times New Roman" w:hAnsi="Calibri" w:cs="Calibri"/>
                      <w:color w:val="000000"/>
                      <w:sz w:val="16"/>
                    </w:rPr>
                  </w:pPr>
                  <w:r w:rsidRPr="00F5151F">
                    <w:rPr>
                      <w:rFonts w:ascii="Calibri" w:eastAsia="Times New Roman" w:hAnsi="Calibri" w:cs="Calibri"/>
                      <w:color w:val="000000"/>
                      <w:sz w:val="16"/>
                    </w:rPr>
                    <w:t>Map   BS Creditors FLHP    &lt;1</w:t>
                  </w:r>
                </w:p>
              </w:tc>
              <w:tc>
                <w:tcPr>
                  <w:tcW w:w="6107" w:type="dxa"/>
                  <w:tcBorders>
                    <w:top w:val="nil"/>
                    <w:left w:val="nil"/>
                    <w:bottom w:val="nil"/>
                    <w:right w:val="nil"/>
                  </w:tcBorders>
                  <w:shd w:val="clear" w:color="auto" w:fill="auto"/>
                  <w:noWrap/>
                  <w:vAlign w:val="bottom"/>
                  <w:hideMark/>
                </w:tcPr>
                <w:p w:rsidR="00F5151F" w:rsidRPr="00F5151F" w:rsidRDefault="00F5151F" w:rsidP="00F5151F">
                  <w:pPr>
                    <w:rPr>
                      <w:rFonts w:ascii="Calibri" w:eastAsia="Times New Roman" w:hAnsi="Calibri" w:cs="Calibri"/>
                      <w:color w:val="000000"/>
                      <w:sz w:val="16"/>
                    </w:rPr>
                  </w:pPr>
                  <w:r w:rsidRPr="00F5151F">
                    <w:rPr>
                      <w:rFonts w:ascii="Calibri" w:eastAsia="Times New Roman" w:hAnsi="Calibri" w:cs="Calibri"/>
                      <w:color w:val="000000"/>
                      <w:sz w:val="16"/>
                    </w:rPr>
                    <w:t xml:space="preserve">This </w:t>
                  </w:r>
                  <w:proofErr w:type="spellStart"/>
                  <w:r w:rsidRPr="00F5151F">
                    <w:rPr>
                      <w:rFonts w:ascii="Calibri" w:eastAsia="Times New Roman" w:hAnsi="Calibri" w:cs="Calibri"/>
                      <w:color w:val="000000"/>
                      <w:sz w:val="16"/>
                    </w:rPr>
                    <w:t>Braiins</w:t>
                  </w:r>
                  <w:proofErr w:type="spellEnd"/>
                  <w:r w:rsidRPr="00F5151F">
                    <w:rPr>
                      <w:rFonts w:ascii="Calibri" w:eastAsia="Times New Roman" w:hAnsi="Calibri" w:cs="Calibri"/>
                      <w:color w:val="000000"/>
                      <w:sz w:val="16"/>
                    </w:rPr>
                    <w:t xml:space="preserve"> Dimension Map is missing a </w:t>
                  </w:r>
                  <w:proofErr w:type="spellStart"/>
                  <w:r w:rsidRPr="00F5151F">
                    <w:rPr>
                      <w:rFonts w:ascii="Calibri" w:eastAsia="Times New Roman" w:hAnsi="Calibri" w:cs="Calibri"/>
                      <w:color w:val="000000"/>
                      <w:sz w:val="16"/>
                    </w:rPr>
                    <w:t>TxId</w:t>
                  </w:r>
                  <w:proofErr w:type="spellEnd"/>
                  <w:r w:rsidRPr="00F5151F">
                    <w:rPr>
                      <w:rFonts w:ascii="Calibri" w:eastAsia="Times New Roman" w:hAnsi="Calibri" w:cs="Calibri"/>
                      <w:color w:val="000000"/>
                      <w:sz w:val="16"/>
                    </w:rPr>
                    <w:t xml:space="preserve">. All maps are expected to have a </w:t>
                  </w:r>
                  <w:proofErr w:type="spellStart"/>
                  <w:r w:rsidRPr="00F5151F">
                    <w:rPr>
                      <w:rFonts w:ascii="Calibri" w:eastAsia="Times New Roman" w:hAnsi="Calibri" w:cs="Calibri"/>
                      <w:color w:val="000000"/>
                      <w:sz w:val="16"/>
                    </w:rPr>
                    <w:t>TxId</w:t>
                  </w:r>
                  <w:proofErr w:type="spellEnd"/>
                  <w:r w:rsidRPr="00F5151F">
                    <w:rPr>
                      <w:rFonts w:ascii="Calibri" w:eastAsia="Times New Roman" w:hAnsi="Calibri" w:cs="Calibri"/>
                      <w:color w:val="000000"/>
                      <w:sz w:val="16"/>
                    </w:rPr>
                    <w:t>.</w:t>
                  </w:r>
                </w:p>
              </w:tc>
            </w:tr>
            <w:tr w:rsidR="00F5151F" w:rsidRPr="00F5151F" w:rsidTr="00F5151F">
              <w:trPr>
                <w:trHeight w:val="300"/>
              </w:trPr>
              <w:tc>
                <w:tcPr>
                  <w:tcW w:w="778" w:type="dxa"/>
                  <w:tcBorders>
                    <w:top w:val="nil"/>
                    <w:left w:val="nil"/>
                    <w:bottom w:val="nil"/>
                    <w:right w:val="nil"/>
                  </w:tcBorders>
                  <w:shd w:val="clear" w:color="auto" w:fill="auto"/>
                  <w:noWrap/>
                  <w:vAlign w:val="bottom"/>
                  <w:hideMark/>
                </w:tcPr>
                <w:p w:rsidR="00F5151F" w:rsidRPr="00F5151F" w:rsidRDefault="00F5151F" w:rsidP="00F5151F">
                  <w:pPr>
                    <w:jc w:val="right"/>
                    <w:rPr>
                      <w:rFonts w:ascii="Calibri" w:eastAsia="Times New Roman" w:hAnsi="Calibri" w:cs="Calibri"/>
                      <w:color w:val="000000"/>
                      <w:sz w:val="16"/>
                    </w:rPr>
                  </w:pPr>
                  <w:r w:rsidRPr="00F5151F">
                    <w:rPr>
                      <w:rFonts w:ascii="Calibri" w:eastAsia="Times New Roman" w:hAnsi="Calibri" w:cs="Calibri"/>
                      <w:color w:val="000000"/>
                      <w:sz w:val="16"/>
                    </w:rPr>
                    <w:t>1636</w:t>
                  </w:r>
                </w:p>
              </w:tc>
              <w:tc>
                <w:tcPr>
                  <w:tcW w:w="2505" w:type="dxa"/>
                  <w:tcBorders>
                    <w:top w:val="nil"/>
                    <w:left w:val="nil"/>
                    <w:bottom w:val="nil"/>
                    <w:right w:val="nil"/>
                  </w:tcBorders>
                  <w:shd w:val="clear" w:color="auto" w:fill="auto"/>
                  <w:noWrap/>
                  <w:vAlign w:val="bottom"/>
                  <w:hideMark/>
                </w:tcPr>
                <w:p w:rsidR="00F5151F" w:rsidRPr="00F5151F" w:rsidRDefault="00F5151F" w:rsidP="00F5151F">
                  <w:pPr>
                    <w:rPr>
                      <w:rFonts w:ascii="Calibri" w:eastAsia="Times New Roman" w:hAnsi="Calibri" w:cs="Calibri"/>
                      <w:color w:val="000000"/>
                      <w:sz w:val="16"/>
                    </w:rPr>
                  </w:pPr>
                  <w:r w:rsidRPr="00F5151F">
                    <w:rPr>
                      <w:rFonts w:ascii="Calibri" w:eastAsia="Times New Roman" w:hAnsi="Calibri" w:cs="Calibri"/>
                      <w:color w:val="000000"/>
                      <w:sz w:val="16"/>
                    </w:rPr>
                    <w:t>Map   BS Creditors FLHP    &gt;1</w:t>
                  </w:r>
                </w:p>
              </w:tc>
              <w:tc>
                <w:tcPr>
                  <w:tcW w:w="6107" w:type="dxa"/>
                  <w:tcBorders>
                    <w:top w:val="nil"/>
                    <w:left w:val="nil"/>
                    <w:bottom w:val="nil"/>
                    <w:right w:val="nil"/>
                  </w:tcBorders>
                  <w:shd w:val="clear" w:color="auto" w:fill="auto"/>
                  <w:noWrap/>
                  <w:vAlign w:val="bottom"/>
                  <w:hideMark/>
                </w:tcPr>
                <w:p w:rsidR="00F5151F" w:rsidRPr="00F5151F" w:rsidRDefault="00F5151F" w:rsidP="00F5151F">
                  <w:pPr>
                    <w:rPr>
                      <w:rFonts w:ascii="Calibri" w:eastAsia="Times New Roman" w:hAnsi="Calibri" w:cs="Calibri"/>
                      <w:color w:val="000000"/>
                      <w:sz w:val="16"/>
                    </w:rPr>
                  </w:pPr>
                  <w:r w:rsidRPr="00F5151F">
                    <w:rPr>
                      <w:rFonts w:ascii="Calibri" w:eastAsia="Times New Roman" w:hAnsi="Calibri" w:cs="Calibri"/>
                      <w:color w:val="000000"/>
                      <w:sz w:val="16"/>
                    </w:rPr>
                    <w:t xml:space="preserve">This </w:t>
                  </w:r>
                  <w:proofErr w:type="spellStart"/>
                  <w:r w:rsidRPr="00F5151F">
                    <w:rPr>
                      <w:rFonts w:ascii="Calibri" w:eastAsia="Times New Roman" w:hAnsi="Calibri" w:cs="Calibri"/>
                      <w:color w:val="000000"/>
                      <w:sz w:val="16"/>
                    </w:rPr>
                    <w:t>Braiins</w:t>
                  </w:r>
                  <w:proofErr w:type="spellEnd"/>
                  <w:r w:rsidRPr="00F5151F">
                    <w:rPr>
                      <w:rFonts w:ascii="Calibri" w:eastAsia="Times New Roman" w:hAnsi="Calibri" w:cs="Calibri"/>
                      <w:color w:val="000000"/>
                      <w:sz w:val="16"/>
                    </w:rPr>
                    <w:t xml:space="preserve"> Dimension Map is missing a </w:t>
                  </w:r>
                  <w:proofErr w:type="spellStart"/>
                  <w:r w:rsidRPr="00F5151F">
                    <w:rPr>
                      <w:rFonts w:ascii="Calibri" w:eastAsia="Times New Roman" w:hAnsi="Calibri" w:cs="Calibri"/>
                      <w:color w:val="000000"/>
                      <w:sz w:val="16"/>
                    </w:rPr>
                    <w:t>TxId</w:t>
                  </w:r>
                  <w:proofErr w:type="spellEnd"/>
                  <w:r w:rsidRPr="00F5151F">
                    <w:rPr>
                      <w:rFonts w:ascii="Calibri" w:eastAsia="Times New Roman" w:hAnsi="Calibri" w:cs="Calibri"/>
                      <w:color w:val="000000"/>
                      <w:sz w:val="16"/>
                    </w:rPr>
                    <w:t xml:space="preserve">. All maps are expected to have a </w:t>
                  </w:r>
                  <w:proofErr w:type="spellStart"/>
                  <w:r w:rsidRPr="00F5151F">
                    <w:rPr>
                      <w:rFonts w:ascii="Calibri" w:eastAsia="Times New Roman" w:hAnsi="Calibri" w:cs="Calibri"/>
                      <w:color w:val="000000"/>
                      <w:sz w:val="16"/>
                    </w:rPr>
                    <w:t>TxId</w:t>
                  </w:r>
                  <w:proofErr w:type="spellEnd"/>
                  <w:r w:rsidRPr="00F5151F">
                    <w:rPr>
                      <w:rFonts w:ascii="Calibri" w:eastAsia="Times New Roman" w:hAnsi="Calibri" w:cs="Calibri"/>
                      <w:color w:val="000000"/>
                      <w:sz w:val="16"/>
                    </w:rPr>
                    <w:t>.</w:t>
                  </w:r>
                </w:p>
              </w:tc>
            </w:tr>
          </w:tbl>
          <w:p w:rsidR="00F5151F" w:rsidRDefault="00F5151F" w:rsidP="000C374D"/>
          <w:p w:rsidR="00F5151F" w:rsidRDefault="00F5151F" w:rsidP="000C374D">
            <w:r>
              <w:t>So questions then are</w:t>
            </w:r>
          </w:p>
          <w:p w:rsidR="00F5151F" w:rsidRDefault="00F5151F" w:rsidP="00F5151F">
            <w:pPr>
              <w:pStyle w:val="ListParagraph"/>
              <w:numPr>
                <w:ilvl w:val="0"/>
                <w:numId w:val="26"/>
              </w:numPr>
            </w:pPr>
            <w:r>
              <w:t xml:space="preserve">Ignoring the non </w:t>
            </w:r>
            <w:proofErr w:type="spellStart"/>
            <w:r>
              <w:t>TxId</w:t>
            </w:r>
            <w:proofErr w:type="spellEnd"/>
            <w:r>
              <w:t xml:space="preserve"> aspe</w:t>
            </w:r>
            <w:r w:rsidR="00786065">
              <w:t>c</w:t>
            </w:r>
            <w:r>
              <w:t xml:space="preserve">t for a moment, does this fudge actually </w:t>
            </w:r>
            <w:proofErr w:type="gramStart"/>
            <w:r>
              <w:t>work.</w:t>
            </w:r>
            <w:proofErr w:type="gramEnd"/>
          </w:p>
          <w:p w:rsidR="00F5151F" w:rsidRDefault="00F5151F" w:rsidP="00F5151F">
            <w:pPr>
              <w:pStyle w:val="ListParagraph"/>
              <w:numPr>
                <w:ilvl w:val="0"/>
                <w:numId w:val="26"/>
              </w:numPr>
            </w:pPr>
            <w:r>
              <w:t>If so,</w:t>
            </w:r>
          </w:p>
          <w:p w:rsidR="00F5151F" w:rsidRDefault="00F5151F" w:rsidP="00F5151F">
            <w:pPr>
              <w:pStyle w:val="ListParagraph"/>
              <w:numPr>
                <w:ilvl w:val="1"/>
                <w:numId w:val="26"/>
              </w:numPr>
            </w:pPr>
            <w:r>
              <w:t xml:space="preserve">Is it easy to allow </w:t>
            </w:r>
            <w:proofErr w:type="spellStart"/>
            <w:r>
              <w:t>Braiins</w:t>
            </w:r>
            <w:proofErr w:type="spellEnd"/>
            <w:r>
              <w:t xml:space="preserve"> Dims to work with non-Taxonomy Bros</w:t>
            </w:r>
          </w:p>
          <w:p w:rsidR="00F5151F" w:rsidRDefault="00F5151F" w:rsidP="00F5151F">
            <w:pPr>
              <w:pStyle w:val="ListParagraph"/>
              <w:numPr>
                <w:ilvl w:val="1"/>
                <w:numId w:val="26"/>
              </w:numPr>
            </w:pPr>
            <w:r>
              <w:t xml:space="preserve">Would this be useful in its own right e.g. for users to create schedules. </w:t>
            </w:r>
          </w:p>
          <w:p w:rsidR="00F5151F" w:rsidRDefault="00F5151F" w:rsidP="000C374D"/>
          <w:p w:rsidR="00794DB5" w:rsidRDefault="00794DB5" w:rsidP="000C374D"/>
        </w:tc>
      </w:tr>
      <w:tr w:rsidR="00572E49" w:rsidTr="00050B92">
        <w:tc>
          <w:tcPr>
            <w:tcW w:w="1295" w:type="dxa"/>
          </w:tcPr>
          <w:p w:rsidR="00572E49" w:rsidRPr="00B64497" w:rsidRDefault="0007675F" w:rsidP="004031FF">
            <w:r>
              <w:lastRenderedPageBreak/>
              <w:t>Structure</w:t>
            </w:r>
          </w:p>
        </w:tc>
        <w:tc>
          <w:tcPr>
            <w:tcW w:w="634" w:type="dxa"/>
          </w:tcPr>
          <w:p w:rsidR="00572E49" w:rsidRPr="00B64497" w:rsidRDefault="00572E49" w:rsidP="001B2B5D">
            <w:pPr>
              <w:pStyle w:val="NormSpace"/>
              <w:jc w:val="center"/>
            </w:pPr>
          </w:p>
        </w:tc>
        <w:tc>
          <w:tcPr>
            <w:tcW w:w="8549" w:type="dxa"/>
          </w:tcPr>
          <w:p w:rsidR="0007675F" w:rsidRDefault="0007675F" w:rsidP="004031FF">
            <w:r>
              <w:t>Background.</w:t>
            </w:r>
          </w:p>
          <w:p w:rsidR="00572E49" w:rsidRDefault="0007675F" w:rsidP="004031FF">
            <w:r>
              <w:t xml:space="preserve">BROs incorporate all the aspects one would expect from a CoA plus all other information that could be possible held for an Entity. It also has its own built in logic to deal with relationships between different pieces of related </w:t>
            </w:r>
            <w:r w:rsidR="00712E52">
              <w:t>information e.g</w:t>
            </w:r>
            <w:r>
              <w:t xml:space="preserve">. a “NL” Set to hold totals for </w:t>
            </w:r>
            <w:r w:rsidR="00712E52">
              <w:t>a number</w:t>
            </w:r>
            <w:r>
              <w:t xml:space="preserve"> of “NL” Elements or sub-sets.</w:t>
            </w:r>
          </w:p>
          <w:p w:rsidR="0007675F" w:rsidRDefault="0007675F" w:rsidP="0007675F"/>
          <w:p w:rsidR="0007675F" w:rsidRDefault="0007675F" w:rsidP="0007675F">
            <w:r>
              <w:t xml:space="preserve">Concrete taxonomy elements can be viewed in two main ways or Types; Presentation or Definition. Often they are identical. Many </w:t>
            </w:r>
            <w:proofErr w:type="spellStart"/>
            <w:r>
              <w:t>TxIds</w:t>
            </w:r>
            <w:proofErr w:type="spellEnd"/>
            <w:r>
              <w:t xml:space="preserve"> appear more than once within the Taxonomy (in either view). But within BROs they can only appear once. (BROs is looking to store the value so should never have duplicates of the same </w:t>
            </w:r>
            <w:proofErr w:type="spellStart"/>
            <w:r>
              <w:t>TxId</w:t>
            </w:r>
            <w:proofErr w:type="spellEnd"/>
            <w:r>
              <w:t>/</w:t>
            </w:r>
            <w:proofErr w:type="spellStart"/>
            <w:r>
              <w:t>HyId</w:t>
            </w:r>
            <w:proofErr w:type="spellEnd"/>
            <w:r>
              <w:t xml:space="preserve"> combination.</w:t>
            </w:r>
          </w:p>
          <w:p w:rsidR="0007675F" w:rsidRDefault="0007675F" w:rsidP="0007675F"/>
          <w:p w:rsidR="0007675F" w:rsidRDefault="0007675F" w:rsidP="0007675F">
            <w:r>
              <w:t xml:space="preserve">The chosen method of </w:t>
            </w:r>
            <w:r w:rsidR="00712E52">
              <w:t>building the</w:t>
            </w:r>
            <w:r>
              <w:t xml:space="preserve"> BROs structure has been using the Presentation view.</w:t>
            </w:r>
          </w:p>
          <w:p w:rsidR="0007675F" w:rsidRDefault="0007675F" w:rsidP="0007675F"/>
          <w:p w:rsidR="0007675F" w:rsidRDefault="0007675F" w:rsidP="0007675F">
            <w:r>
              <w:t xml:space="preserve">Where a </w:t>
            </w:r>
            <w:proofErr w:type="spellStart"/>
            <w:r>
              <w:t>TxId</w:t>
            </w:r>
            <w:proofErr w:type="spellEnd"/>
            <w:r>
              <w:t>/</w:t>
            </w:r>
            <w:proofErr w:type="spellStart"/>
            <w:r>
              <w:t>Hy</w:t>
            </w:r>
            <w:proofErr w:type="spellEnd"/>
            <w:r>
              <w:t xml:space="preserve"> Id combination does appear more than once we need to decide which “appearance” (if either?) is the best one to go </w:t>
            </w:r>
            <w:proofErr w:type="gramStart"/>
            <w:r>
              <w:t>for.</w:t>
            </w:r>
            <w:proofErr w:type="gramEnd"/>
            <w:r>
              <w:t xml:space="preserve"> Initially whether it makes any functional difference e.g. ability to create complete sets.</w:t>
            </w:r>
          </w:p>
          <w:p w:rsidR="0007675F" w:rsidRDefault="0007675F" w:rsidP="0007675F"/>
          <w:p w:rsidR="0007675F" w:rsidRDefault="0007675F" w:rsidP="0007675F">
            <w:r>
              <w:t>Have experimented with two main methods so far.</w:t>
            </w:r>
          </w:p>
          <w:p w:rsidR="0007675F" w:rsidRDefault="0007675F" w:rsidP="006441B6">
            <w:pPr>
              <w:pStyle w:val="ListParagraph"/>
              <w:numPr>
                <w:ilvl w:val="0"/>
                <w:numId w:val="27"/>
              </w:numPr>
            </w:pPr>
            <w:r>
              <w:t>Link back to the Primary report e.g. make</w:t>
            </w:r>
            <w:r w:rsidR="006441B6">
              <w:t xml:space="preserve"> </w:t>
            </w:r>
            <w:r w:rsidR="006441B6" w:rsidRPr="006441B6">
              <w:rPr>
                <w:i/>
              </w:rPr>
              <w:t>Provisions for liabilities and charges</w:t>
            </w:r>
            <w:r w:rsidR="006441B6">
              <w:t xml:space="preserve"> a subset of Balance Sheet.</w:t>
            </w:r>
          </w:p>
          <w:p w:rsidR="006441B6" w:rsidRDefault="006441B6" w:rsidP="0007675F">
            <w:pPr>
              <w:pStyle w:val="ListParagraph"/>
              <w:numPr>
                <w:ilvl w:val="0"/>
                <w:numId w:val="27"/>
              </w:numPr>
            </w:pPr>
            <w:r>
              <w:t xml:space="preserve">Follow order in the presentation tree, ignoring Abstract levels above. So </w:t>
            </w:r>
            <w:r w:rsidRPr="006441B6">
              <w:rPr>
                <w:i/>
              </w:rPr>
              <w:t>Provisions for liabilities and charges</w:t>
            </w:r>
            <w:r>
              <w:t xml:space="preserve"> becomes a Level 0 Set.</w:t>
            </w:r>
          </w:p>
          <w:p w:rsidR="006441B6" w:rsidRPr="00B64497" w:rsidRDefault="006441B6" w:rsidP="006441B6">
            <w:r>
              <w:t xml:space="preserve">The first method makes it clear how everything ties back to the main reports. But is does tend to imply a direct relationship with the Primary Report layout. The second method uses less Name levels to present the same information. The second method implies that the </w:t>
            </w:r>
            <w:proofErr w:type="spellStart"/>
            <w:r>
              <w:t>SumTo</w:t>
            </w:r>
            <w:proofErr w:type="spellEnd"/>
            <w:r>
              <w:t xml:space="preserve"> or Related columns might be required more often to tie back to Primary reports. But this is not certain. The BROs do not really need to make all these connections, many of this type could be left to the RG.  </w:t>
            </w:r>
          </w:p>
        </w:tc>
      </w:tr>
      <w:tr w:rsidR="00572E49" w:rsidTr="00050B92">
        <w:tc>
          <w:tcPr>
            <w:tcW w:w="1295" w:type="dxa"/>
          </w:tcPr>
          <w:p w:rsidR="00572E49" w:rsidRDefault="00943C8D" w:rsidP="004031FF">
            <w:proofErr w:type="spellStart"/>
            <w:r>
              <w:t>TxId</w:t>
            </w:r>
            <w:proofErr w:type="spellEnd"/>
            <w:r>
              <w:t xml:space="preserve"> with no Hypercube</w:t>
            </w:r>
          </w:p>
          <w:p w:rsidR="00943C8D" w:rsidRDefault="00943C8D" w:rsidP="004031FF">
            <w:proofErr w:type="spellStart"/>
            <w:r>
              <w:t>TxId</w:t>
            </w:r>
            <w:proofErr w:type="spellEnd"/>
            <w:r>
              <w:t xml:space="preserve"> 5462</w:t>
            </w:r>
          </w:p>
        </w:tc>
        <w:tc>
          <w:tcPr>
            <w:tcW w:w="634" w:type="dxa"/>
          </w:tcPr>
          <w:p w:rsidR="00572E49" w:rsidRDefault="00572E49" w:rsidP="003E3E91">
            <w:pPr>
              <w:pStyle w:val="NormSpace"/>
              <w:jc w:val="center"/>
            </w:pPr>
          </w:p>
        </w:tc>
        <w:tc>
          <w:tcPr>
            <w:tcW w:w="8549" w:type="dxa"/>
          </w:tcPr>
          <w:p w:rsidR="00943C8D" w:rsidRDefault="00943C8D" w:rsidP="00943C8D">
            <w:proofErr w:type="spellStart"/>
            <w:r>
              <w:t>TxId</w:t>
            </w:r>
            <w:proofErr w:type="spellEnd"/>
            <w:r>
              <w:t xml:space="preserve"> 5462. It is shown as not belong to any </w:t>
            </w:r>
            <w:proofErr w:type="spellStart"/>
            <w:r>
              <w:t>HypedrCube</w:t>
            </w:r>
            <w:proofErr w:type="spellEnd"/>
            <w:r>
              <w:t>.</w:t>
            </w:r>
          </w:p>
          <w:p w:rsidR="00943C8D" w:rsidRDefault="00943C8D" w:rsidP="00943C8D">
            <w:r>
              <w:t xml:space="preserve">But if add to BROs with no </w:t>
            </w:r>
            <w:proofErr w:type="spellStart"/>
            <w:r>
              <w:t>HyId</w:t>
            </w:r>
            <w:proofErr w:type="spellEnd"/>
            <w:r>
              <w:t xml:space="preserve"> it gets rejected. Equally if say it belongs to </w:t>
            </w:r>
            <w:proofErr w:type="spellStart"/>
            <w:r>
              <w:t>HyId</w:t>
            </w:r>
            <w:proofErr w:type="spellEnd"/>
            <w:r>
              <w:t xml:space="preserve"> 1, it gets rejected because it does not.</w:t>
            </w:r>
          </w:p>
          <w:p w:rsidR="00943C8D" w:rsidRDefault="00943C8D" w:rsidP="00943C8D">
            <w:r>
              <w:t>02 - Business Report Information</w:t>
            </w:r>
          </w:p>
          <w:p w:rsidR="00943C8D" w:rsidRDefault="00943C8D" w:rsidP="00943C8D">
            <w:r>
              <w:t xml:space="preserve">  [A] 5360 Business report information [heading]</w:t>
            </w:r>
          </w:p>
          <w:p w:rsidR="00943C8D" w:rsidRDefault="00943C8D" w:rsidP="00943C8D">
            <w:r>
              <w:t xml:space="preserve">    [C] 5462 [</w:t>
            </w:r>
            <w:proofErr w:type="spellStart"/>
            <w:r>
              <w:t>EntityAccounts</w:t>
            </w:r>
            <w:proofErr w:type="spellEnd"/>
            <w:r>
              <w:t xml:space="preserve"> Duration] Entity accounts type</w:t>
            </w:r>
          </w:p>
          <w:p w:rsidR="00943C8D" w:rsidRDefault="00943C8D" w:rsidP="00943C8D">
            <w:r>
              <w:t xml:space="preserve">    [C] 5361 [H 1] [String Duration] Business report name</w:t>
            </w:r>
          </w:p>
          <w:p w:rsidR="00572E49" w:rsidRDefault="00943C8D" w:rsidP="00943C8D">
            <w:r>
              <w:lastRenderedPageBreak/>
              <w:t xml:space="preserve">    [C] 5387 [H 1] [String Duration] Description of business report</w:t>
            </w:r>
          </w:p>
        </w:tc>
      </w:tr>
      <w:tr w:rsidR="00572E49" w:rsidTr="00050B92">
        <w:tc>
          <w:tcPr>
            <w:tcW w:w="1295" w:type="dxa"/>
          </w:tcPr>
          <w:p w:rsidR="00B76E94" w:rsidRDefault="00603960" w:rsidP="00603960">
            <w:r>
              <w:lastRenderedPageBreak/>
              <w:t xml:space="preserve">Money </w:t>
            </w:r>
            <w:proofErr w:type="spellStart"/>
            <w:r>
              <w:t>TxId</w:t>
            </w:r>
            <w:proofErr w:type="spellEnd"/>
            <w:r>
              <w:t xml:space="preserve"> wrongly defined  as Duration not Instant</w:t>
            </w:r>
          </w:p>
        </w:tc>
        <w:tc>
          <w:tcPr>
            <w:tcW w:w="634" w:type="dxa"/>
          </w:tcPr>
          <w:p w:rsidR="00572E49" w:rsidRDefault="00572E49" w:rsidP="001A671E">
            <w:pPr>
              <w:jc w:val="center"/>
            </w:pPr>
          </w:p>
        </w:tc>
        <w:tc>
          <w:tcPr>
            <w:tcW w:w="8549" w:type="dxa"/>
          </w:tcPr>
          <w:p w:rsidR="00685169" w:rsidRDefault="00685169" w:rsidP="00E31B36"/>
          <w:p w:rsidR="00603960" w:rsidRPr="00603960" w:rsidRDefault="00603960" w:rsidP="00603960">
            <w:pPr>
              <w:rPr>
                <w:i/>
                <w:sz w:val="16"/>
                <w:szCs w:val="16"/>
              </w:rPr>
            </w:pPr>
            <w:r w:rsidRPr="00603960">
              <w:rPr>
                <w:i/>
                <w:sz w:val="16"/>
                <w:szCs w:val="16"/>
              </w:rPr>
              <w:t>4550</w:t>
            </w:r>
            <w:r w:rsidRPr="00603960">
              <w:rPr>
                <w:i/>
                <w:sz w:val="16"/>
                <w:szCs w:val="16"/>
              </w:rPr>
              <w:tab/>
              <w:t>13</w:t>
            </w:r>
            <w:r>
              <w:rPr>
                <w:i/>
                <w:sz w:val="16"/>
                <w:szCs w:val="16"/>
              </w:rPr>
              <w:t xml:space="preserve"> </w:t>
            </w:r>
            <w:r w:rsidRPr="00603960">
              <w:rPr>
                <w:i/>
                <w:sz w:val="16"/>
                <w:szCs w:val="16"/>
              </w:rPr>
              <w:t>Money</w:t>
            </w:r>
            <w:r w:rsidRPr="00603960">
              <w:rPr>
                <w:i/>
                <w:sz w:val="16"/>
                <w:szCs w:val="16"/>
              </w:rPr>
              <w:tab/>
              <w:t>Debit</w:t>
            </w:r>
            <w:r w:rsidRPr="00603960">
              <w:rPr>
                <w:i/>
                <w:sz w:val="16"/>
                <w:szCs w:val="16"/>
              </w:rPr>
              <w:tab/>
              <w:t>Duration</w:t>
            </w:r>
            <w:r w:rsidRPr="00603960">
              <w:rPr>
                <w:i/>
                <w:sz w:val="16"/>
                <w:szCs w:val="16"/>
              </w:rPr>
              <w:tab/>
              <w:t xml:space="preserve"> [Start Label] </w:t>
            </w:r>
            <w:r w:rsidRPr="00603960">
              <w:rPr>
                <w:i/>
                <w:sz w:val="16"/>
                <w:szCs w:val="16"/>
              </w:rPr>
              <w:tab/>
            </w:r>
            <w:proofErr w:type="spellStart"/>
            <w:r w:rsidRPr="00603960">
              <w:rPr>
                <w:i/>
                <w:sz w:val="16"/>
                <w:szCs w:val="16"/>
              </w:rPr>
              <w:t>StocksPaymentsOnAccountTradingActivities</w:t>
            </w:r>
            <w:proofErr w:type="spellEnd"/>
          </w:p>
          <w:p w:rsidR="00603960" w:rsidRPr="00603960" w:rsidRDefault="00603960" w:rsidP="00603960">
            <w:pPr>
              <w:rPr>
                <w:i/>
                <w:sz w:val="16"/>
                <w:szCs w:val="16"/>
              </w:rPr>
            </w:pPr>
            <w:r>
              <w:rPr>
                <w:i/>
                <w:sz w:val="16"/>
                <w:szCs w:val="16"/>
              </w:rPr>
              <w:t>2709</w:t>
            </w:r>
            <w:r>
              <w:rPr>
                <w:i/>
                <w:sz w:val="16"/>
                <w:szCs w:val="16"/>
              </w:rPr>
              <w:tab/>
              <w:t xml:space="preserve">13 </w:t>
            </w:r>
            <w:r w:rsidRPr="00603960">
              <w:rPr>
                <w:i/>
                <w:sz w:val="16"/>
                <w:szCs w:val="16"/>
              </w:rPr>
              <w:t>Money</w:t>
            </w:r>
            <w:r w:rsidRPr="00603960">
              <w:rPr>
                <w:i/>
                <w:sz w:val="16"/>
                <w:szCs w:val="16"/>
              </w:rPr>
              <w:tab/>
              <w:t>Debit</w:t>
            </w:r>
            <w:r w:rsidRPr="00603960">
              <w:rPr>
                <w:i/>
                <w:sz w:val="16"/>
                <w:szCs w:val="16"/>
              </w:rPr>
              <w:tab/>
              <w:t>Duration</w:t>
            </w:r>
            <w:r w:rsidRPr="00603960">
              <w:rPr>
                <w:i/>
                <w:sz w:val="16"/>
                <w:szCs w:val="16"/>
              </w:rPr>
              <w:tab/>
            </w:r>
            <w:r w:rsidRPr="00603960">
              <w:rPr>
                <w:i/>
                <w:sz w:val="16"/>
                <w:szCs w:val="16"/>
              </w:rPr>
              <w:tab/>
            </w:r>
            <w:r>
              <w:rPr>
                <w:i/>
                <w:sz w:val="16"/>
                <w:szCs w:val="16"/>
              </w:rPr>
              <w:tab/>
            </w:r>
            <w:proofErr w:type="spellStart"/>
            <w:r w:rsidRPr="00603960">
              <w:rPr>
                <w:i/>
                <w:sz w:val="16"/>
                <w:szCs w:val="16"/>
              </w:rPr>
              <w:t>IncreaseDecreaseInPaymentsOnAccountForStocksTradingActivities</w:t>
            </w:r>
            <w:proofErr w:type="spellEnd"/>
          </w:p>
          <w:p w:rsidR="00603960" w:rsidRDefault="00603960" w:rsidP="00603960">
            <w:r>
              <w:t>This is clearly a balance, so one would expect it to be an Instant.</w:t>
            </w:r>
          </w:p>
          <w:p w:rsidR="000A29F1" w:rsidRDefault="000A29F1" w:rsidP="00603960"/>
          <w:p w:rsidR="000A29F1" w:rsidRDefault="000A29F1" w:rsidP="000A29F1">
            <w:r>
              <w:t xml:space="preserve">Same logic re </w:t>
            </w:r>
            <w:proofErr w:type="spellStart"/>
            <w:r>
              <w:t>TxIds</w:t>
            </w:r>
            <w:proofErr w:type="spellEnd"/>
            <w:r>
              <w:t xml:space="preserve"> 4547</w:t>
            </w:r>
            <w:proofErr w:type="gramStart"/>
            <w:r>
              <w:t>,4548</w:t>
            </w:r>
            <w:proofErr w:type="gramEnd"/>
            <w:r>
              <w:t xml:space="preserve"> and 4549.</w:t>
            </w:r>
          </w:p>
        </w:tc>
      </w:tr>
      <w:tr w:rsidR="008039F9" w:rsidTr="00050B92">
        <w:tc>
          <w:tcPr>
            <w:tcW w:w="1295" w:type="dxa"/>
          </w:tcPr>
          <w:p w:rsidR="008039F9" w:rsidRDefault="0084076B" w:rsidP="0026388D">
            <w:r>
              <w:t xml:space="preserve">Operating and </w:t>
            </w:r>
            <w:proofErr w:type="spellStart"/>
            <w:r>
              <w:t>Non Operating</w:t>
            </w:r>
            <w:proofErr w:type="spellEnd"/>
          </w:p>
        </w:tc>
        <w:tc>
          <w:tcPr>
            <w:tcW w:w="634" w:type="dxa"/>
          </w:tcPr>
          <w:p w:rsidR="008039F9" w:rsidRDefault="008039F9" w:rsidP="00D43D3B">
            <w:pPr>
              <w:jc w:val="center"/>
            </w:pPr>
          </w:p>
        </w:tc>
        <w:tc>
          <w:tcPr>
            <w:tcW w:w="8549" w:type="dxa"/>
          </w:tcPr>
          <w:p w:rsidR="0041274B" w:rsidRDefault="0084076B" w:rsidP="006C6D38">
            <w:proofErr w:type="spellStart"/>
            <w:r>
              <w:t>Legityimtae</w:t>
            </w:r>
            <w:proofErr w:type="spellEnd"/>
            <w:r>
              <w:t xml:space="preserve"> vertical separation within The Income </w:t>
            </w:r>
            <w:proofErr w:type="spellStart"/>
            <w:r>
              <w:t>SAtatement</w:t>
            </w:r>
            <w:proofErr w:type="spellEnd"/>
            <w:r>
              <w:t xml:space="preserve"> (P&amp;L).</w:t>
            </w:r>
          </w:p>
          <w:p w:rsidR="0084076B" w:rsidRDefault="0084076B" w:rsidP="006C6D38">
            <w:r>
              <w:t>UK GAAP does have a Dimension for Operating Costs.</w:t>
            </w:r>
          </w:p>
        </w:tc>
      </w:tr>
      <w:tr w:rsidR="001166F5" w:rsidTr="00050B92">
        <w:tc>
          <w:tcPr>
            <w:tcW w:w="1295" w:type="dxa"/>
          </w:tcPr>
          <w:p w:rsidR="001166F5" w:rsidRDefault="0084076B" w:rsidP="0026388D">
            <w:r>
              <w:t>Accounts: Natural and Function</w:t>
            </w:r>
          </w:p>
        </w:tc>
        <w:tc>
          <w:tcPr>
            <w:tcW w:w="634" w:type="dxa"/>
          </w:tcPr>
          <w:p w:rsidR="001166F5" w:rsidRDefault="001166F5" w:rsidP="00966C92">
            <w:pPr>
              <w:jc w:val="center"/>
            </w:pPr>
          </w:p>
        </w:tc>
        <w:tc>
          <w:tcPr>
            <w:tcW w:w="8549" w:type="dxa"/>
          </w:tcPr>
          <w:p w:rsidR="00C600EF" w:rsidRDefault="0084076B" w:rsidP="006B5A72">
            <w:r>
              <w:t>Creating the inter-relationship</w:t>
            </w:r>
          </w:p>
        </w:tc>
      </w:tr>
      <w:tr w:rsidR="00572E49" w:rsidTr="00050B92">
        <w:tc>
          <w:tcPr>
            <w:tcW w:w="1295" w:type="dxa"/>
          </w:tcPr>
          <w:p w:rsidR="00572E49" w:rsidRDefault="00572E49" w:rsidP="004031FF"/>
        </w:tc>
        <w:tc>
          <w:tcPr>
            <w:tcW w:w="634" w:type="dxa"/>
          </w:tcPr>
          <w:p w:rsidR="00572E49" w:rsidRDefault="00572E49" w:rsidP="002125DB">
            <w:pPr>
              <w:jc w:val="center"/>
            </w:pPr>
          </w:p>
        </w:tc>
        <w:tc>
          <w:tcPr>
            <w:tcW w:w="8549" w:type="dxa"/>
          </w:tcPr>
          <w:p w:rsidR="001B3053" w:rsidRDefault="001B3053" w:rsidP="0008203D"/>
        </w:tc>
      </w:tr>
      <w:tr w:rsidR="00572E49" w:rsidTr="00050B92">
        <w:tc>
          <w:tcPr>
            <w:tcW w:w="1295" w:type="dxa"/>
          </w:tcPr>
          <w:p w:rsidR="00517A69" w:rsidRDefault="00517A69" w:rsidP="0041475F"/>
        </w:tc>
        <w:tc>
          <w:tcPr>
            <w:tcW w:w="634" w:type="dxa"/>
          </w:tcPr>
          <w:p w:rsidR="00572E49" w:rsidRDefault="00572E49" w:rsidP="00966C92">
            <w:pPr>
              <w:jc w:val="center"/>
            </w:pPr>
          </w:p>
        </w:tc>
        <w:tc>
          <w:tcPr>
            <w:tcW w:w="8549" w:type="dxa"/>
          </w:tcPr>
          <w:p w:rsidR="00DC2273" w:rsidRDefault="00DC2273" w:rsidP="00E32DF0"/>
        </w:tc>
      </w:tr>
    </w:tbl>
    <w:p w:rsidR="00B17D50" w:rsidRDefault="00B17D50" w:rsidP="004031FF"/>
    <w:sectPr w:rsidR="00B17D50" w:rsidSect="003D77E6">
      <w:headerReference w:type="default" r:id="rId13"/>
      <w:pgSz w:w="11906" w:h="16838"/>
      <w:pgMar w:top="720" w:right="720" w:bottom="778"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7AA" w:rsidRDefault="00A657AA" w:rsidP="004611F1">
      <w:r>
        <w:separator/>
      </w:r>
    </w:p>
  </w:endnote>
  <w:endnote w:type="continuationSeparator" w:id="0">
    <w:p w:rsidR="00A657AA" w:rsidRDefault="00A657AA" w:rsidP="0046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7AA" w:rsidRDefault="00A657AA" w:rsidP="004611F1">
      <w:r>
        <w:separator/>
      </w:r>
    </w:p>
  </w:footnote>
  <w:footnote w:type="continuationSeparator" w:id="0">
    <w:p w:rsidR="00A657AA" w:rsidRDefault="00A657AA" w:rsidP="004611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118" w:rsidRDefault="00BC6118" w:rsidP="00CC4408">
    <w:pPr>
      <w:pStyle w:val="Header"/>
      <w:jc w:val="right"/>
    </w:pPr>
    <w:r>
      <w:fldChar w:fldCharType="begin"/>
    </w:r>
    <w:r>
      <w:instrText xml:space="preserve"> PAGE   \* MERGEFORMAT </w:instrText>
    </w:r>
    <w:r>
      <w:fldChar w:fldCharType="separate"/>
    </w:r>
    <w:r w:rsidR="00DD5C54">
      <w:rPr>
        <w:noProof/>
      </w:rPr>
      <w:t>12</w:t>
    </w:r>
    <w:r>
      <w:rPr>
        <w:noProof/>
      </w:rPr>
      <w:fldChar w:fldCharType="end"/>
    </w:r>
    <w:r>
      <w:t xml:space="preserve"> of </w:t>
    </w:r>
    <w:fldSimple w:instr=" NUMPAGES  \* Arabic  \* MERGEFORMAT ">
      <w:r w:rsidR="00DD5C54">
        <w:rPr>
          <w:noProof/>
        </w:rPr>
        <w:t>12</w:t>
      </w:r>
    </w:fldSimple>
  </w:p>
  <w:p w:rsidR="00BC6118" w:rsidRDefault="00BC61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1C584E"/>
    <w:lvl w:ilvl="0">
      <w:start w:val="1"/>
      <w:numFmt w:val="decimal"/>
      <w:lvlText w:val="%1."/>
      <w:lvlJc w:val="left"/>
      <w:pPr>
        <w:tabs>
          <w:tab w:val="num" w:pos="1492"/>
        </w:tabs>
        <w:ind w:left="1492" w:hanging="360"/>
      </w:pPr>
    </w:lvl>
  </w:abstractNum>
  <w:abstractNum w:abstractNumId="1">
    <w:nsid w:val="FFFFFF7D"/>
    <w:multiLevelType w:val="singleLevel"/>
    <w:tmpl w:val="34866CC4"/>
    <w:lvl w:ilvl="0">
      <w:start w:val="1"/>
      <w:numFmt w:val="decimal"/>
      <w:lvlText w:val="%1."/>
      <w:lvlJc w:val="left"/>
      <w:pPr>
        <w:tabs>
          <w:tab w:val="num" w:pos="1209"/>
        </w:tabs>
        <w:ind w:left="1209" w:hanging="360"/>
      </w:pPr>
    </w:lvl>
  </w:abstractNum>
  <w:abstractNum w:abstractNumId="2">
    <w:nsid w:val="FFFFFF7E"/>
    <w:multiLevelType w:val="singleLevel"/>
    <w:tmpl w:val="A580B98E"/>
    <w:lvl w:ilvl="0">
      <w:start w:val="1"/>
      <w:numFmt w:val="decimal"/>
      <w:lvlText w:val="%1."/>
      <w:lvlJc w:val="left"/>
      <w:pPr>
        <w:tabs>
          <w:tab w:val="num" w:pos="926"/>
        </w:tabs>
        <w:ind w:left="926" w:hanging="360"/>
      </w:pPr>
    </w:lvl>
  </w:abstractNum>
  <w:abstractNum w:abstractNumId="3">
    <w:nsid w:val="FFFFFF7F"/>
    <w:multiLevelType w:val="singleLevel"/>
    <w:tmpl w:val="46FC7E88"/>
    <w:lvl w:ilvl="0">
      <w:start w:val="1"/>
      <w:numFmt w:val="decimal"/>
      <w:lvlText w:val="%1."/>
      <w:lvlJc w:val="left"/>
      <w:pPr>
        <w:tabs>
          <w:tab w:val="num" w:pos="643"/>
        </w:tabs>
        <w:ind w:left="643" w:hanging="360"/>
      </w:pPr>
    </w:lvl>
  </w:abstractNum>
  <w:abstractNum w:abstractNumId="4">
    <w:nsid w:val="FFFFFF80"/>
    <w:multiLevelType w:val="singleLevel"/>
    <w:tmpl w:val="4A4A4D2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1A0AB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64E6850"/>
    <w:lvl w:ilvl="0">
      <w:start w:val="1"/>
      <w:numFmt w:val="decimal"/>
      <w:lvlText w:val="%1."/>
      <w:lvlJc w:val="left"/>
      <w:pPr>
        <w:tabs>
          <w:tab w:val="num" w:pos="360"/>
        </w:tabs>
        <w:ind w:left="360" w:hanging="360"/>
      </w:pPr>
    </w:lvl>
  </w:abstractNum>
  <w:abstractNum w:abstractNumId="9">
    <w:nsid w:val="FFFFFF89"/>
    <w:multiLevelType w:val="singleLevel"/>
    <w:tmpl w:val="58CE49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03DA6D5C"/>
    <w:multiLevelType w:val="hybridMultilevel"/>
    <w:tmpl w:val="D29A0B10"/>
    <w:lvl w:ilvl="0" w:tplc="060079C4">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BFE41EA"/>
    <w:multiLevelType w:val="hybridMultilevel"/>
    <w:tmpl w:val="6B088AD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B716E4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EE56793"/>
    <w:multiLevelType w:val="hybridMultilevel"/>
    <w:tmpl w:val="DBBAF3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0EC2B3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29B54EF"/>
    <w:multiLevelType w:val="hybridMultilevel"/>
    <w:tmpl w:val="58063F1C"/>
    <w:lvl w:ilvl="0" w:tplc="0BBA624A">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2DA4EEB"/>
    <w:multiLevelType w:val="multilevel"/>
    <w:tmpl w:val="9708849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3716505"/>
    <w:multiLevelType w:val="hybridMultilevel"/>
    <w:tmpl w:val="8F52C132"/>
    <w:lvl w:ilvl="0" w:tplc="C114D378">
      <w:start w:val="1"/>
      <w:numFmt w:val="bullet"/>
      <w:pStyle w:val="ListBT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5D37C7"/>
    <w:multiLevelType w:val="multilevel"/>
    <w:tmpl w:val="842AC45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0">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6E3F22"/>
    <w:multiLevelType w:val="hybridMultilevel"/>
    <w:tmpl w:val="58E4B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22149FF"/>
    <w:multiLevelType w:val="hybridMultilevel"/>
    <w:tmpl w:val="BD02AA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57925CD"/>
    <w:multiLevelType w:val="hybridMultilevel"/>
    <w:tmpl w:val="B9D0F0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3A849B1"/>
    <w:multiLevelType w:val="hybridMultilevel"/>
    <w:tmpl w:val="0DCCA76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3FB0E97"/>
    <w:multiLevelType w:val="hybridMultilevel"/>
    <w:tmpl w:val="9A6CAB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6DB4FE4"/>
    <w:multiLevelType w:val="hybridMultilevel"/>
    <w:tmpl w:val="CCBAAD00"/>
    <w:lvl w:ilvl="0" w:tplc="2F52D3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A867D7D"/>
    <w:multiLevelType w:val="hybridMultilevel"/>
    <w:tmpl w:val="0F602D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368615F"/>
    <w:multiLevelType w:val="hybridMultilevel"/>
    <w:tmpl w:val="AACCD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74347CF"/>
    <w:multiLevelType w:val="hybridMultilevel"/>
    <w:tmpl w:val="8508ED2E"/>
    <w:lvl w:ilvl="0" w:tplc="B872657A">
      <w:start w:val="1"/>
      <w:numFmt w:val="decimal"/>
      <w:lvlText w:val="%1)"/>
      <w:lvlJc w:val="left"/>
      <w:pPr>
        <w:ind w:left="720" w:hanging="360"/>
      </w:pPr>
      <w:rPr>
        <w:rFonts w:asciiTheme="minorHAnsi" w:eastAsiaTheme="minorEastAsia"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9772E68"/>
    <w:multiLevelType w:val="hybridMultilevel"/>
    <w:tmpl w:val="24984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9A62E4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AA3157A"/>
    <w:multiLevelType w:val="hybridMultilevel"/>
    <w:tmpl w:val="75107182"/>
    <w:lvl w:ilvl="0" w:tplc="A7D881A8">
      <w:start w:val="24"/>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0"/>
  </w:num>
  <w:num w:numId="2">
    <w:abstractNumId w:val="10"/>
  </w:num>
  <w:num w:numId="3">
    <w:abstractNumId w:val="19"/>
  </w:num>
  <w:num w:numId="4">
    <w:abstractNumId w:val="19"/>
  </w:num>
  <w:num w:numId="5">
    <w:abstractNumId w:val="19"/>
  </w:num>
  <w:num w:numId="6">
    <w:abstractNumId w:val="19"/>
  </w:num>
  <w:num w:numId="7">
    <w:abstractNumId w:val="19"/>
  </w:num>
  <w:num w:numId="8">
    <w:abstractNumId w:val="19"/>
  </w:num>
  <w:num w:numId="9">
    <w:abstractNumId w:val="1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16"/>
  </w:num>
  <w:num w:numId="22">
    <w:abstractNumId w:val="18"/>
  </w:num>
  <w:num w:numId="23">
    <w:abstractNumId w:val="12"/>
  </w:num>
  <w:num w:numId="24">
    <w:abstractNumId w:val="26"/>
  </w:num>
  <w:num w:numId="25">
    <w:abstractNumId w:val="22"/>
  </w:num>
  <w:num w:numId="26">
    <w:abstractNumId w:val="29"/>
  </w:num>
  <w:num w:numId="27">
    <w:abstractNumId w:val="24"/>
  </w:num>
  <w:num w:numId="28">
    <w:abstractNumId w:val="27"/>
  </w:num>
  <w:num w:numId="29">
    <w:abstractNumId w:val="32"/>
  </w:num>
  <w:num w:numId="30">
    <w:abstractNumId w:val="23"/>
  </w:num>
  <w:num w:numId="31">
    <w:abstractNumId w:val="30"/>
  </w:num>
  <w:num w:numId="32">
    <w:abstractNumId w:val="14"/>
  </w:num>
  <w:num w:numId="33">
    <w:abstractNumId w:val="25"/>
  </w:num>
  <w:num w:numId="34">
    <w:abstractNumId w:val="28"/>
  </w:num>
  <w:num w:numId="35">
    <w:abstractNumId w:val="13"/>
  </w:num>
  <w:num w:numId="36">
    <w:abstractNumId w:val="15"/>
  </w:num>
  <w:num w:numId="37">
    <w:abstractNumId w:val="31"/>
  </w:num>
  <w:num w:numId="38">
    <w:abstractNumId w:val="21"/>
  </w:num>
  <w:num w:numId="39">
    <w:abstractNumId w:val="17"/>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B65"/>
    <w:rsid w:val="00000216"/>
    <w:rsid w:val="00002C30"/>
    <w:rsid w:val="000033E6"/>
    <w:rsid w:val="000035CA"/>
    <w:rsid w:val="00005C57"/>
    <w:rsid w:val="0000605D"/>
    <w:rsid w:val="00007188"/>
    <w:rsid w:val="00007B75"/>
    <w:rsid w:val="000101B4"/>
    <w:rsid w:val="0001158C"/>
    <w:rsid w:val="000116BA"/>
    <w:rsid w:val="00014E8A"/>
    <w:rsid w:val="000150FA"/>
    <w:rsid w:val="0001577D"/>
    <w:rsid w:val="000159E7"/>
    <w:rsid w:val="00020381"/>
    <w:rsid w:val="000218F5"/>
    <w:rsid w:val="00022C7D"/>
    <w:rsid w:val="000231A3"/>
    <w:rsid w:val="00024406"/>
    <w:rsid w:val="0002661A"/>
    <w:rsid w:val="00026696"/>
    <w:rsid w:val="00030737"/>
    <w:rsid w:val="000320CE"/>
    <w:rsid w:val="00035085"/>
    <w:rsid w:val="000350B1"/>
    <w:rsid w:val="000360A6"/>
    <w:rsid w:val="00045B5C"/>
    <w:rsid w:val="00045E52"/>
    <w:rsid w:val="00050B92"/>
    <w:rsid w:val="000529B8"/>
    <w:rsid w:val="00052A76"/>
    <w:rsid w:val="00054849"/>
    <w:rsid w:val="00056412"/>
    <w:rsid w:val="00062150"/>
    <w:rsid w:val="00063C33"/>
    <w:rsid w:val="00064011"/>
    <w:rsid w:val="00064C4C"/>
    <w:rsid w:val="00065683"/>
    <w:rsid w:val="00065AD6"/>
    <w:rsid w:val="00066D6E"/>
    <w:rsid w:val="00066DCA"/>
    <w:rsid w:val="00066FC0"/>
    <w:rsid w:val="000708DC"/>
    <w:rsid w:val="00072346"/>
    <w:rsid w:val="00073C18"/>
    <w:rsid w:val="00074DCE"/>
    <w:rsid w:val="00075435"/>
    <w:rsid w:val="000757AC"/>
    <w:rsid w:val="0007644C"/>
    <w:rsid w:val="00076515"/>
    <w:rsid w:val="0007675F"/>
    <w:rsid w:val="00077DE9"/>
    <w:rsid w:val="00080024"/>
    <w:rsid w:val="00081D44"/>
    <w:rsid w:val="0008203D"/>
    <w:rsid w:val="0008315B"/>
    <w:rsid w:val="00083F4F"/>
    <w:rsid w:val="000849B8"/>
    <w:rsid w:val="00086AB3"/>
    <w:rsid w:val="00091AEB"/>
    <w:rsid w:val="00092638"/>
    <w:rsid w:val="00093064"/>
    <w:rsid w:val="000943A8"/>
    <w:rsid w:val="00095510"/>
    <w:rsid w:val="00095667"/>
    <w:rsid w:val="000957E9"/>
    <w:rsid w:val="00095CA8"/>
    <w:rsid w:val="00095DD8"/>
    <w:rsid w:val="0009751E"/>
    <w:rsid w:val="000A03AE"/>
    <w:rsid w:val="000A061C"/>
    <w:rsid w:val="000A0F1D"/>
    <w:rsid w:val="000A29F1"/>
    <w:rsid w:val="000A46A6"/>
    <w:rsid w:val="000A5661"/>
    <w:rsid w:val="000A5A8B"/>
    <w:rsid w:val="000A7335"/>
    <w:rsid w:val="000B02B9"/>
    <w:rsid w:val="000B03F3"/>
    <w:rsid w:val="000B11A3"/>
    <w:rsid w:val="000B166B"/>
    <w:rsid w:val="000B1841"/>
    <w:rsid w:val="000B19FF"/>
    <w:rsid w:val="000B270D"/>
    <w:rsid w:val="000B3AE1"/>
    <w:rsid w:val="000B4A2F"/>
    <w:rsid w:val="000B4F04"/>
    <w:rsid w:val="000B62BC"/>
    <w:rsid w:val="000B7A21"/>
    <w:rsid w:val="000C163E"/>
    <w:rsid w:val="000C374D"/>
    <w:rsid w:val="000C447B"/>
    <w:rsid w:val="000C64E3"/>
    <w:rsid w:val="000C7B83"/>
    <w:rsid w:val="000C7BCD"/>
    <w:rsid w:val="000D006B"/>
    <w:rsid w:val="000D0420"/>
    <w:rsid w:val="000D0DAD"/>
    <w:rsid w:val="000D18A3"/>
    <w:rsid w:val="000D2A09"/>
    <w:rsid w:val="000D3F2F"/>
    <w:rsid w:val="000D4A94"/>
    <w:rsid w:val="000D4E2F"/>
    <w:rsid w:val="000D54A3"/>
    <w:rsid w:val="000D6565"/>
    <w:rsid w:val="000D7C65"/>
    <w:rsid w:val="000E4A17"/>
    <w:rsid w:val="000E4D1F"/>
    <w:rsid w:val="000E6CA7"/>
    <w:rsid w:val="000E7EE6"/>
    <w:rsid w:val="000F0F67"/>
    <w:rsid w:val="000F1CB4"/>
    <w:rsid w:val="000F27FB"/>
    <w:rsid w:val="000F394D"/>
    <w:rsid w:val="000F43CB"/>
    <w:rsid w:val="000F509E"/>
    <w:rsid w:val="000F5166"/>
    <w:rsid w:val="000F581A"/>
    <w:rsid w:val="000F6685"/>
    <w:rsid w:val="000F6DDC"/>
    <w:rsid w:val="00100FF6"/>
    <w:rsid w:val="001023FC"/>
    <w:rsid w:val="001032C9"/>
    <w:rsid w:val="00105AB1"/>
    <w:rsid w:val="0010669F"/>
    <w:rsid w:val="001072FE"/>
    <w:rsid w:val="00107D5D"/>
    <w:rsid w:val="00107FF6"/>
    <w:rsid w:val="00111689"/>
    <w:rsid w:val="00114C92"/>
    <w:rsid w:val="00115DED"/>
    <w:rsid w:val="001166F5"/>
    <w:rsid w:val="0012111E"/>
    <w:rsid w:val="00121170"/>
    <w:rsid w:val="001223ED"/>
    <w:rsid w:val="00122715"/>
    <w:rsid w:val="00123555"/>
    <w:rsid w:val="001252C3"/>
    <w:rsid w:val="0012626C"/>
    <w:rsid w:val="00130FBB"/>
    <w:rsid w:val="00131C18"/>
    <w:rsid w:val="0013259E"/>
    <w:rsid w:val="00132911"/>
    <w:rsid w:val="001339CC"/>
    <w:rsid w:val="00133E0F"/>
    <w:rsid w:val="00134573"/>
    <w:rsid w:val="001355D3"/>
    <w:rsid w:val="001364A8"/>
    <w:rsid w:val="0013661D"/>
    <w:rsid w:val="001405BD"/>
    <w:rsid w:val="00140A4C"/>
    <w:rsid w:val="00140DD0"/>
    <w:rsid w:val="0014700E"/>
    <w:rsid w:val="00147A21"/>
    <w:rsid w:val="001501B1"/>
    <w:rsid w:val="00150A57"/>
    <w:rsid w:val="00151948"/>
    <w:rsid w:val="001559F7"/>
    <w:rsid w:val="0015711D"/>
    <w:rsid w:val="001613F3"/>
    <w:rsid w:val="00161502"/>
    <w:rsid w:val="00162877"/>
    <w:rsid w:val="001632DD"/>
    <w:rsid w:val="001652B9"/>
    <w:rsid w:val="00165A45"/>
    <w:rsid w:val="00165E63"/>
    <w:rsid w:val="00170AC0"/>
    <w:rsid w:val="001728F2"/>
    <w:rsid w:val="00175D83"/>
    <w:rsid w:val="001760CB"/>
    <w:rsid w:val="00176725"/>
    <w:rsid w:val="00176EC8"/>
    <w:rsid w:val="00182649"/>
    <w:rsid w:val="00182A38"/>
    <w:rsid w:val="00183B4F"/>
    <w:rsid w:val="00184124"/>
    <w:rsid w:val="001844BC"/>
    <w:rsid w:val="00184B20"/>
    <w:rsid w:val="00184F1E"/>
    <w:rsid w:val="00187D70"/>
    <w:rsid w:val="00190249"/>
    <w:rsid w:val="001937D8"/>
    <w:rsid w:val="001956B5"/>
    <w:rsid w:val="0019629C"/>
    <w:rsid w:val="0019727A"/>
    <w:rsid w:val="001976AE"/>
    <w:rsid w:val="001A01E5"/>
    <w:rsid w:val="001A0394"/>
    <w:rsid w:val="001A1158"/>
    <w:rsid w:val="001A13C5"/>
    <w:rsid w:val="001A18C4"/>
    <w:rsid w:val="001A2C0A"/>
    <w:rsid w:val="001A671E"/>
    <w:rsid w:val="001A79DA"/>
    <w:rsid w:val="001B0837"/>
    <w:rsid w:val="001B2B5D"/>
    <w:rsid w:val="001B3053"/>
    <w:rsid w:val="001B4961"/>
    <w:rsid w:val="001B505A"/>
    <w:rsid w:val="001B5C04"/>
    <w:rsid w:val="001C0440"/>
    <w:rsid w:val="001C0D15"/>
    <w:rsid w:val="001C138C"/>
    <w:rsid w:val="001C4C87"/>
    <w:rsid w:val="001C5E85"/>
    <w:rsid w:val="001C6692"/>
    <w:rsid w:val="001C676B"/>
    <w:rsid w:val="001C67CF"/>
    <w:rsid w:val="001D0EB0"/>
    <w:rsid w:val="001D3C27"/>
    <w:rsid w:val="001D632F"/>
    <w:rsid w:val="001D7871"/>
    <w:rsid w:val="001E0235"/>
    <w:rsid w:val="001E06F0"/>
    <w:rsid w:val="001E0AB8"/>
    <w:rsid w:val="001E0D8A"/>
    <w:rsid w:val="001E2441"/>
    <w:rsid w:val="001E2668"/>
    <w:rsid w:val="001E333F"/>
    <w:rsid w:val="001E692F"/>
    <w:rsid w:val="001F3D7F"/>
    <w:rsid w:val="001F4A02"/>
    <w:rsid w:val="001F4B88"/>
    <w:rsid w:val="002003C2"/>
    <w:rsid w:val="00203475"/>
    <w:rsid w:val="0020586B"/>
    <w:rsid w:val="00205947"/>
    <w:rsid w:val="00206191"/>
    <w:rsid w:val="002071B5"/>
    <w:rsid w:val="00207330"/>
    <w:rsid w:val="002079AE"/>
    <w:rsid w:val="002119D2"/>
    <w:rsid w:val="002125DB"/>
    <w:rsid w:val="00214FC6"/>
    <w:rsid w:val="002173F0"/>
    <w:rsid w:val="00220907"/>
    <w:rsid w:val="0022225C"/>
    <w:rsid w:val="0022262B"/>
    <w:rsid w:val="00223CDE"/>
    <w:rsid w:val="00227F27"/>
    <w:rsid w:val="00232062"/>
    <w:rsid w:val="0023462B"/>
    <w:rsid w:val="002349A1"/>
    <w:rsid w:val="00236E8F"/>
    <w:rsid w:val="0023740C"/>
    <w:rsid w:val="0024613C"/>
    <w:rsid w:val="00246426"/>
    <w:rsid w:val="002464F1"/>
    <w:rsid w:val="002468B5"/>
    <w:rsid w:val="00246DB6"/>
    <w:rsid w:val="00247378"/>
    <w:rsid w:val="002479FF"/>
    <w:rsid w:val="00250876"/>
    <w:rsid w:val="00251B65"/>
    <w:rsid w:val="0025295C"/>
    <w:rsid w:val="002536F9"/>
    <w:rsid w:val="00254A49"/>
    <w:rsid w:val="00254AF5"/>
    <w:rsid w:val="002557F9"/>
    <w:rsid w:val="00255809"/>
    <w:rsid w:val="0026150F"/>
    <w:rsid w:val="0026276B"/>
    <w:rsid w:val="0026388D"/>
    <w:rsid w:val="00264567"/>
    <w:rsid w:val="002662B9"/>
    <w:rsid w:val="002715A7"/>
    <w:rsid w:val="00273C1F"/>
    <w:rsid w:val="00273E8D"/>
    <w:rsid w:val="00274D75"/>
    <w:rsid w:val="002753A1"/>
    <w:rsid w:val="00276929"/>
    <w:rsid w:val="0028364A"/>
    <w:rsid w:val="002837CD"/>
    <w:rsid w:val="00284CB0"/>
    <w:rsid w:val="00285B3F"/>
    <w:rsid w:val="002864FB"/>
    <w:rsid w:val="00286E28"/>
    <w:rsid w:val="00292A38"/>
    <w:rsid w:val="00293114"/>
    <w:rsid w:val="002942E9"/>
    <w:rsid w:val="0029626C"/>
    <w:rsid w:val="00296D94"/>
    <w:rsid w:val="00297BC2"/>
    <w:rsid w:val="002A0BA9"/>
    <w:rsid w:val="002A0BDD"/>
    <w:rsid w:val="002A0E77"/>
    <w:rsid w:val="002A1A4D"/>
    <w:rsid w:val="002A4154"/>
    <w:rsid w:val="002A4FFA"/>
    <w:rsid w:val="002A741E"/>
    <w:rsid w:val="002A797F"/>
    <w:rsid w:val="002B019B"/>
    <w:rsid w:val="002B3851"/>
    <w:rsid w:val="002B4601"/>
    <w:rsid w:val="002B4723"/>
    <w:rsid w:val="002B711E"/>
    <w:rsid w:val="002C05A6"/>
    <w:rsid w:val="002C09BE"/>
    <w:rsid w:val="002C1D7E"/>
    <w:rsid w:val="002C20E0"/>
    <w:rsid w:val="002C4A04"/>
    <w:rsid w:val="002C4CA0"/>
    <w:rsid w:val="002C4F94"/>
    <w:rsid w:val="002C5306"/>
    <w:rsid w:val="002C5407"/>
    <w:rsid w:val="002C560A"/>
    <w:rsid w:val="002C5C6A"/>
    <w:rsid w:val="002C6F84"/>
    <w:rsid w:val="002C6F89"/>
    <w:rsid w:val="002C70B2"/>
    <w:rsid w:val="002C7AE7"/>
    <w:rsid w:val="002C7CA9"/>
    <w:rsid w:val="002C7F84"/>
    <w:rsid w:val="002D0AA2"/>
    <w:rsid w:val="002D2DA2"/>
    <w:rsid w:val="002D2F1D"/>
    <w:rsid w:val="002D46BA"/>
    <w:rsid w:val="002D4BB3"/>
    <w:rsid w:val="002D5E2F"/>
    <w:rsid w:val="002D7C7C"/>
    <w:rsid w:val="002E00F0"/>
    <w:rsid w:val="002E09BB"/>
    <w:rsid w:val="002E119C"/>
    <w:rsid w:val="002E13C0"/>
    <w:rsid w:val="002E181D"/>
    <w:rsid w:val="002E2346"/>
    <w:rsid w:val="002E29FE"/>
    <w:rsid w:val="002E576B"/>
    <w:rsid w:val="002E6D6C"/>
    <w:rsid w:val="002E7A31"/>
    <w:rsid w:val="002E7F46"/>
    <w:rsid w:val="002F03A0"/>
    <w:rsid w:val="002F090D"/>
    <w:rsid w:val="002F2122"/>
    <w:rsid w:val="002F26CA"/>
    <w:rsid w:val="002F32AA"/>
    <w:rsid w:val="002F3A7B"/>
    <w:rsid w:val="002F5050"/>
    <w:rsid w:val="002F7149"/>
    <w:rsid w:val="002F71F8"/>
    <w:rsid w:val="00300EC8"/>
    <w:rsid w:val="003014C0"/>
    <w:rsid w:val="00304BFC"/>
    <w:rsid w:val="00307DF4"/>
    <w:rsid w:val="00311DCF"/>
    <w:rsid w:val="00312A20"/>
    <w:rsid w:val="0031420A"/>
    <w:rsid w:val="0031567C"/>
    <w:rsid w:val="00317C9D"/>
    <w:rsid w:val="00321735"/>
    <w:rsid w:val="00321AD1"/>
    <w:rsid w:val="003269BD"/>
    <w:rsid w:val="00327849"/>
    <w:rsid w:val="00331166"/>
    <w:rsid w:val="00333BB4"/>
    <w:rsid w:val="00334B15"/>
    <w:rsid w:val="00335DCF"/>
    <w:rsid w:val="003371B3"/>
    <w:rsid w:val="00340A48"/>
    <w:rsid w:val="00340ECD"/>
    <w:rsid w:val="00342015"/>
    <w:rsid w:val="0034264C"/>
    <w:rsid w:val="00343CB9"/>
    <w:rsid w:val="00344537"/>
    <w:rsid w:val="003454DF"/>
    <w:rsid w:val="003467B0"/>
    <w:rsid w:val="00347CA0"/>
    <w:rsid w:val="003501BE"/>
    <w:rsid w:val="0035311E"/>
    <w:rsid w:val="003649C1"/>
    <w:rsid w:val="00364A35"/>
    <w:rsid w:val="003676BB"/>
    <w:rsid w:val="00370171"/>
    <w:rsid w:val="00370E0E"/>
    <w:rsid w:val="00371880"/>
    <w:rsid w:val="00372709"/>
    <w:rsid w:val="00373D7A"/>
    <w:rsid w:val="003756B6"/>
    <w:rsid w:val="003761DF"/>
    <w:rsid w:val="00377851"/>
    <w:rsid w:val="00380496"/>
    <w:rsid w:val="00381C53"/>
    <w:rsid w:val="00383430"/>
    <w:rsid w:val="0039121D"/>
    <w:rsid w:val="003913FF"/>
    <w:rsid w:val="00391C74"/>
    <w:rsid w:val="0039204F"/>
    <w:rsid w:val="00392D3B"/>
    <w:rsid w:val="00394056"/>
    <w:rsid w:val="0039449F"/>
    <w:rsid w:val="00396849"/>
    <w:rsid w:val="00397322"/>
    <w:rsid w:val="003A0E35"/>
    <w:rsid w:val="003A5D74"/>
    <w:rsid w:val="003A672E"/>
    <w:rsid w:val="003A7762"/>
    <w:rsid w:val="003A78E7"/>
    <w:rsid w:val="003A7F2A"/>
    <w:rsid w:val="003B05B3"/>
    <w:rsid w:val="003B1A06"/>
    <w:rsid w:val="003B7B43"/>
    <w:rsid w:val="003C0AF2"/>
    <w:rsid w:val="003C3496"/>
    <w:rsid w:val="003C3BF5"/>
    <w:rsid w:val="003C4AD6"/>
    <w:rsid w:val="003C5020"/>
    <w:rsid w:val="003C5228"/>
    <w:rsid w:val="003C6FBF"/>
    <w:rsid w:val="003C7E92"/>
    <w:rsid w:val="003D0CE4"/>
    <w:rsid w:val="003D1340"/>
    <w:rsid w:val="003D3EA8"/>
    <w:rsid w:val="003D4767"/>
    <w:rsid w:val="003D5D33"/>
    <w:rsid w:val="003D759C"/>
    <w:rsid w:val="003D77E6"/>
    <w:rsid w:val="003E1558"/>
    <w:rsid w:val="003E3E91"/>
    <w:rsid w:val="003E46F7"/>
    <w:rsid w:val="003E68FE"/>
    <w:rsid w:val="003E6EBB"/>
    <w:rsid w:val="003F0DCF"/>
    <w:rsid w:val="003F0E4F"/>
    <w:rsid w:val="003F2209"/>
    <w:rsid w:val="003F5604"/>
    <w:rsid w:val="003F675C"/>
    <w:rsid w:val="003F6F0D"/>
    <w:rsid w:val="00400238"/>
    <w:rsid w:val="004003E8"/>
    <w:rsid w:val="004005F2"/>
    <w:rsid w:val="00401AD5"/>
    <w:rsid w:val="004031FF"/>
    <w:rsid w:val="00403ADF"/>
    <w:rsid w:val="004058A1"/>
    <w:rsid w:val="00405971"/>
    <w:rsid w:val="00405AFE"/>
    <w:rsid w:val="0041274B"/>
    <w:rsid w:val="004127CF"/>
    <w:rsid w:val="0041475F"/>
    <w:rsid w:val="004150E4"/>
    <w:rsid w:val="00415870"/>
    <w:rsid w:val="00415BB4"/>
    <w:rsid w:val="0042280E"/>
    <w:rsid w:val="004270F9"/>
    <w:rsid w:val="0043016B"/>
    <w:rsid w:val="00430AE1"/>
    <w:rsid w:val="00433ECB"/>
    <w:rsid w:val="004366D5"/>
    <w:rsid w:val="00437C23"/>
    <w:rsid w:val="00440405"/>
    <w:rsid w:val="00440B11"/>
    <w:rsid w:val="00442100"/>
    <w:rsid w:val="00442123"/>
    <w:rsid w:val="00444305"/>
    <w:rsid w:val="00444918"/>
    <w:rsid w:val="00444DD5"/>
    <w:rsid w:val="00444E52"/>
    <w:rsid w:val="004469A2"/>
    <w:rsid w:val="00446AED"/>
    <w:rsid w:val="00447BF8"/>
    <w:rsid w:val="004549E2"/>
    <w:rsid w:val="0045511B"/>
    <w:rsid w:val="00455E22"/>
    <w:rsid w:val="004561B5"/>
    <w:rsid w:val="00457818"/>
    <w:rsid w:val="00460CD3"/>
    <w:rsid w:val="00461194"/>
    <w:rsid w:val="004611F1"/>
    <w:rsid w:val="00463D4B"/>
    <w:rsid w:val="00465B39"/>
    <w:rsid w:val="00466326"/>
    <w:rsid w:val="004677DE"/>
    <w:rsid w:val="0047524D"/>
    <w:rsid w:val="0047643E"/>
    <w:rsid w:val="0047714B"/>
    <w:rsid w:val="0047778E"/>
    <w:rsid w:val="004805E5"/>
    <w:rsid w:val="00481DF7"/>
    <w:rsid w:val="004832EA"/>
    <w:rsid w:val="00483530"/>
    <w:rsid w:val="00484415"/>
    <w:rsid w:val="0048441A"/>
    <w:rsid w:val="004848BD"/>
    <w:rsid w:val="0048612E"/>
    <w:rsid w:val="00487951"/>
    <w:rsid w:val="00487E11"/>
    <w:rsid w:val="00490884"/>
    <w:rsid w:val="00493AE7"/>
    <w:rsid w:val="004942AF"/>
    <w:rsid w:val="004942B6"/>
    <w:rsid w:val="00494B49"/>
    <w:rsid w:val="00494DA7"/>
    <w:rsid w:val="004957E9"/>
    <w:rsid w:val="00496083"/>
    <w:rsid w:val="0049663E"/>
    <w:rsid w:val="00497E91"/>
    <w:rsid w:val="004A076E"/>
    <w:rsid w:val="004A1F30"/>
    <w:rsid w:val="004A258A"/>
    <w:rsid w:val="004A2C75"/>
    <w:rsid w:val="004A4D28"/>
    <w:rsid w:val="004A6361"/>
    <w:rsid w:val="004B1B01"/>
    <w:rsid w:val="004B3367"/>
    <w:rsid w:val="004B34C8"/>
    <w:rsid w:val="004B4E20"/>
    <w:rsid w:val="004B69DF"/>
    <w:rsid w:val="004B77DC"/>
    <w:rsid w:val="004C0541"/>
    <w:rsid w:val="004C1DA7"/>
    <w:rsid w:val="004C41ED"/>
    <w:rsid w:val="004C4E53"/>
    <w:rsid w:val="004C5AD2"/>
    <w:rsid w:val="004C62F7"/>
    <w:rsid w:val="004C737D"/>
    <w:rsid w:val="004C7779"/>
    <w:rsid w:val="004D021C"/>
    <w:rsid w:val="004D4533"/>
    <w:rsid w:val="004D56C7"/>
    <w:rsid w:val="004D5A10"/>
    <w:rsid w:val="004D5CD9"/>
    <w:rsid w:val="004D6C0E"/>
    <w:rsid w:val="004D7183"/>
    <w:rsid w:val="004E06AD"/>
    <w:rsid w:val="004E0F00"/>
    <w:rsid w:val="004E1957"/>
    <w:rsid w:val="004E3256"/>
    <w:rsid w:val="004E353D"/>
    <w:rsid w:val="004F5B3B"/>
    <w:rsid w:val="004F64C5"/>
    <w:rsid w:val="004F6A34"/>
    <w:rsid w:val="00502C52"/>
    <w:rsid w:val="00505727"/>
    <w:rsid w:val="00506FCA"/>
    <w:rsid w:val="00510149"/>
    <w:rsid w:val="00511962"/>
    <w:rsid w:val="005124A8"/>
    <w:rsid w:val="005129D6"/>
    <w:rsid w:val="00513FAB"/>
    <w:rsid w:val="005148EE"/>
    <w:rsid w:val="0051652B"/>
    <w:rsid w:val="0051677F"/>
    <w:rsid w:val="00517A69"/>
    <w:rsid w:val="00517CA5"/>
    <w:rsid w:val="005219FB"/>
    <w:rsid w:val="00522768"/>
    <w:rsid w:val="0052364E"/>
    <w:rsid w:val="00524A85"/>
    <w:rsid w:val="00525EAD"/>
    <w:rsid w:val="00526FAA"/>
    <w:rsid w:val="0053086D"/>
    <w:rsid w:val="005334A7"/>
    <w:rsid w:val="00536309"/>
    <w:rsid w:val="005403E6"/>
    <w:rsid w:val="0054535C"/>
    <w:rsid w:val="005468A7"/>
    <w:rsid w:val="00546CAA"/>
    <w:rsid w:val="00546D5B"/>
    <w:rsid w:val="00550A72"/>
    <w:rsid w:val="005511D2"/>
    <w:rsid w:val="005516D3"/>
    <w:rsid w:val="0055223F"/>
    <w:rsid w:val="00553982"/>
    <w:rsid w:val="005540B5"/>
    <w:rsid w:val="005558C0"/>
    <w:rsid w:val="00555962"/>
    <w:rsid w:val="00557431"/>
    <w:rsid w:val="00557453"/>
    <w:rsid w:val="00560626"/>
    <w:rsid w:val="00561811"/>
    <w:rsid w:val="00562CEF"/>
    <w:rsid w:val="00563295"/>
    <w:rsid w:val="00566A55"/>
    <w:rsid w:val="00567B61"/>
    <w:rsid w:val="00570BAF"/>
    <w:rsid w:val="00570D64"/>
    <w:rsid w:val="005710CA"/>
    <w:rsid w:val="00571835"/>
    <w:rsid w:val="00571F08"/>
    <w:rsid w:val="00571F22"/>
    <w:rsid w:val="00572E49"/>
    <w:rsid w:val="005733FA"/>
    <w:rsid w:val="00576397"/>
    <w:rsid w:val="00576D63"/>
    <w:rsid w:val="005778D5"/>
    <w:rsid w:val="00581381"/>
    <w:rsid w:val="0058435B"/>
    <w:rsid w:val="005865C6"/>
    <w:rsid w:val="00587A30"/>
    <w:rsid w:val="00587ED5"/>
    <w:rsid w:val="005908F9"/>
    <w:rsid w:val="0059119E"/>
    <w:rsid w:val="00591623"/>
    <w:rsid w:val="00593EB2"/>
    <w:rsid w:val="00593ECD"/>
    <w:rsid w:val="00595599"/>
    <w:rsid w:val="005960D2"/>
    <w:rsid w:val="005A02FE"/>
    <w:rsid w:val="005A12B3"/>
    <w:rsid w:val="005A1F53"/>
    <w:rsid w:val="005A272A"/>
    <w:rsid w:val="005A323C"/>
    <w:rsid w:val="005A3687"/>
    <w:rsid w:val="005A54EF"/>
    <w:rsid w:val="005A769F"/>
    <w:rsid w:val="005B05FB"/>
    <w:rsid w:val="005B28D0"/>
    <w:rsid w:val="005B30DF"/>
    <w:rsid w:val="005B4A19"/>
    <w:rsid w:val="005B550D"/>
    <w:rsid w:val="005B6068"/>
    <w:rsid w:val="005B6D3C"/>
    <w:rsid w:val="005B7197"/>
    <w:rsid w:val="005C0593"/>
    <w:rsid w:val="005C1E5D"/>
    <w:rsid w:val="005C304F"/>
    <w:rsid w:val="005C398B"/>
    <w:rsid w:val="005C5D64"/>
    <w:rsid w:val="005D1037"/>
    <w:rsid w:val="005D254E"/>
    <w:rsid w:val="005D5484"/>
    <w:rsid w:val="005D5F1F"/>
    <w:rsid w:val="005D6B3C"/>
    <w:rsid w:val="005E0730"/>
    <w:rsid w:val="005E079A"/>
    <w:rsid w:val="005E1F24"/>
    <w:rsid w:val="005E3A03"/>
    <w:rsid w:val="005E4CD3"/>
    <w:rsid w:val="005E7299"/>
    <w:rsid w:val="005E75A3"/>
    <w:rsid w:val="005F025C"/>
    <w:rsid w:val="005F0C8D"/>
    <w:rsid w:val="005F0D17"/>
    <w:rsid w:val="005F10F6"/>
    <w:rsid w:val="005F11AF"/>
    <w:rsid w:val="005F21E6"/>
    <w:rsid w:val="005F4F55"/>
    <w:rsid w:val="005F6B2A"/>
    <w:rsid w:val="0060197E"/>
    <w:rsid w:val="00603960"/>
    <w:rsid w:val="00604E38"/>
    <w:rsid w:val="00605200"/>
    <w:rsid w:val="0060615B"/>
    <w:rsid w:val="00606582"/>
    <w:rsid w:val="00606852"/>
    <w:rsid w:val="006079DA"/>
    <w:rsid w:val="00611031"/>
    <w:rsid w:val="00611625"/>
    <w:rsid w:val="00613016"/>
    <w:rsid w:val="006153E3"/>
    <w:rsid w:val="006161F2"/>
    <w:rsid w:val="00617752"/>
    <w:rsid w:val="006206AF"/>
    <w:rsid w:val="00621255"/>
    <w:rsid w:val="0062167C"/>
    <w:rsid w:val="00621C65"/>
    <w:rsid w:val="0062393B"/>
    <w:rsid w:val="00623C2C"/>
    <w:rsid w:val="00625D5F"/>
    <w:rsid w:val="00626C37"/>
    <w:rsid w:val="00631A65"/>
    <w:rsid w:val="00631D07"/>
    <w:rsid w:val="00632A02"/>
    <w:rsid w:val="00636F9D"/>
    <w:rsid w:val="006372EE"/>
    <w:rsid w:val="00641ADD"/>
    <w:rsid w:val="00641B24"/>
    <w:rsid w:val="006424A0"/>
    <w:rsid w:val="006437E0"/>
    <w:rsid w:val="006441B6"/>
    <w:rsid w:val="0064551D"/>
    <w:rsid w:val="00647D2B"/>
    <w:rsid w:val="00650047"/>
    <w:rsid w:val="006513B6"/>
    <w:rsid w:val="006544CC"/>
    <w:rsid w:val="006555E5"/>
    <w:rsid w:val="00656F33"/>
    <w:rsid w:val="006578B3"/>
    <w:rsid w:val="0066116D"/>
    <w:rsid w:val="00661EBA"/>
    <w:rsid w:val="00663055"/>
    <w:rsid w:val="00664BED"/>
    <w:rsid w:val="00665643"/>
    <w:rsid w:val="00665B87"/>
    <w:rsid w:val="00665C3E"/>
    <w:rsid w:val="00666DC0"/>
    <w:rsid w:val="00667B53"/>
    <w:rsid w:val="006711EC"/>
    <w:rsid w:val="006712CD"/>
    <w:rsid w:val="006720A4"/>
    <w:rsid w:val="006722EF"/>
    <w:rsid w:val="00673A00"/>
    <w:rsid w:val="00673E6F"/>
    <w:rsid w:val="00674BB6"/>
    <w:rsid w:val="00674F50"/>
    <w:rsid w:val="0068084B"/>
    <w:rsid w:val="00681524"/>
    <w:rsid w:val="006817A5"/>
    <w:rsid w:val="00685169"/>
    <w:rsid w:val="0068619F"/>
    <w:rsid w:val="00686B4F"/>
    <w:rsid w:val="0068737D"/>
    <w:rsid w:val="00692E09"/>
    <w:rsid w:val="00694A43"/>
    <w:rsid w:val="006969AE"/>
    <w:rsid w:val="00697485"/>
    <w:rsid w:val="006A112F"/>
    <w:rsid w:val="006A3F38"/>
    <w:rsid w:val="006A408A"/>
    <w:rsid w:val="006A46A9"/>
    <w:rsid w:val="006A4F01"/>
    <w:rsid w:val="006A522F"/>
    <w:rsid w:val="006A680F"/>
    <w:rsid w:val="006A71E2"/>
    <w:rsid w:val="006B0890"/>
    <w:rsid w:val="006B10DE"/>
    <w:rsid w:val="006B53EC"/>
    <w:rsid w:val="006B56FC"/>
    <w:rsid w:val="006B5A72"/>
    <w:rsid w:val="006B792A"/>
    <w:rsid w:val="006C0F07"/>
    <w:rsid w:val="006C3736"/>
    <w:rsid w:val="006C6D38"/>
    <w:rsid w:val="006D15F7"/>
    <w:rsid w:val="006D21A0"/>
    <w:rsid w:val="006D3BAB"/>
    <w:rsid w:val="006D4434"/>
    <w:rsid w:val="006D6490"/>
    <w:rsid w:val="006D6BCF"/>
    <w:rsid w:val="006E1129"/>
    <w:rsid w:val="006E156F"/>
    <w:rsid w:val="006E17C0"/>
    <w:rsid w:val="006E36A6"/>
    <w:rsid w:val="006E5138"/>
    <w:rsid w:val="006E52C5"/>
    <w:rsid w:val="006E558D"/>
    <w:rsid w:val="006E76F9"/>
    <w:rsid w:val="006F4207"/>
    <w:rsid w:val="006F439A"/>
    <w:rsid w:val="006F733E"/>
    <w:rsid w:val="006F7FF6"/>
    <w:rsid w:val="007014C1"/>
    <w:rsid w:val="0070255A"/>
    <w:rsid w:val="007056DC"/>
    <w:rsid w:val="0070790B"/>
    <w:rsid w:val="0071176F"/>
    <w:rsid w:val="00712E52"/>
    <w:rsid w:val="00716186"/>
    <w:rsid w:val="007161A8"/>
    <w:rsid w:val="00720A86"/>
    <w:rsid w:val="00720D29"/>
    <w:rsid w:val="00720FA3"/>
    <w:rsid w:val="00723607"/>
    <w:rsid w:val="00723FDF"/>
    <w:rsid w:val="007242D5"/>
    <w:rsid w:val="00725D72"/>
    <w:rsid w:val="007263F5"/>
    <w:rsid w:val="007275FE"/>
    <w:rsid w:val="0073222C"/>
    <w:rsid w:val="0073359A"/>
    <w:rsid w:val="00734255"/>
    <w:rsid w:val="007344EC"/>
    <w:rsid w:val="0073616B"/>
    <w:rsid w:val="007405F7"/>
    <w:rsid w:val="00740DAE"/>
    <w:rsid w:val="0074131F"/>
    <w:rsid w:val="00741D0A"/>
    <w:rsid w:val="007439B6"/>
    <w:rsid w:val="007452F6"/>
    <w:rsid w:val="00745659"/>
    <w:rsid w:val="007459A8"/>
    <w:rsid w:val="00745B3E"/>
    <w:rsid w:val="00745D6B"/>
    <w:rsid w:val="00746176"/>
    <w:rsid w:val="007467C5"/>
    <w:rsid w:val="00750E6A"/>
    <w:rsid w:val="007527D9"/>
    <w:rsid w:val="00752AC7"/>
    <w:rsid w:val="0075381C"/>
    <w:rsid w:val="00753FE8"/>
    <w:rsid w:val="00755A23"/>
    <w:rsid w:val="007569F7"/>
    <w:rsid w:val="007605B0"/>
    <w:rsid w:val="00760632"/>
    <w:rsid w:val="00761D73"/>
    <w:rsid w:val="007631BF"/>
    <w:rsid w:val="007640DD"/>
    <w:rsid w:val="00766543"/>
    <w:rsid w:val="007669A7"/>
    <w:rsid w:val="007679A8"/>
    <w:rsid w:val="007716AA"/>
    <w:rsid w:val="0077175E"/>
    <w:rsid w:val="00781462"/>
    <w:rsid w:val="00784169"/>
    <w:rsid w:val="007853E8"/>
    <w:rsid w:val="00785468"/>
    <w:rsid w:val="00785EF3"/>
    <w:rsid w:val="00785F79"/>
    <w:rsid w:val="00786065"/>
    <w:rsid w:val="007868BB"/>
    <w:rsid w:val="00787891"/>
    <w:rsid w:val="0079210C"/>
    <w:rsid w:val="007945DA"/>
    <w:rsid w:val="00794C08"/>
    <w:rsid w:val="00794DB5"/>
    <w:rsid w:val="0079619B"/>
    <w:rsid w:val="00796D28"/>
    <w:rsid w:val="00796DD5"/>
    <w:rsid w:val="00797094"/>
    <w:rsid w:val="007A1C94"/>
    <w:rsid w:val="007A63B6"/>
    <w:rsid w:val="007A719F"/>
    <w:rsid w:val="007A7376"/>
    <w:rsid w:val="007A7D60"/>
    <w:rsid w:val="007B03BB"/>
    <w:rsid w:val="007B15A3"/>
    <w:rsid w:val="007B1B6E"/>
    <w:rsid w:val="007B1D8D"/>
    <w:rsid w:val="007B24B4"/>
    <w:rsid w:val="007B339B"/>
    <w:rsid w:val="007B4CFD"/>
    <w:rsid w:val="007B6A4C"/>
    <w:rsid w:val="007C04CC"/>
    <w:rsid w:val="007C0AD4"/>
    <w:rsid w:val="007C50C6"/>
    <w:rsid w:val="007C561A"/>
    <w:rsid w:val="007C6DD0"/>
    <w:rsid w:val="007C7EC9"/>
    <w:rsid w:val="007D171F"/>
    <w:rsid w:val="007D1E3C"/>
    <w:rsid w:val="007D2150"/>
    <w:rsid w:val="007D31E4"/>
    <w:rsid w:val="007D637F"/>
    <w:rsid w:val="007D7785"/>
    <w:rsid w:val="007D7FA6"/>
    <w:rsid w:val="007E0532"/>
    <w:rsid w:val="007E1704"/>
    <w:rsid w:val="007E2994"/>
    <w:rsid w:val="007E34B3"/>
    <w:rsid w:val="007E3A18"/>
    <w:rsid w:val="007E3A2D"/>
    <w:rsid w:val="007E42D0"/>
    <w:rsid w:val="007E4E30"/>
    <w:rsid w:val="007E515E"/>
    <w:rsid w:val="007E5FFD"/>
    <w:rsid w:val="007F1329"/>
    <w:rsid w:val="007F3BB6"/>
    <w:rsid w:val="007F3F40"/>
    <w:rsid w:val="007F478C"/>
    <w:rsid w:val="007F52ED"/>
    <w:rsid w:val="007F53F5"/>
    <w:rsid w:val="007F7FEA"/>
    <w:rsid w:val="00802168"/>
    <w:rsid w:val="008032DB"/>
    <w:rsid w:val="00803986"/>
    <w:rsid w:val="008039F9"/>
    <w:rsid w:val="00804901"/>
    <w:rsid w:val="008062E0"/>
    <w:rsid w:val="00806A7B"/>
    <w:rsid w:val="00807179"/>
    <w:rsid w:val="00810140"/>
    <w:rsid w:val="00812171"/>
    <w:rsid w:val="00812F5E"/>
    <w:rsid w:val="00820BE8"/>
    <w:rsid w:val="00821952"/>
    <w:rsid w:val="00824D42"/>
    <w:rsid w:val="00824FF3"/>
    <w:rsid w:val="0083004C"/>
    <w:rsid w:val="00830364"/>
    <w:rsid w:val="0083036E"/>
    <w:rsid w:val="008309B2"/>
    <w:rsid w:val="00833A2E"/>
    <w:rsid w:val="00834658"/>
    <w:rsid w:val="00837160"/>
    <w:rsid w:val="00837A2D"/>
    <w:rsid w:val="00837C15"/>
    <w:rsid w:val="0084076B"/>
    <w:rsid w:val="00840CF9"/>
    <w:rsid w:val="00841177"/>
    <w:rsid w:val="00843565"/>
    <w:rsid w:val="008443DA"/>
    <w:rsid w:val="0084460A"/>
    <w:rsid w:val="00844635"/>
    <w:rsid w:val="00845C89"/>
    <w:rsid w:val="0084607B"/>
    <w:rsid w:val="00847534"/>
    <w:rsid w:val="00850B77"/>
    <w:rsid w:val="00851FA2"/>
    <w:rsid w:val="0085310D"/>
    <w:rsid w:val="00853CAB"/>
    <w:rsid w:val="00853DCD"/>
    <w:rsid w:val="00860429"/>
    <w:rsid w:val="008629F9"/>
    <w:rsid w:val="008637DA"/>
    <w:rsid w:val="00863898"/>
    <w:rsid w:val="008643BF"/>
    <w:rsid w:val="00865B3B"/>
    <w:rsid w:val="00866C48"/>
    <w:rsid w:val="00871EDB"/>
    <w:rsid w:val="008728E6"/>
    <w:rsid w:val="00885174"/>
    <w:rsid w:val="0089092A"/>
    <w:rsid w:val="0089190F"/>
    <w:rsid w:val="00891BBA"/>
    <w:rsid w:val="00892934"/>
    <w:rsid w:val="00895373"/>
    <w:rsid w:val="008958EA"/>
    <w:rsid w:val="008A2706"/>
    <w:rsid w:val="008A35D1"/>
    <w:rsid w:val="008A3F26"/>
    <w:rsid w:val="008A52B8"/>
    <w:rsid w:val="008A599E"/>
    <w:rsid w:val="008A5D5C"/>
    <w:rsid w:val="008A6D68"/>
    <w:rsid w:val="008A6F04"/>
    <w:rsid w:val="008A729C"/>
    <w:rsid w:val="008A7617"/>
    <w:rsid w:val="008B2387"/>
    <w:rsid w:val="008B40AE"/>
    <w:rsid w:val="008B418A"/>
    <w:rsid w:val="008B42C8"/>
    <w:rsid w:val="008B4383"/>
    <w:rsid w:val="008B6AB9"/>
    <w:rsid w:val="008C0D8D"/>
    <w:rsid w:val="008C105F"/>
    <w:rsid w:val="008C13F6"/>
    <w:rsid w:val="008C2961"/>
    <w:rsid w:val="008C2B73"/>
    <w:rsid w:val="008C52B9"/>
    <w:rsid w:val="008D24C2"/>
    <w:rsid w:val="008D2961"/>
    <w:rsid w:val="008D3AC7"/>
    <w:rsid w:val="008D6C43"/>
    <w:rsid w:val="008D7153"/>
    <w:rsid w:val="008D7DAF"/>
    <w:rsid w:val="008D7ED7"/>
    <w:rsid w:val="008E266B"/>
    <w:rsid w:val="008E37AA"/>
    <w:rsid w:val="008E53D4"/>
    <w:rsid w:val="008F0370"/>
    <w:rsid w:val="008F1489"/>
    <w:rsid w:val="008F275B"/>
    <w:rsid w:val="008F661E"/>
    <w:rsid w:val="0090234A"/>
    <w:rsid w:val="00902731"/>
    <w:rsid w:val="0090424A"/>
    <w:rsid w:val="009050E3"/>
    <w:rsid w:val="009055F3"/>
    <w:rsid w:val="00906260"/>
    <w:rsid w:val="00906B0C"/>
    <w:rsid w:val="00906D97"/>
    <w:rsid w:val="00910F2D"/>
    <w:rsid w:val="00912081"/>
    <w:rsid w:val="0091394D"/>
    <w:rsid w:val="00922784"/>
    <w:rsid w:val="00923721"/>
    <w:rsid w:val="00923B59"/>
    <w:rsid w:val="0092466B"/>
    <w:rsid w:val="00925293"/>
    <w:rsid w:val="00925821"/>
    <w:rsid w:val="009258AE"/>
    <w:rsid w:val="009270AE"/>
    <w:rsid w:val="0092786D"/>
    <w:rsid w:val="009278AA"/>
    <w:rsid w:val="00930498"/>
    <w:rsid w:val="0093112F"/>
    <w:rsid w:val="00933224"/>
    <w:rsid w:val="009332BD"/>
    <w:rsid w:val="009343B7"/>
    <w:rsid w:val="009365B6"/>
    <w:rsid w:val="00937E5B"/>
    <w:rsid w:val="00940F61"/>
    <w:rsid w:val="00943C8D"/>
    <w:rsid w:val="00943CF7"/>
    <w:rsid w:val="009464E6"/>
    <w:rsid w:val="00946726"/>
    <w:rsid w:val="009475DE"/>
    <w:rsid w:val="00947ECE"/>
    <w:rsid w:val="009502A0"/>
    <w:rsid w:val="00953420"/>
    <w:rsid w:val="00953751"/>
    <w:rsid w:val="0095543C"/>
    <w:rsid w:val="009555CA"/>
    <w:rsid w:val="009606F9"/>
    <w:rsid w:val="00960A0B"/>
    <w:rsid w:val="00962327"/>
    <w:rsid w:val="009630E7"/>
    <w:rsid w:val="0096366D"/>
    <w:rsid w:val="00963DDB"/>
    <w:rsid w:val="00964476"/>
    <w:rsid w:val="00964EE2"/>
    <w:rsid w:val="00964FA8"/>
    <w:rsid w:val="009657F9"/>
    <w:rsid w:val="00966150"/>
    <w:rsid w:val="00966B8B"/>
    <w:rsid w:val="00966C92"/>
    <w:rsid w:val="009676F4"/>
    <w:rsid w:val="00975130"/>
    <w:rsid w:val="00980A18"/>
    <w:rsid w:val="00980BEE"/>
    <w:rsid w:val="0098218B"/>
    <w:rsid w:val="00983C0B"/>
    <w:rsid w:val="00984743"/>
    <w:rsid w:val="0099080F"/>
    <w:rsid w:val="00991365"/>
    <w:rsid w:val="00992B30"/>
    <w:rsid w:val="00993356"/>
    <w:rsid w:val="00993E27"/>
    <w:rsid w:val="00994B6B"/>
    <w:rsid w:val="00994E0D"/>
    <w:rsid w:val="009956D0"/>
    <w:rsid w:val="00996B87"/>
    <w:rsid w:val="00996C0A"/>
    <w:rsid w:val="00997237"/>
    <w:rsid w:val="009A0C5C"/>
    <w:rsid w:val="009A24F3"/>
    <w:rsid w:val="009A28E1"/>
    <w:rsid w:val="009A3045"/>
    <w:rsid w:val="009A4609"/>
    <w:rsid w:val="009A49A9"/>
    <w:rsid w:val="009A63F0"/>
    <w:rsid w:val="009A6FAE"/>
    <w:rsid w:val="009B068B"/>
    <w:rsid w:val="009B18D8"/>
    <w:rsid w:val="009B216D"/>
    <w:rsid w:val="009B2E08"/>
    <w:rsid w:val="009B4B7F"/>
    <w:rsid w:val="009B6636"/>
    <w:rsid w:val="009B691D"/>
    <w:rsid w:val="009B721F"/>
    <w:rsid w:val="009C052A"/>
    <w:rsid w:val="009C1D27"/>
    <w:rsid w:val="009C3ED8"/>
    <w:rsid w:val="009C6FA3"/>
    <w:rsid w:val="009D0558"/>
    <w:rsid w:val="009D1146"/>
    <w:rsid w:val="009D25A7"/>
    <w:rsid w:val="009D2B98"/>
    <w:rsid w:val="009D2EB9"/>
    <w:rsid w:val="009D3AC0"/>
    <w:rsid w:val="009D3AE2"/>
    <w:rsid w:val="009D4808"/>
    <w:rsid w:val="009D5A30"/>
    <w:rsid w:val="009D5BC6"/>
    <w:rsid w:val="009D74FC"/>
    <w:rsid w:val="009D7B9E"/>
    <w:rsid w:val="009E0266"/>
    <w:rsid w:val="009E0F82"/>
    <w:rsid w:val="009E1F1D"/>
    <w:rsid w:val="009E34F3"/>
    <w:rsid w:val="009E4742"/>
    <w:rsid w:val="009E553E"/>
    <w:rsid w:val="009E5EE9"/>
    <w:rsid w:val="009E6ED3"/>
    <w:rsid w:val="009F47C9"/>
    <w:rsid w:val="009F6DEF"/>
    <w:rsid w:val="00A00A56"/>
    <w:rsid w:val="00A00E50"/>
    <w:rsid w:val="00A00FA5"/>
    <w:rsid w:val="00A01455"/>
    <w:rsid w:val="00A01F40"/>
    <w:rsid w:val="00A02509"/>
    <w:rsid w:val="00A05DD9"/>
    <w:rsid w:val="00A06187"/>
    <w:rsid w:val="00A06C9E"/>
    <w:rsid w:val="00A075A5"/>
    <w:rsid w:val="00A10857"/>
    <w:rsid w:val="00A11F59"/>
    <w:rsid w:val="00A12340"/>
    <w:rsid w:val="00A15D9E"/>
    <w:rsid w:val="00A1640A"/>
    <w:rsid w:val="00A168D7"/>
    <w:rsid w:val="00A17959"/>
    <w:rsid w:val="00A17C8F"/>
    <w:rsid w:val="00A20002"/>
    <w:rsid w:val="00A21229"/>
    <w:rsid w:val="00A21956"/>
    <w:rsid w:val="00A21D10"/>
    <w:rsid w:val="00A22443"/>
    <w:rsid w:val="00A230FA"/>
    <w:rsid w:val="00A23EB9"/>
    <w:rsid w:val="00A24942"/>
    <w:rsid w:val="00A249BB"/>
    <w:rsid w:val="00A24BAA"/>
    <w:rsid w:val="00A25071"/>
    <w:rsid w:val="00A305BD"/>
    <w:rsid w:val="00A306F1"/>
    <w:rsid w:val="00A316B2"/>
    <w:rsid w:val="00A34687"/>
    <w:rsid w:val="00A3540E"/>
    <w:rsid w:val="00A3613E"/>
    <w:rsid w:val="00A377BF"/>
    <w:rsid w:val="00A37A27"/>
    <w:rsid w:val="00A42BB2"/>
    <w:rsid w:val="00A44130"/>
    <w:rsid w:val="00A55F31"/>
    <w:rsid w:val="00A61453"/>
    <w:rsid w:val="00A61539"/>
    <w:rsid w:val="00A61AB6"/>
    <w:rsid w:val="00A63811"/>
    <w:rsid w:val="00A64672"/>
    <w:rsid w:val="00A64F92"/>
    <w:rsid w:val="00A657AA"/>
    <w:rsid w:val="00A66042"/>
    <w:rsid w:val="00A66EA8"/>
    <w:rsid w:val="00A66FA8"/>
    <w:rsid w:val="00A67960"/>
    <w:rsid w:val="00A70100"/>
    <w:rsid w:val="00A731B9"/>
    <w:rsid w:val="00A73E51"/>
    <w:rsid w:val="00A74D58"/>
    <w:rsid w:val="00A764D0"/>
    <w:rsid w:val="00A82050"/>
    <w:rsid w:val="00A82309"/>
    <w:rsid w:val="00A83C26"/>
    <w:rsid w:val="00A854A7"/>
    <w:rsid w:val="00A85665"/>
    <w:rsid w:val="00A85AB4"/>
    <w:rsid w:val="00A8634F"/>
    <w:rsid w:val="00A87B0F"/>
    <w:rsid w:val="00A903FA"/>
    <w:rsid w:val="00A9095C"/>
    <w:rsid w:val="00A9161D"/>
    <w:rsid w:val="00A9279D"/>
    <w:rsid w:val="00A9296B"/>
    <w:rsid w:val="00A94DE2"/>
    <w:rsid w:val="00AA14A6"/>
    <w:rsid w:val="00AA2FB9"/>
    <w:rsid w:val="00AA4ACD"/>
    <w:rsid w:val="00AA5EED"/>
    <w:rsid w:val="00AA62B7"/>
    <w:rsid w:val="00AB185B"/>
    <w:rsid w:val="00AB2C81"/>
    <w:rsid w:val="00AB3ED7"/>
    <w:rsid w:val="00AB4408"/>
    <w:rsid w:val="00AB46F8"/>
    <w:rsid w:val="00AB61C6"/>
    <w:rsid w:val="00AB6E79"/>
    <w:rsid w:val="00AB7083"/>
    <w:rsid w:val="00AB7FA1"/>
    <w:rsid w:val="00AC0128"/>
    <w:rsid w:val="00AC06C5"/>
    <w:rsid w:val="00AC0C0B"/>
    <w:rsid w:val="00AC2BAF"/>
    <w:rsid w:val="00AC40BA"/>
    <w:rsid w:val="00AC4A7E"/>
    <w:rsid w:val="00AC567C"/>
    <w:rsid w:val="00AC72FC"/>
    <w:rsid w:val="00AD12D7"/>
    <w:rsid w:val="00AD1E26"/>
    <w:rsid w:val="00AD2737"/>
    <w:rsid w:val="00AD2927"/>
    <w:rsid w:val="00AD3C40"/>
    <w:rsid w:val="00AD4919"/>
    <w:rsid w:val="00AD4DA2"/>
    <w:rsid w:val="00AD596E"/>
    <w:rsid w:val="00AE3C36"/>
    <w:rsid w:val="00AF2669"/>
    <w:rsid w:val="00AF393D"/>
    <w:rsid w:val="00AF4226"/>
    <w:rsid w:val="00AF565F"/>
    <w:rsid w:val="00AF6809"/>
    <w:rsid w:val="00B009F1"/>
    <w:rsid w:val="00B016A4"/>
    <w:rsid w:val="00B01ED2"/>
    <w:rsid w:val="00B02302"/>
    <w:rsid w:val="00B02FA4"/>
    <w:rsid w:val="00B07F08"/>
    <w:rsid w:val="00B1115D"/>
    <w:rsid w:val="00B12161"/>
    <w:rsid w:val="00B16D73"/>
    <w:rsid w:val="00B17D50"/>
    <w:rsid w:val="00B2244A"/>
    <w:rsid w:val="00B22AA3"/>
    <w:rsid w:val="00B230DE"/>
    <w:rsid w:val="00B2374A"/>
    <w:rsid w:val="00B23ED7"/>
    <w:rsid w:val="00B244C4"/>
    <w:rsid w:val="00B24A46"/>
    <w:rsid w:val="00B256FD"/>
    <w:rsid w:val="00B27494"/>
    <w:rsid w:val="00B30DC0"/>
    <w:rsid w:val="00B32437"/>
    <w:rsid w:val="00B33927"/>
    <w:rsid w:val="00B33A2F"/>
    <w:rsid w:val="00B40BC4"/>
    <w:rsid w:val="00B41507"/>
    <w:rsid w:val="00B42C60"/>
    <w:rsid w:val="00B43E23"/>
    <w:rsid w:val="00B471F0"/>
    <w:rsid w:val="00B51000"/>
    <w:rsid w:val="00B61729"/>
    <w:rsid w:val="00B62C8A"/>
    <w:rsid w:val="00B63630"/>
    <w:rsid w:val="00B63AD7"/>
    <w:rsid w:val="00B64497"/>
    <w:rsid w:val="00B64923"/>
    <w:rsid w:val="00B66615"/>
    <w:rsid w:val="00B667AC"/>
    <w:rsid w:val="00B67EFA"/>
    <w:rsid w:val="00B7088D"/>
    <w:rsid w:val="00B7553F"/>
    <w:rsid w:val="00B75EEF"/>
    <w:rsid w:val="00B76E94"/>
    <w:rsid w:val="00B83FBD"/>
    <w:rsid w:val="00B93433"/>
    <w:rsid w:val="00BA155A"/>
    <w:rsid w:val="00BA1AF8"/>
    <w:rsid w:val="00BA2D89"/>
    <w:rsid w:val="00BA52B4"/>
    <w:rsid w:val="00BA604F"/>
    <w:rsid w:val="00BA742C"/>
    <w:rsid w:val="00BB334E"/>
    <w:rsid w:val="00BB4174"/>
    <w:rsid w:val="00BB4437"/>
    <w:rsid w:val="00BB5601"/>
    <w:rsid w:val="00BB6330"/>
    <w:rsid w:val="00BB66E6"/>
    <w:rsid w:val="00BC1DEF"/>
    <w:rsid w:val="00BC39FF"/>
    <w:rsid w:val="00BC3CF4"/>
    <w:rsid w:val="00BC51AC"/>
    <w:rsid w:val="00BC5569"/>
    <w:rsid w:val="00BC6118"/>
    <w:rsid w:val="00BD15C2"/>
    <w:rsid w:val="00BD2493"/>
    <w:rsid w:val="00BD3D44"/>
    <w:rsid w:val="00BD44A7"/>
    <w:rsid w:val="00BD45DF"/>
    <w:rsid w:val="00BD4C0F"/>
    <w:rsid w:val="00BD567F"/>
    <w:rsid w:val="00BE04BB"/>
    <w:rsid w:val="00BE1475"/>
    <w:rsid w:val="00BE167E"/>
    <w:rsid w:val="00BE1E44"/>
    <w:rsid w:val="00BE1E4C"/>
    <w:rsid w:val="00BE2A4B"/>
    <w:rsid w:val="00BE5CE5"/>
    <w:rsid w:val="00BE63F0"/>
    <w:rsid w:val="00BE6F71"/>
    <w:rsid w:val="00BF2001"/>
    <w:rsid w:val="00BF4C7A"/>
    <w:rsid w:val="00BF77DA"/>
    <w:rsid w:val="00C002AF"/>
    <w:rsid w:val="00C003DB"/>
    <w:rsid w:val="00C004A7"/>
    <w:rsid w:val="00C014B2"/>
    <w:rsid w:val="00C01ED2"/>
    <w:rsid w:val="00C0333F"/>
    <w:rsid w:val="00C03468"/>
    <w:rsid w:val="00C03742"/>
    <w:rsid w:val="00C062F1"/>
    <w:rsid w:val="00C070C7"/>
    <w:rsid w:val="00C072CC"/>
    <w:rsid w:val="00C1030D"/>
    <w:rsid w:val="00C11556"/>
    <w:rsid w:val="00C127EB"/>
    <w:rsid w:val="00C12917"/>
    <w:rsid w:val="00C13EA4"/>
    <w:rsid w:val="00C14420"/>
    <w:rsid w:val="00C17621"/>
    <w:rsid w:val="00C17AA5"/>
    <w:rsid w:val="00C17FB4"/>
    <w:rsid w:val="00C21113"/>
    <w:rsid w:val="00C21A67"/>
    <w:rsid w:val="00C22582"/>
    <w:rsid w:val="00C22B9B"/>
    <w:rsid w:val="00C26932"/>
    <w:rsid w:val="00C26DFB"/>
    <w:rsid w:val="00C2721D"/>
    <w:rsid w:val="00C27754"/>
    <w:rsid w:val="00C31574"/>
    <w:rsid w:val="00C3170B"/>
    <w:rsid w:val="00C317D5"/>
    <w:rsid w:val="00C31C83"/>
    <w:rsid w:val="00C3348E"/>
    <w:rsid w:val="00C33613"/>
    <w:rsid w:val="00C3437C"/>
    <w:rsid w:val="00C40682"/>
    <w:rsid w:val="00C41317"/>
    <w:rsid w:val="00C43546"/>
    <w:rsid w:val="00C460B5"/>
    <w:rsid w:val="00C50AF0"/>
    <w:rsid w:val="00C51279"/>
    <w:rsid w:val="00C53986"/>
    <w:rsid w:val="00C540E3"/>
    <w:rsid w:val="00C54A20"/>
    <w:rsid w:val="00C56CC9"/>
    <w:rsid w:val="00C600B7"/>
    <w:rsid w:val="00C600EF"/>
    <w:rsid w:val="00C6300F"/>
    <w:rsid w:val="00C6341D"/>
    <w:rsid w:val="00C65CAB"/>
    <w:rsid w:val="00C66298"/>
    <w:rsid w:val="00C73776"/>
    <w:rsid w:val="00C74BBE"/>
    <w:rsid w:val="00C76495"/>
    <w:rsid w:val="00C77043"/>
    <w:rsid w:val="00C8594F"/>
    <w:rsid w:val="00C85A85"/>
    <w:rsid w:val="00C86A83"/>
    <w:rsid w:val="00C86C2D"/>
    <w:rsid w:val="00C9053C"/>
    <w:rsid w:val="00C909F5"/>
    <w:rsid w:val="00C91469"/>
    <w:rsid w:val="00C942F3"/>
    <w:rsid w:val="00C95883"/>
    <w:rsid w:val="00C97A09"/>
    <w:rsid w:val="00CA0AD7"/>
    <w:rsid w:val="00CA0B90"/>
    <w:rsid w:val="00CA1E51"/>
    <w:rsid w:val="00CA24BA"/>
    <w:rsid w:val="00CA2B8F"/>
    <w:rsid w:val="00CA5543"/>
    <w:rsid w:val="00CA59A4"/>
    <w:rsid w:val="00CA62B4"/>
    <w:rsid w:val="00CA65BC"/>
    <w:rsid w:val="00CA7717"/>
    <w:rsid w:val="00CB04B8"/>
    <w:rsid w:val="00CB0BF2"/>
    <w:rsid w:val="00CB1A8C"/>
    <w:rsid w:val="00CB2DA2"/>
    <w:rsid w:val="00CB2E41"/>
    <w:rsid w:val="00CB32DD"/>
    <w:rsid w:val="00CB348C"/>
    <w:rsid w:val="00CB3A6A"/>
    <w:rsid w:val="00CB4EFE"/>
    <w:rsid w:val="00CB5A38"/>
    <w:rsid w:val="00CC01D3"/>
    <w:rsid w:val="00CC1594"/>
    <w:rsid w:val="00CC4408"/>
    <w:rsid w:val="00CC6F1B"/>
    <w:rsid w:val="00CD0456"/>
    <w:rsid w:val="00CD0CA5"/>
    <w:rsid w:val="00CD2867"/>
    <w:rsid w:val="00CD2DFC"/>
    <w:rsid w:val="00CD31EB"/>
    <w:rsid w:val="00CD34A9"/>
    <w:rsid w:val="00CE0E55"/>
    <w:rsid w:val="00CE158A"/>
    <w:rsid w:val="00CE2057"/>
    <w:rsid w:val="00CE28AD"/>
    <w:rsid w:val="00CE2E30"/>
    <w:rsid w:val="00CE49B9"/>
    <w:rsid w:val="00CE4C57"/>
    <w:rsid w:val="00CE527F"/>
    <w:rsid w:val="00CE538C"/>
    <w:rsid w:val="00CE5871"/>
    <w:rsid w:val="00CF1002"/>
    <w:rsid w:val="00CF166F"/>
    <w:rsid w:val="00CF1C97"/>
    <w:rsid w:val="00CF2BCF"/>
    <w:rsid w:val="00CF32AD"/>
    <w:rsid w:val="00CF32C6"/>
    <w:rsid w:val="00CF3B53"/>
    <w:rsid w:val="00CF59B0"/>
    <w:rsid w:val="00D01E7A"/>
    <w:rsid w:val="00D02A58"/>
    <w:rsid w:val="00D03D41"/>
    <w:rsid w:val="00D0621C"/>
    <w:rsid w:val="00D068DE"/>
    <w:rsid w:val="00D07B4C"/>
    <w:rsid w:val="00D11E60"/>
    <w:rsid w:val="00D11E70"/>
    <w:rsid w:val="00D1393C"/>
    <w:rsid w:val="00D147E6"/>
    <w:rsid w:val="00D151F0"/>
    <w:rsid w:val="00D1556E"/>
    <w:rsid w:val="00D1565A"/>
    <w:rsid w:val="00D16E93"/>
    <w:rsid w:val="00D21159"/>
    <w:rsid w:val="00D22A12"/>
    <w:rsid w:val="00D23DEF"/>
    <w:rsid w:val="00D26DEC"/>
    <w:rsid w:val="00D26FEC"/>
    <w:rsid w:val="00D311C2"/>
    <w:rsid w:val="00D327DA"/>
    <w:rsid w:val="00D33AF6"/>
    <w:rsid w:val="00D351C2"/>
    <w:rsid w:val="00D37395"/>
    <w:rsid w:val="00D37FC7"/>
    <w:rsid w:val="00D40D04"/>
    <w:rsid w:val="00D41C74"/>
    <w:rsid w:val="00D4299F"/>
    <w:rsid w:val="00D43A77"/>
    <w:rsid w:val="00D43D3B"/>
    <w:rsid w:val="00D46B89"/>
    <w:rsid w:val="00D47A3C"/>
    <w:rsid w:val="00D502BE"/>
    <w:rsid w:val="00D503EF"/>
    <w:rsid w:val="00D52B74"/>
    <w:rsid w:val="00D52CCB"/>
    <w:rsid w:val="00D52DDA"/>
    <w:rsid w:val="00D53681"/>
    <w:rsid w:val="00D542DE"/>
    <w:rsid w:val="00D55704"/>
    <w:rsid w:val="00D5739C"/>
    <w:rsid w:val="00D57683"/>
    <w:rsid w:val="00D60133"/>
    <w:rsid w:val="00D60BBA"/>
    <w:rsid w:val="00D612F8"/>
    <w:rsid w:val="00D643BB"/>
    <w:rsid w:val="00D647CD"/>
    <w:rsid w:val="00D65069"/>
    <w:rsid w:val="00D72384"/>
    <w:rsid w:val="00D72676"/>
    <w:rsid w:val="00D733B4"/>
    <w:rsid w:val="00D73499"/>
    <w:rsid w:val="00D739F1"/>
    <w:rsid w:val="00D7614C"/>
    <w:rsid w:val="00D80965"/>
    <w:rsid w:val="00D81E8D"/>
    <w:rsid w:val="00D82F82"/>
    <w:rsid w:val="00D8344C"/>
    <w:rsid w:val="00D83F92"/>
    <w:rsid w:val="00D85207"/>
    <w:rsid w:val="00D86721"/>
    <w:rsid w:val="00D9083A"/>
    <w:rsid w:val="00D90BAA"/>
    <w:rsid w:val="00D90F23"/>
    <w:rsid w:val="00D90F86"/>
    <w:rsid w:val="00D91795"/>
    <w:rsid w:val="00D92302"/>
    <w:rsid w:val="00D92EA6"/>
    <w:rsid w:val="00D935A8"/>
    <w:rsid w:val="00D935B0"/>
    <w:rsid w:val="00D93A31"/>
    <w:rsid w:val="00D96A4E"/>
    <w:rsid w:val="00D973C6"/>
    <w:rsid w:val="00DA228C"/>
    <w:rsid w:val="00DA3FB3"/>
    <w:rsid w:val="00DA574A"/>
    <w:rsid w:val="00DB010F"/>
    <w:rsid w:val="00DB29DB"/>
    <w:rsid w:val="00DB6B99"/>
    <w:rsid w:val="00DC0020"/>
    <w:rsid w:val="00DC09D2"/>
    <w:rsid w:val="00DC0F33"/>
    <w:rsid w:val="00DC2273"/>
    <w:rsid w:val="00DC3211"/>
    <w:rsid w:val="00DC3D3C"/>
    <w:rsid w:val="00DC7B7C"/>
    <w:rsid w:val="00DC7C6A"/>
    <w:rsid w:val="00DC7F1D"/>
    <w:rsid w:val="00DD3583"/>
    <w:rsid w:val="00DD3BDB"/>
    <w:rsid w:val="00DD4020"/>
    <w:rsid w:val="00DD411B"/>
    <w:rsid w:val="00DD5C54"/>
    <w:rsid w:val="00DD6EB5"/>
    <w:rsid w:val="00DE0DAB"/>
    <w:rsid w:val="00DE2B81"/>
    <w:rsid w:val="00DE2E4A"/>
    <w:rsid w:val="00DE51C2"/>
    <w:rsid w:val="00DE6419"/>
    <w:rsid w:val="00DE6544"/>
    <w:rsid w:val="00DE6B6B"/>
    <w:rsid w:val="00DE7883"/>
    <w:rsid w:val="00DF24B6"/>
    <w:rsid w:val="00DF2524"/>
    <w:rsid w:val="00DF2609"/>
    <w:rsid w:val="00DF3431"/>
    <w:rsid w:val="00DF5A62"/>
    <w:rsid w:val="00DF7D42"/>
    <w:rsid w:val="00E00511"/>
    <w:rsid w:val="00E01BE9"/>
    <w:rsid w:val="00E02BFD"/>
    <w:rsid w:val="00E053D0"/>
    <w:rsid w:val="00E05F4E"/>
    <w:rsid w:val="00E06BFF"/>
    <w:rsid w:val="00E07647"/>
    <w:rsid w:val="00E12112"/>
    <w:rsid w:val="00E1266E"/>
    <w:rsid w:val="00E12A7C"/>
    <w:rsid w:val="00E141D8"/>
    <w:rsid w:val="00E16060"/>
    <w:rsid w:val="00E1659A"/>
    <w:rsid w:val="00E2150C"/>
    <w:rsid w:val="00E235B1"/>
    <w:rsid w:val="00E25B0F"/>
    <w:rsid w:val="00E25D98"/>
    <w:rsid w:val="00E26AAA"/>
    <w:rsid w:val="00E31828"/>
    <w:rsid w:val="00E31B36"/>
    <w:rsid w:val="00E32DF0"/>
    <w:rsid w:val="00E33581"/>
    <w:rsid w:val="00E335FD"/>
    <w:rsid w:val="00E33C96"/>
    <w:rsid w:val="00E33FC4"/>
    <w:rsid w:val="00E347FD"/>
    <w:rsid w:val="00E4273D"/>
    <w:rsid w:val="00E430DD"/>
    <w:rsid w:val="00E44F65"/>
    <w:rsid w:val="00E4500D"/>
    <w:rsid w:val="00E4568F"/>
    <w:rsid w:val="00E4570E"/>
    <w:rsid w:val="00E50094"/>
    <w:rsid w:val="00E50E8E"/>
    <w:rsid w:val="00E5128C"/>
    <w:rsid w:val="00E51F93"/>
    <w:rsid w:val="00E528C7"/>
    <w:rsid w:val="00E53F1E"/>
    <w:rsid w:val="00E5448D"/>
    <w:rsid w:val="00E5799C"/>
    <w:rsid w:val="00E640CD"/>
    <w:rsid w:val="00E675A9"/>
    <w:rsid w:val="00E67CED"/>
    <w:rsid w:val="00E719D6"/>
    <w:rsid w:val="00E73AB1"/>
    <w:rsid w:val="00E73B2D"/>
    <w:rsid w:val="00E745AA"/>
    <w:rsid w:val="00E75E72"/>
    <w:rsid w:val="00E76B53"/>
    <w:rsid w:val="00E76E97"/>
    <w:rsid w:val="00E76F04"/>
    <w:rsid w:val="00E770BA"/>
    <w:rsid w:val="00E77F8B"/>
    <w:rsid w:val="00E81CF6"/>
    <w:rsid w:val="00E83BFE"/>
    <w:rsid w:val="00E843B7"/>
    <w:rsid w:val="00E86D9C"/>
    <w:rsid w:val="00E92D58"/>
    <w:rsid w:val="00E96715"/>
    <w:rsid w:val="00E9680A"/>
    <w:rsid w:val="00E9709B"/>
    <w:rsid w:val="00EA068E"/>
    <w:rsid w:val="00EA3E6C"/>
    <w:rsid w:val="00EB0603"/>
    <w:rsid w:val="00EB27C1"/>
    <w:rsid w:val="00EB40BE"/>
    <w:rsid w:val="00EB5EA2"/>
    <w:rsid w:val="00EC02B4"/>
    <w:rsid w:val="00EC19B2"/>
    <w:rsid w:val="00EC1B1C"/>
    <w:rsid w:val="00EC1DBA"/>
    <w:rsid w:val="00EC294A"/>
    <w:rsid w:val="00EC30CD"/>
    <w:rsid w:val="00EC42C6"/>
    <w:rsid w:val="00EC4D25"/>
    <w:rsid w:val="00EC67EB"/>
    <w:rsid w:val="00EC7D5B"/>
    <w:rsid w:val="00ED01AA"/>
    <w:rsid w:val="00ED05AA"/>
    <w:rsid w:val="00ED1A5E"/>
    <w:rsid w:val="00ED26D2"/>
    <w:rsid w:val="00ED327B"/>
    <w:rsid w:val="00ED3432"/>
    <w:rsid w:val="00EE0858"/>
    <w:rsid w:val="00EE1700"/>
    <w:rsid w:val="00EE2A51"/>
    <w:rsid w:val="00EE58C2"/>
    <w:rsid w:val="00EE5989"/>
    <w:rsid w:val="00EF0D39"/>
    <w:rsid w:val="00EF3094"/>
    <w:rsid w:val="00EF30EB"/>
    <w:rsid w:val="00EF4F20"/>
    <w:rsid w:val="00EF5C4D"/>
    <w:rsid w:val="00EF5FB2"/>
    <w:rsid w:val="00F008C2"/>
    <w:rsid w:val="00F01DF4"/>
    <w:rsid w:val="00F04472"/>
    <w:rsid w:val="00F05802"/>
    <w:rsid w:val="00F06084"/>
    <w:rsid w:val="00F1029E"/>
    <w:rsid w:val="00F13166"/>
    <w:rsid w:val="00F13291"/>
    <w:rsid w:val="00F13A1E"/>
    <w:rsid w:val="00F15A69"/>
    <w:rsid w:val="00F15DD0"/>
    <w:rsid w:val="00F21FDD"/>
    <w:rsid w:val="00F22391"/>
    <w:rsid w:val="00F238E8"/>
    <w:rsid w:val="00F25CC2"/>
    <w:rsid w:val="00F26611"/>
    <w:rsid w:val="00F32038"/>
    <w:rsid w:val="00F321CD"/>
    <w:rsid w:val="00F33C2D"/>
    <w:rsid w:val="00F3464B"/>
    <w:rsid w:val="00F36B2F"/>
    <w:rsid w:val="00F37600"/>
    <w:rsid w:val="00F4025F"/>
    <w:rsid w:val="00F4784A"/>
    <w:rsid w:val="00F47C6C"/>
    <w:rsid w:val="00F5151F"/>
    <w:rsid w:val="00F516D1"/>
    <w:rsid w:val="00F518BA"/>
    <w:rsid w:val="00F52117"/>
    <w:rsid w:val="00F5253E"/>
    <w:rsid w:val="00F5302A"/>
    <w:rsid w:val="00F53CE5"/>
    <w:rsid w:val="00F53FB1"/>
    <w:rsid w:val="00F60B8A"/>
    <w:rsid w:val="00F61C49"/>
    <w:rsid w:val="00F62335"/>
    <w:rsid w:val="00F62416"/>
    <w:rsid w:val="00F62D56"/>
    <w:rsid w:val="00F63F6F"/>
    <w:rsid w:val="00F65583"/>
    <w:rsid w:val="00F71719"/>
    <w:rsid w:val="00F72C0C"/>
    <w:rsid w:val="00F732CB"/>
    <w:rsid w:val="00F76972"/>
    <w:rsid w:val="00F80798"/>
    <w:rsid w:val="00F81675"/>
    <w:rsid w:val="00F81D30"/>
    <w:rsid w:val="00F8310B"/>
    <w:rsid w:val="00F8336D"/>
    <w:rsid w:val="00F8398B"/>
    <w:rsid w:val="00F83E50"/>
    <w:rsid w:val="00F852AB"/>
    <w:rsid w:val="00F85CB7"/>
    <w:rsid w:val="00F930B9"/>
    <w:rsid w:val="00F93E04"/>
    <w:rsid w:val="00F96062"/>
    <w:rsid w:val="00F96405"/>
    <w:rsid w:val="00F96758"/>
    <w:rsid w:val="00FA0961"/>
    <w:rsid w:val="00FA1944"/>
    <w:rsid w:val="00FA345B"/>
    <w:rsid w:val="00FA349D"/>
    <w:rsid w:val="00FA35F8"/>
    <w:rsid w:val="00FA366A"/>
    <w:rsid w:val="00FB11F1"/>
    <w:rsid w:val="00FB12A1"/>
    <w:rsid w:val="00FB4BF9"/>
    <w:rsid w:val="00FC074D"/>
    <w:rsid w:val="00FC1808"/>
    <w:rsid w:val="00FC42A4"/>
    <w:rsid w:val="00FC48DF"/>
    <w:rsid w:val="00FC5C23"/>
    <w:rsid w:val="00FD409A"/>
    <w:rsid w:val="00FD51E2"/>
    <w:rsid w:val="00FD6A53"/>
    <w:rsid w:val="00FD6E68"/>
    <w:rsid w:val="00FD7779"/>
    <w:rsid w:val="00FD782C"/>
    <w:rsid w:val="00FE6CA5"/>
    <w:rsid w:val="00FE6E62"/>
    <w:rsid w:val="00FE77CD"/>
    <w:rsid w:val="00FE785F"/>
    <w:rsid w:val="00FF00A7"/>
    <w:rsid w:val="00FF05E0"/>
    <w:rsid w:val="00FF193A"/>
    <w:rsid w:val="00FF19BA"/>
    <w:rsid w:val="00FF1C40"/>
    <w:rsid w:val="00FF61E6"/>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5A45"/>
  </w:style>
  <w:style w:type="paragraph" w:styleId="Heading1">
    <w:name w:val="heading 1"/>
    <w:basedOn w:val="Normal"/>
    <w:next w:val="Normal"/>
    <w:link w:val="Heading1Char"/>
    <w:uiPriority w:val="9"/>
    <w:qFormat/>
    <w:rsid w:val="00165A45"/>
    <w:pPr>
      <w:keepNext/>
      <w:keepLines/>
      <w:spacing w:before="120" w:after="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5A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5A4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65A4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65A4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65A4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65A4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5A45"/>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65A4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165A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List">
    <w:name w:val="List"/>
    <w:basedOn w:val="Normal"/>
    <w:rsid w:val="005F0D17"/>
    <w:pPr>
      <w:ind w:left="283" w:hanging="283"/>
      <w:contextualSpacing/>
    </w:pPr>
  </w:style>
  <w:style w:type="paragraph" w:customStyle="1" w:styleId="NormSpace">
    <w:name w:val="Norm+ Space"/>
    <w:basedOn w:val="Normal"/>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qFormat/>
    <w:rsid w:val="00165A45"/>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uiPriority w:val="99"/>
    <w:rsid w:val="000D7C65"/>
    <w:rPr>
      <w:color w:val="0000FF" w:themeColor="hyperlink"/>
      <w:u w:val="single"/>
    </w:rPr>
  </w:style>
  <w:style w:type="paragraph" w:customStyle="1" w:styleId="ListBSpace">
    <w:name w:val="List B Space"/>
    <w:basedOn w:val="ListBulle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table" w:styleId="TableClassic2">
    <w:name w:val="Table Classic 2"/>
    <w:basedOn w:val="TableNormal"/>
    <w:rsid w:val="00050B9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rsid w:val="00050B9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050B9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050B9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b">
    <w:name w:val="b"/>
    <w:basedOn w:val="DefaultParagraphFont"/>
    <w:rsid w:val="00254A49"/>
  </w:style>
  <w:style w:type="character" w:customStyle="1" w:styleId="Heading1Char">
    <w:name w:val="Heading 1 Char"/>
    <w:basedOn w:val="DefaultParagraphFont"/>
    <w:link w:val="Heading1"/>
    <w:uiPriority w:val="9"/>
    <w:rsid w:val="00165A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5A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5A4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65A4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65A4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65A4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65A4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5A4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65A4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65A45"/>
    <w:rPr>
      <w:b/>
      <w:bCs/>
      <w:color w:val="4F81BD" w:themeColor="accent1"/>
      <w:sz w:val="18"/>
      <w:szCs w:val="18"/>
    </w:rPr>
  </w:style>
  <w:style w:type="character" w:customStyle="1" w:styleId="TitleChar">
    <w:name w:val="Title Char"/>
    <w:basedOn w:val="DefaultParagraphFont"/>
    <w:link w:val="Title"/>
    <w:uiPriority w:val="10"/>
    <w:rsid w:val="00165A4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65A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5A4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65A45"/>
    <w:rPr>
      <w:b/>
      <w:bCs/>
    </w:rPr>
  </w:style>
  <w:style w:type="character" w:styleId="Emphasis">
    <w:name w:val="Emphasis"/>
    <w:basedOn w:val="DefaultParagraphFont"/>
    <w:uiPriority w:val="20"/>
    <w:qFormat/>
    <w:rsid w:val="00165A45"/>
    <w:rPr>
      <w:i/>
      <w:iCs/>
    </w:rPr>
  </w:style>
  <w:style w:type="paragraph" w:styleId="NoSpacing">
    <w:name w:val="No Spacing"/>
    <w:uiPriority w:val="1"/>
    <w:qFormat/>
    <w:rsid w:val="00165A45"/>
  </w:style>
  <w:style w:type="paragraph" w:styleId="Quote">
    <w:name w:val="Quote"/>
    <w:basedOn w:val="Normal"/>
    <w:next w:val="Normal"/>
    <w:link w:val="QuoteChar"/>
    <w:uiPriority w:val="29"/>
    <w:qFormat/>
    <w:rsid w:val="00165A45"/>
    <w:rPr>
      <w:i/>
      <w:iCs/>
      <w:color w:val="000000" w:themeColor="text1"/>
    </w:rPr>
  </w:style>
  <w:style w:type="character" w:customStyle="1" w:styleId="QuoteChar">
    <w:name w:val="Quote Char"/>
    <w:basedOn w:val="DefaultParagraphFont"/>
    <w:link w:val="Quote"/>
    <w:uiPriority w:val="29"/>
    <w:rsid w:val="00165A45"/>
    <w:rPr>
      <w:i/>
      <w:iCs/>
      <w:color w:val="000000" w:themeColor="text1"/>
    </w:rPr>
  </w:style>
  <w:style w:type="paragraph" w:styleId="IntenseQuote">
    <w:name w:val="Intense Quote"/>
    <w:basedOn w:val="Normal"/>
    <w:next w:val="Normal"/>
    <w:link w:val="IntenseQuoteChar"/>
    <w:uiPriority w:val="30"/>
    <w:qFormat/>
    <w:rsid w:val="00165A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65A45"/>
    <w:rPr>
      <w:b/>
      <w:bCs/>
      <w:i/>
      <w:iCs/>
      <w:color w:val="4F81BD" w:themeColor="accent1"/>
    </w:rPr>
  </w:style>
  <w:style w:type="character" w:styleId="SubtleEmphasis">
    <w:name w:val="Subtle Emphasis"/>
    <w:basedOn w:val="DefaultParagraphFont"/>
    <w:uiPriority w:val="19"/>
    <w:qFormat/>
    <w:rsid w:val="00165A45"/>
    <w:rPr>
      <w:i/>
      <w:iCs/>
      <w:color w:val="808080" w:themeColor="text1" w:themeTint="7F"/>
    </w:rPr>
  </w:style>
  <w:style w:type="character" w:styleId="IntenseEmphasis">
    <w:name w:val="Intense Emphasis"/>
    <w:basedOn w:val="DefaultParagraphFont"/>
    <w:uiPriority w:val="21"/>
    <w:qFormat/>
    <w:rsid w:val="00165A45"/>
    <w:rPr>
      <w:b/>
      <w:bCs/>
      <w:i/>
      <w:iCs/>
      <w:color w:val="4F81BD" w:themeColor="accent1"/>
    </w:rPr>
  </w:style>
  <w:style w:type="character" w:styleId="SubtleReference">
    <w:name w:val="Subtle Reference"/>
    <w:basedOn w:val="DefaultParagraphFont"/>
    <w:uiPriority w:val="31"/>
    <w:qFormat/>
    <w:rsid w:val="00165A45"/>
    <w:rPr>
      <w:smallCaps/>
      <w:color w:val="C0504D" w:themeColor="accent2"/>
      <w:u w:val="single"/>
    </w:rPr>
  </w:style>
  <w:style w:type="character" w:styleId="IntenseReference">
    <w:name w:val="Intense Reference"/>
    <w:basedOn w:val="DefaultParagraphFont"/>
    <w:uiPriority w:val="32"/>
    <w:qFormat/>
    <w:rsid w:val="00165A45"/>
    <w:rPr>
      <w:b/>
      <w:bCs/>
      <w:smallCaps/>
      <w:color w:val="C0504D" w:themeColor="accent2"/>
      <w:spacing w:val="5"/>
      <w:u w:val="single"/>
    </w:rPr>
  </w:style>
  <w:style w:type="character" w:styleId="BookTitle">
    <w:name w:val="Book Title"/>
    <w:basedOn w:val="DefaultParagraphFont"/>
    <w:uiPriority w:val="33"/>
    <w:qFormat/>
    <w:rsid w:val="00165A45"/>
    <w:rPr>
      <w:b/>
      <w:bCs/>
      <w:smallCaps/>
      <w:spacing w:val="5"/>
    </w:rPr>
  </w:style>
  <w:style w:type="paragraph" w:styleId="TOCHeading">
    <w:name w:val="TOC Heading"/>
    <w:basedOn w:val="Heading1"/>
    <w:next w:val="Normal"/>
    <w:uiPriority w:val="39"/>
    <w:semiHidden/>
    <w:unhideWhenUsed/>
    <w:qFormat/>
    <w:rsid w:val="00165A45"/>
    <w:pPr>
      <w:outlineLvl w:val="9"/>
    </w:pPr>
  </w:style>
  <w:style w:type="paragraph" w:styleId="TOC1">
    <w:name w:val="toc 1"/>
    <w:basedOn w:val="Normal"/>
    <w:next w:val="Normal"/>
    <w:autoRedefine/>
    <w:uiPriority w:val="39"/>
    <w:rsid w:val="00EA3E6C"/>
    <w:pPr>
      <w:spacing w:after="100"/>
    </w:pPr>
  </w:style>
  <w:style w:type="paragraph" w:styleId="TOC2">
    <w:name w:val="toc 2"/>
    <w:basedOn w:val="Normal"/>
    <w:next w:val="Normal"/>
    <w:autoRedefine/>
    <w:uiPriority w:val="39"/>
    <w:rsid w:val="00EA3E6C"/>
    <w:pPr>
      <w:spacing w:after="100"/>
      <w:ind w:left="220"/>
    </w:pPr>
  </w:style>
  <w:style w:type="paragraph" w:styleId="TOC3">
    <w:name w:val="toc 3"/>
    <w:basedOn w:val="Normal"/>
    <w:next w:val="Normal"/>
    <w:autoRedefine/>
    <w:uiPriority w:val="39"/>
    <w:rsid w:val="00EA3E6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5A45"/>
  </w:style>
  <w:style w:type="paragraph" w:styleId="Heading1">
    <w:name w:val="heading 1"/>
    <w:basedOn w:val="Normal"/>
    <w:next w:val="Normal"/>
    <w:link w:val="Heading1Char"/>
    <w:uiPriority w:val="9"/>
    <w:qFormat/>
    <w:rsid w:val="00165A45"/>
    <w:pPr>
      <w:keepNext/>
      <w:keepLines/>
      <w:spacing w:before="120" w:after="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5A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5A4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65A4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65A4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65A4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65A4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5A45"/>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65A4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165A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List">
    <w:name w:val="List"/>
    <w:basedOn w:val="Normal"/>
    <w:rsid w:val="005F0D17"/>
    <w:pPr>
      <w:ind w:left="283" w:hanging="283"/>
      <w:contextualSpacing/>
    </w:pPr>
  </w:style>
  <w:style w:type="paragraph" w:customStyle="1" w:styleId="NormSpace">
    <w:name w:val="Norm+ Space"/>
    <w:basedOn w:val="Normal"/>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qFormat/>
    <w:rsid w:val="00165A45"/>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uiPriority w:val="99"/>
    <w:rsid w:val="000D7C65"/>
    <w:rPr>
      <w:color w:val="0000FF" w:themeColor="hyperlink"/>
      <w:u w:val="single"/>
    </w:rPr>
  </w:style>
  <w:style w:type="paragraph" w:customStyle="1" w:styleId="ListBSpace">
    <w:name w:val="List B Space"/>
    <w:basedOn w:val="ListBulle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table" w:styleId="TableClassic2">
    <w:name w:val="Table Classic 2"/>
    <w:basedOn w:val="TableNormal"/>
    <w:rsid w:val="00050B9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rsid w:val="00050B9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050B9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050B9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b">
    <w:name w:val="b"/>
    <w:basedOn w:val="DefaultParagraphFont"/>
    <w:rsid w:val="00254A49"/>
  </w:style>
  <w:style w:type="character" w:customStyle="1" w:styleId="Heading1Char">
    <w:name w:val="Heading 1 Char"/>
    <w:basedOn w:val="DefaultParagraphFont"/>
    <w:link w:val="Heading1"/>
    <w:uiPriority w:val="9"/>
    <w:rsid w:val="00165A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5A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5A4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65A4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65A4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65A4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65A4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5A4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65A4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65A45"/>
    <w:rPr>
      <w:b/>
      <w:bCs/>
      <w:color w:val="4F81BD" w:themeColor="accent1"/>
      <w:sz w:val="18"/>
      <w:szCs w:val="18"/>
    </w:rPr>
  </w:style>
  <w:style w:type="character" w:customStyle="1" w:styleId="TitleChar">
    <w:name w:val="Title Char"/>
    <w:basedOn w:val="DefaultParagraphFont"/>
    <w:link w:val="Title"/>
    <w:uiPriority w:val="10"/>
    <w:rsid w:val="00165A4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65A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5A4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65A45"/>
    <w:rPr>
      <w:b/>
      <w:bCs/>
    </w:rPr>
  </w:style>
  <w:style w:type="character" w:styleId="Emphasis">
    <w:name w:val="Emphasis"/>
    <w:basedOn w:val="DefaultParagraphFont"/>
    <w:uiPriority w:val="20"/>
    <w:qFormat/>
    <w:rsid w:val="00165A45"/>
    <w:rPr>
      <w:i/>
      <w:iCs/>
    </w:rPr>
  </w:style>
  <w:style w:type="paragraph" w:styleId="NoSpacing">
    <w:name w:val="No Spacing"/>
    <w:uiPriority w:val="1"/>
    <w:qFormat/>
    <w:rsid w:val="00165A45"/>
  </w:style>
  <w:style w:type="paragraph" w:styleId="Quote">
    <w:name w:val="Quote"/>
    <w:basedOn w:val="Normal"/>
    <w:next w:val="Normal"/>
    <w:link w:val="QuoteChar"/>
    <w:uiPriority w:val="29"/>
    <w:qFormat/>
    <w:rsid w:val="00165A45"/>
    <w:rPr>
      <w:i/>
      <w:iCs/>
      <w:color w:val="000000" w:themeColor="text1"/>
    </w:rPr>
  </w:style>
  <w:style w:type="character" w:customStyle="1" w:styleId="QuoteChar">
    <w:name w:val="Quote Char"/>
    <w:basedOn w:val="DefaultParagraphFont"/>
    <w:link w:val="Quote"/>
    <w:uiPriority w:val="29"/>
    <w:rsid w:val="00165A45"/>
    <w:rPr>
      <w:i/>
      <w:iCs/>
      <w:color w:val="000000" w:themeColor="text1"/>
    </w:rPr>
  </w:style>
  <w:style w:type="paragraph" w:styleId="IntenseQuote">
    <w:name w:val="Intense Quote"/>
    <w:basedOn w:val="Normal"/>
    <w:next w:val="Normal"/>
    <w:link w:val="IntenseQuoteChar"/>
    <w:uiPriority w:val="30"/>
    <w:qFormat/>
    <w:rsid w:val="00165A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65A45"/>
    <w:rPr>
      <w:b/>
      <w:bCs/>
      <w:i/>
      <w:iCs/>
      <w:color w:val="4F81BD" w:themeColor="accent1"/>
    </w:rPr>
  </w:style>
  <w:style w:type="character" w:styleId="SubtleEmphasis">
    <w:name w:val="Subtle Emphasis"/>
    <w:basedOn w:val="DefaultParagraphFont"/>
    <w:uiPriority w:val="19"/>
    <w:qFormat/>
    <w:rsid w:val="00165A45"/>
    <w:rPr>
      <w:i/>
      <w:iCs/>
      <w:color w:val="808080" w:themeColor="text1" w:themeTint="7F"/>
    </w:rPr>
  </w:style>
  <w:style w:type="character" w:styleId="IntenseEmphasis">
    <w:name w:val="Intense Emphasis"/>
    <w:basedOn w:val="DefaultParagraphFont"/>
    <w:uiPriority w:val="21"/>
    <w:qFormat/>
    <w:rsid w:val="00165A45"/>
    <w:rPr>
      <w:b/>
      <w:bCs/>
      <w:i/>
      <w:iCs/>
      <w:color w:val="4F81BD" w:themeColor="accent1"/>
    </w:rPr>
  </w:style>
  <w:style w:type="character" w:styleId="SubtleReference">
    <w:name w:val="Subtle Reference"/>
    <w:basedOn w:val="DefaultParagraphFont"/>
    <w:uiPriority w:val="31"/>
    <w:qFormat/>
    <w:rsid w:val="00165A45"/>
    <w:rPr>
      <w:smallCaps/>
      <w:color w:val="C0504D" w:themeColor="accent2"/>
      <w:u w:val="single"/>
    </w:rPr>
  </w:style>
  <w:style w:type="character" w:styleId="IntenseReference">
    <w:name w:val="Intense Reference"/>
    <w:basedOn w:val="DefaultParagraphFont"/>
    <w:uiPriority w:val="32"/>
    <w:qFormat/>
    <w:rsid w:val="00165A45"/>
    <w:rPr>
      <w:b/>
      <w:bCs/>
      <w:smallCaps/>
      <w:color w:val="C0504D" w:themeColor="accent2"/>
      <w:spacing w:val="5"/>
      <w:u w:val="single"/>
    </w:rPr>
  </w:style>
  <w:style w:type="character" w:styleId="BookTitle">
    <w:name w:val="Book Title"/>
    <w:basedOn w:val="DefaultParagraphFont"/>
    <w:uiPriority w:val="33"/>
    <w:qFormat/>
    <w:rsid w:val="00165A45"/>
    <w:rPr>
      <w:b/>
      <w:bCs/>
      <w:smallCaps/>
      <w:spacing w:val="5"/>
    </w:rPr>
  </w:style>
  <w:style w:type="paragraph" w:styleId="TOCHeading">
    <w:name w:val="TOC Heading"/>
    <w:basedOn w:val="Heading1"/>
    <w:next w:val="Normal"/>
    <w:uiPriority w:val="39"/>
    <w:semiHidden/>
    <w:unhideWhenUsed/>
    <w:qFormat/>
    <w:rsid w:val="00165A45"/>
    <w:pPr>
      <w:outlineLvl w:val="9"/>
    </w:pPr>
  </w:style>
  <w:style w:type="paragraph" w:styleId="TOC1">
    <w:name w:val="toc 1"/>
    <w:basedOn w:val="Normal"/>
    <w:next w:val="Normal"/>
    <w:autoRedefine/>
    <w:uiPriority w:val="39"/>
    <w:rsid w:val="00EA3E6C"/>
    <w:pPr>
      <w:spacing w:after="100"/>
    </w:pPr>
  </w:style>
  <w:style w:type="paragraph" w:styleId="TOC2">
    <w:name w:val="toc 2"/>
    <w:basedOn w:val="Normal"/>
    <w:next w:val="Normal"/>
    <w:autoRedefine/>
    <w:uiPriority w:val="39"/>
    <w:rsid w:val="00EA3E6C"/>
    <w:pPr>
      <w:spacing w:after="100"/>
      <w:ind w:left="220"/>
    </w:pPr>
  </w:style>
  <w:style w:type="paragraph" w:styleId="TOC3">
    <w:name w:val="toc 3"/>
    <w:basedOn w:val="Normal"/>
    <w:next w:val="Normal"/>
    <w:autoRedefine/>
    <w:uiPriority w:val="39"/>
    <w:rsid w:val="00EA3E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43850">
      <w:bodyDiv w:val="1"/>
      <w:marLeft w:val="0"/>
      <w:marRight w:val="0"/>
      <w:marTop w:val="0"/>
      <w:marBottom w:val="0"/>
      <w:divBdr>
        <w:top w:val="none" w:sz="0" w:space="0" w:color="auto"/>
        <w:left w:val="none" w:sz="0" w:space="0" w:color="auto"/>
        <w:bottom w:val="none" w:sz="0" w:space="0" w:color="auto"/>
        <w:right w:val="none" w:sz="0" w:space="0" w:color="auto"/>
      </w:divBdr>
    </w:div>
    <w:div w:id="104152551">
      <w:bodyDiv w:val="1"/>
      <w:marLeft w:val="0"/>
      <w:marRight w:val="0"/>
      <w:marTop w:val="0"/>
      <w:marBottom w:val="0"/>
      <w:divBdr>
        <w:top w:val="none" w:sz="0" w:space="0" w:color="auto"/>
        <w:left w:val="none" w:sz="0" w:space="0" w:color="auto"/>
        <w:bottom w:val="none" w:sz="0" w:space="0" w:color="auto"/>
        <w:right w:val="none" w:sz="0" w:space="0" w:color="auto"/>
      </w:divBdr>
    </w:div>
    <w:div w:id="173345411">
      <w:bodyDiv w:val="1"/>
      <w:marLeft w:val="0"/>
      <w:marRight w:val="0"/>
      <w:marTop w:val="0"/>
      <w:marBottom w:val="0"/>
      <w:divBdr>
        <w:top w:val="none" w:sz="0" w:space="0" w:color="auto"/>
        <w:left w:val="none" w:sz="0" w:space="0" w:color="auto"/>
        <w:bottom w:val="none" w:sz="0" w:space="0" w:color="auto"/>
        <w:right w:val="none" w:sz="0" w:space="0" w:color="auto"/>
      </w:divBdr>
    </w:div>
    <w:div w:id="245918769">
      <w:bodyDiv w:val="1"/>
      <w:marLeft w:val="0"/>
      <w:marRight w:val="0"/>
      <w:marTop w:val="0"/>
      <w:marBottom w:val="0"/>
      <w:divBdr>
        <w:top w:val="none" w:sz="0" w:space="0" w:color="auto"/>
        <w:left w:val="none" w:sz="0" w:space="0" w:color="auto"/>
        <w:bottom w:val="none" w:sz="0" w:space="0" w:color="auto"/>
        <w:right w:val="none" w:sz="0" w:space="0" w:color="auto"/>
      </w:divBdr>
    </w:div>
    <w:div w:id="276916114">
      <w:bodyDiv w:val="1"/>
      <w:marLeft w:val="0"/>
      <w:marRight w:val="0"/>
      <w:marTop w:val="0"/>
      <w:marBottom w:val="0"/>
      <w:divBdr>
        <w:top w:val="none" w:sz="0" w:space="0" w:color="auto"/>
        <w:left w:val="none" w:sz="0" w:space="0" w:color="auto"/>
        <w:bottom w:val="none" w:sz="0" w:space="0" w:color="auto"/>
        <w:right w:val="none" w:sz="0" w:space="0" w:color="auto"/>
      </w:divBdr>
    </w:div>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395325260">
      <w:bodyDiv w:val="1"/>
      <w:marLeft w:val="0"/>
      <w:marRight w:val="0"/>
      <w:marTop w:val="0"/>
      <w:marBottom w:val="0"/>
      <w:divBdr>
        <w:top w:val="none" w:sz="0" w:space="0" w:color="auto"/>
        <w:left w:val="none" w:sz="0" w:space="0" w:color="auto"/>
        <w:bottom w:val="none" w:sz="0" w:space="0" w:color="auto"/>
        <w:right w:val="none" w:sz="0" w:space="0" w:color="auto"/>
      </w:divBdr>
    </w:div>
    <w:div w:id="401100677">
      <w:bodyDiv w:val="1"/>
      <w:marLeft w:val="0"/>
      <w:marRight w:val="0"/>
      <w:marTop w:val="0"/>
      <w:marBottom w:val="0"/>
      <w:divBdr>
        <w:top w:val="none" w:sz="0" w:space="0" w:color="auto"/>
        <w:left w:val="none" w:sz="0" w:space="0" w:color="auto"/>
        <w:bottom w:val="none" w:sz="0" w:space="0" w:color="auto"/>
        <w:right w:val="none" w:sz="0" w:space="0" w:color="auto"/>
      </w:divBdr>
    </w:div>
    <w:div w:id="423383316">
      <w:bodyDiv w:val="1"/>
      <w:marLeft w:val="0"/>
      <w:marRight w:val="0"/>
      <w:marTop w:val="0"/>
      <w:marBottom w:val="0"/>
      <w:divBdr>
        <w:top w:val="none" w:sz="0" w:space="0" w:color="auto"/>
        <w:left w:val="none" w:sz="0" w:space="0" w:color="auto"/>
        <w:bottom w:val="none" w:sz="0" w:space="0" w:color="auto"/>
        <w:right w:val="none" w:sz="0" w:space="0" w:color="auto"/>
      </w:divBdr>
    </w:div>
    <w:div w:id="438332891">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499274155">
      <w:bodyDiv w:val="1"/>
      <w:marLeft w:val="0"/>
      <w:marRight w:val="0"/>
      <w:marTop w:val="0"/>
      <w:marBottom w:val="0"/>
      <w:divBdr>
        <w:top w:val="none" w:sz="0" w:space="0" w:color="auto"/>
        <w:left w:val="none" w:sz="0" w:space="0" w:color="auto"/>
        <w:bottom w:val="none" w:sz="0" w:space="0" w:color="auto"/>
        <w:right w:val="none" w:sz="0" w:space="0" w:color="auto"/>
      </w:divBdr>
    </w:div>
    <w:div w:id="555357979">
      <w:bodyDiv w:val="1"/>
      <w:marLeft w:val="0"/>
      <w:marRight w:val="0"/>
      <w:marTop w:val="0"/>
      <w:marBottom w:val="0"/>
      <w:divBdr>
        <w:top w:val="none" w:sz="0" w:space="0" w:color="auto"/>
        <w:left w:val="none" w:sz="0" w:space="0" w:color="auto"/>
        <w:bottom w:val="none" w:sz="0" w:space="0" w:color="auto"/>
        <w:right w:val="none" w:sz="0" w:space="0" w:color="auto"/>
      </w:divBdr>
    </w:div>
    <w:div w:id="693533340">
      <w:bodyDiv w:val="1"/>
      <w:marLeft w:val="0"/>
      <w:marRight w:val="0"/>
      <w:marTop w:val="0"/>
      <w:marBottom w:val="0"/>
      <w:divBdr>
        <w:top w:val="none" w:sz="0" w:space="0" w:color="auto"/>
        <w:left w:val="none" w:sz="0" w:space="0" w:color="auto"/>
        <w:bottom w:val="none" w:sz="0" w:space="0" w:color="auto"/>
        <w:right w:val="none" w:sz="0" w:space="0" w:color="auto"/>
      </w:divBdr>
    </w:div>
    <w:div w:id="697705528">
      <w:bodyDiv w:val="1"/>
      <w:marLeft w:val="0"/>
      <w:marRight w:val="0"/>
      <w:marTop w:val="0"/>
      <w:marBottom w:val="0"/>
      <w:divBdr>
        <w:top w:val="none" w:sz="0" w:space="0" w:color="auto"/>
        <w:left w:val="none" w:sz="0" w:space="0" w:color="auto"/>
        <w:bottom w:val="none" w:sz="0" w:space="0" w:color="auto"/>
        <w:right w:val="none" w:sz="0" w:space="0" w:color="auto"/>
      </w:divBdr>
    </w:div>
    <w:div w:id="799231742">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103114994">
      <w:bodyDiv w:val="1"/>
      <w:marLeft w:val="0"/>
      <w:marRight w:val="0"/>
      <w:marTop w:val="0"/>
      <w:marBottom w:val="0"/>
      <w:divBdr>
        <w:top w:val="none" w:sz="0" w:space="0" w:color="auto"/>
        <w:left w:val="none" w:sz="0" w:space="0" w:color="auto"/>
        <w:bottom w:val="none" w:sz="0" w:space="0" w:color="auto"/>
        <w:right w:val="none" w:sz="0" w:space="0" w:color="auto"/>
      </w:divBdr>
    </w:div>
    <w:div w:id="1177034200">
      <w:bodyDiv w:val="1"/>
      <w:marLeft w:val="0"/>
      <w:marRight w:val="0"/>
      <w:marTop w:val="0"/>
      <w:marBottom w:val="0"/>
      <w:divBdr>
        <w:top w:val="none" w:sz="0" w:space="0" w:color="auto"/>
        <w:left w:val="none" w:sz="0" w:space="0" w:color="auto"/>
        <w:bottom w:val="none" w:sz="0" w:space="0" w:color="auto"/>
        <w:right w:val="none" w:sz="0" w:space="0" w:color="auto"/>
      </w:divBdr>
    </w:div>
    <w:div w:id="1203444554">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241713319">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 w:id="1382554049">
      <w:bodyDiv w:val="1"/>
      <w:marLeft w:val="0"/>
      <w:marRight w:val="0"/>
      <w:marTop w:val="0"/>
      <w:marBottom w:val="0"/>
      <w:divBdr>
        <w:top w:val="none" w:sz="0" w:space="0" w:color="auto"/>
        <w:left w:val="none" w:sz="0" w:space="0" w:color="auto"/>
        <w:bottom w:val="none" w:sz="0" w:space="0" w:color="auto"/>
        <w:right w:val="none" w:sz="0" w:space="0" w:color="auto"/>
      </w:divBdr>
    </w:div>
    <w:div w:id="1559586420">
      <w:bodyDiv w:val="1"/>
      <w:marLeft w:val="0"/>
      <w:marRight w:val="0"/>
      <w:marTop w:val="0"/>
      <w:marBottom w:val="0"/>
      <w:divBdr>
        <w:top w:val="none" w:sz="0" w:space="0" w:color="auto"/>
        <w:left w:val="none" w:sz="0" w:space="0" w:color="auto"/>
        <w:bottom w:val="none" w:sz="0" w:space="0" w:color="auto"/>
        <w:right w:val="none" w:sz="0" w:space="0" w:color="auto"/>
      </w:divBdr>
    </w:div>
    <w:div w:id="1687780086">
      <w:bodyDiv w:val="1"/>
      <w:marLeft w:val="0"/>
      <w:marRight w:val="0"/>
      <w:marTop w:val="0"/>
      <w:marBottom w:val="0"/>
      <w:divBdr>
        <w:top w:val="none" w:sz="0" w:space="0" w:color="auto"/>
        <w:left w:val="none" w:sz="0" w:space="0" w:color="auto"/>
        <w:bottom w:val="none" w:sz="0" w:space="0" w:color="auto"/>
        <w:right w:val="none" w:sz="0" w:space="0" w:color="auto"/>
      </w:divBdr>
    </w:div>
    <w:div w:id="1692951443">
      <w:bodyDiv w:val="1"/>
      <w:marLeft w:val="0"/>
      <w:marRight w:val="0"/>
      <w:marTop w:val="0"/>
      <w:marBottom w:val="0"/>
      <w:divBdr>
        <w:top w:val="none" w:sz="0" w:space="0" w:color="auto"/>
        <w:left w:val="none" w:sz="0" w:space="0" w:color="auto"/>
        <w:bottom w:val="none" w:sz="0" w:space="0" w:color="auto"/>
        <w:right w:val="none" w:sz="0" w:space="0" w:color="auto"/>
      </w:divBdr>
    </w:div>
    <w:div w:id="1697389499">
      <w:bodyDiv w:val="1"/>
      <w:marLeft w:val="0"/>
      <w:marRight w:val="0"/>
      <w:marTop w:val="0"/>
      <w:marBottom w:val="0"/>
      <w:divBdr>
        <w:top w:val="none" w:sz="0" w:space="0" w:color="auto"/>
        <w:left w:val="none" w:sz="0" w:space="0" w:color="auto"/>
        <w:bottom w:val="none" w:sz="0" w:space="0" w:color="auto"/>
        <w:right w:val="none" w:sz="0" w:space="0" w:color="auto"/>
      </w:divBdr>
    </w:div>
    <w:div w:id="1955945007">
      <w:bodyDiv w:val="1"/>
      <w:marLeft w:val="0"/>
      <w:marRight w:val="0"/>
      <w:marTop w:val="0"/>
      <w:marBottom w:val="0"/>
      <w:divBdr>
        <w:top w:val="none" w:sz="0" w:space="0" w:color="auto"/>
        <w:left w:val="none" w:sz="0" w:space="0" w:color="auto"/>
        <w:bottom w:val="none" w:sz="0" w:space="0" w:color="auto"/>
        <w:right w:val="none" w:sz="0" w:space="0" w:color="auto"/>
      </w:divBdr>
    </w:div>
    <w:div w:id="1964729718">
      <w:bodyDiv w:val="1"/>
      <w:marLeft w:val="0"/>
      <w:marRight w:val="0"/>
      <w:marTop w:val="0"/>
      <w:marBottom w:val="0"/>
      <w:divBdr>
        <w:top w:val="none" w:sz="0" w:space="0" w:color="auto"/>
        <w:left w:val="none" w:sz="0" w:space="0" w:color="auto"/>
        <w:bottom w:val="none" w:sz="0" w:space="0" w:color="auto"/>
        <w:right w:val="none" w:sz="0" w:space="0" w:color="auto"/>
      </w:divBdr>
    </w:div>
    <w:div w:id="2048948142">
      <w:bodyDiv w:val="1"/>
      <w:marLeft w:val="0"/>
      <w:marRight w:val="0"/>
      <w:marTop w:val="0"/>
      <w:marBottom w:val="0"/>
      <w:divBdr>
        <w:top w:val="none" w:sz="0" w:space="0" w:color="auto"/>
        <w:left w:val="none" w:sz="0" w:space="0" w:color="auto"/>
        <w:bottom w:val="none" w:sz="0" w:space="0" w:color="auto"/>
        <w:right w:val="none" w:sz="0" w:space="0" w:color="auto"/>
      </w:divBdr>
    </w:div>
    <w:div w:id="205838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shoeboxed.com/sbx-ho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quickfile.co.uk/help/Receipt_Archiving_with_DropBox_Shoeboxed.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company-wizard.co.uk/" TargetMode="External"/><Relationship Id="rId4" Type="http://schemas.microsoft.com/office/2007/relationships/stylesWithEffects" Target="stylesWithEffects.xml"/><Relationship Id="rId9" Type="http://schemas.openxmlformats.org/officeDocument/2006/relationships/hyperlink" Target="http://www.hmrc.gov.uk/softwaredevelopers/mobile-apps/record-keeping.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32E29-A1E6-4692-B4DB-24AB9679A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Braiins Normal.dot</Template>
  <TotalTime>494</TotalTime>
  <Pages>12</Pages>
  <Words>4985</Words>
  <Characters>28419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Element ID 2953 is huge, and somewhat hard to understand</vt:lpstr>
    </vt:vector>
  </TitlesOfParts>
  <Company>Prosperus Limited</Company>
  <LinksUpToDate>false</LinksUpToDate>
  <CharactersWithSpaces>33338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 ID 2953 is huge, and somewhat hard to understand</dc:title>
  <dc:creator>Charles</dc:creator>
  <cp:lastModifiedBy>Charles</cp:lastModifiedBy>
  <cp:revision>7</cp:revision>
  <cp:lastPrinted>2011-06-15T12:31:00Z</cp:lastPrinted>
  <dcterms:created xsi:type="dcterms:W3CDTF">2012-05-04T10:53:00Z</dcterms:created>
  <dcterms:modified xsi:type="dcterms:W3CDTF">2012-05-04T19:07:00Z</dcterms:modified>
</cp:coreProperties>
</file>