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412" w:rsidRPr="00381985" w:rsidRDefault="00206A8A" w:rsidP="008A5EDB">
      <w:pPr>
        <w:pStyle w:val="Heading0"/>
        <w:spacing w:before="1320"/>
        <w:jc w:val="center"/>
        <w:rPr>
          <w:sz w:val="36"/>
          <w:szCs w:val="36"/>
        </w:rPr>
      </w:pPr>
      <w:r w:rsidRPr="00381985">
        <w:rPr>
          <w:sz w:val="36"/>
          <w:szCs w:val="36"/>
        </w:rPr>
        <w:t xml:space="preserve">XBRL </w:t>
      </w:r>
      <w:smartTag w:uri="urn:schemas-microsoft-com:office:smarttags" w:element="place">
        <w:smartTag w:uri="urn:schemas-microsoft-com:office:smarttags" w:element="country-region">
          <w:r w:rsidRPr="00381985">
            <w:rPr>
              <w:sz w:val="36"/>
              <w:szCs w:val="36"/>
            </w:rPr>
            <w:t>UK</w:t>
          </w:r>
        </w:smartTag>
      </w:smartTag>
      <w:r w:rsidRPr="00381985">
        <w:rPr>
          <w:sz w:val="36"/>
          <w:szCs w:val="36"/>
        </w:rPr>
        <w:t xml:space="preserve"> </w:t>
      </w:r>
      <w:r w:rsidR="00783C37">
        <w:rPr>
          <w:sz w:val="36"/>
          <w:szCs w:val="36"/>
        </w:rPr>
        <w:t>Detailed Tagging Information</w:t>
      </w:r>
    </w:p>
    <w:p w:rsidR="00787412" w:rsidRDefault="005B4709" w:rsidP="008A5EDB">
      <w:pPr>
        <w:spacing w:before="480" w:after="480"/>
        <w:jc w:val="center"/>
      </w:pPr>
      <w:r>
        <w:t xml:space="preserve">Version </w:t>
      </w:r>
      <w:r w:rsidR="0041289E">
        <w:t>1.0,</w:t>
      </w:r>
      <w:r w:rsidR="00697A40">
        <w:t xml:space="preserve"> dated </w:t>
      </w:r>
      <w:r w:rsidR="0041289E">
        <w:t>1 May</w:t>
      </w:r>
      <w:r w:rsidR="002E2117">
        <w:t xml:space="preserve"> 2</w:t>
      </w:r>
      <w:r w:rsidR="00783C37">
        <w:t>011</w:t>
      </w:r>
    </w:p>
    <w:p w:rsidR="00206A8A" w:rsidRPr="000938E3" w:rsidRDefault="00606477" w:rsidP="007C2E56">
      <w:pPr>
        <w:pStyle w:val="HeadingA"/>
        <w:spacing w:after="240"/>
      </w:pPr>
      <w:r>
        <w:t>Summary</w:t>
      </w:r>
    </w:p>
    <w:p w:rsidR="00846371" w:rsidRDefault="000938E3" w:rsidP="00846371">
      <w:pPr>
        <w:rPr>
          <w:rFonts w:cs="Arial"/>
        </w:rPr>
      </w:pPr>
      <w:r>
        <w:rPr>
          <w:rFonts w:cs="Arial"/>
        </w:rPr>
        <w:t>This document</w:t>
      </w:r>
      <w:r w:rsidR="00860B49">
        <w:rPr>
          <w:rFonts w:cs="Arial"/>
        </w:rPr>
        <w:t xml:space="preserve"> provides </w:t>
      </w:r>
      <w:r w:rsidR="00846371">
        <w:rPr>
          <w:rFonts w:cs="Arial"/>
        </w:rPr>
        <w:t>information and advice on detailed tagging issues arising from the use of the XBRL UK accounts taxonomies</w:t>
      </w:r>
      <w:r w:rsidR="00D36872">
        <w:rPr>
          <w:rFonts w:cs="Arial"/>
        </w:rPr>
        <w:t>, dated 2009-09-01</w:t>
      </w:r>
      <w:r w:rsidR="00846371">
        <w:rPr>
          <w:rFonts w:cs="Arial"/>
        </w:rPr>
        <w:t xml:space="preserve">.  </w:t>
      </w:r>
    </w:p>
    <w:p w:rsidR="00846371" w:rsidRDefault="00846371" w:rsidP="00846371">
      <w:pPr>
        <w:rPr>
          <w:rFonts w:cs="Arial"/>
        </w:rPr>
      </w:pPr>
    </w:p>
    <w:p w:rsidR="00860B49" w:rsidRDefault="00846371" w:rsidP="00846371">
      <w:pPr>
        <w:rPr>
          <w:rFonts w:cs="Arial"/>
        </w:rPr>
      </w:pPr>
      <w:r>
        <w:rPr>
          <w:rFonts w:cs="Arial"/>
        </w:rPr>
        <w:t>It supplements the</w:t>
      </w:r>
      <w:r w:rsidRPr="00860B49">
        <w:rPr>
          <w:rFonts w:cs="Arial"/>
          <w:i/>
        </w:rPr>
        <w:t xml:space="preserve"> XBRL UK Preparers and Developers Guide</w:t>
      </w:r>
      <w:r>
        <w:rPr>
          <w:rFonts w:cs="Arial"/>
        </w:rPr>
        <w:t xml:space="preserve">, which provides general </w:t>
      </w:r>
      <w:r w:rsidR="0084068F">
        <w:rPr>
          <w:rFonts w:cs="Arial"/>
        </w:rPr>
        <w:t xml:space="preserve">rules and </w:t>
      </w:r>
      <w:r>
        <w:rPr>
          <w:rFonts w:cs="Arial"/>
        </w:rPr>
        <w:t xml:space="preserve">guidance on the creation of financial reports in XBRL, and </w:t>
      </w:r>
      <w:r w:rsidRPr="00860B49">
        <w:rPr>
          <w:rFonts w:cs="Arial"/>
          <w:i/>
        </w:rPr>
        <w:t>examples</w:t>
      </w:r>
      <w:r>
        <w:rPr>
          <w:rFonts w:cs="Arial"/>
        </w:rPr>
        <w:t xml:space="preserve"> of XBRL tagging</w:t>
      </w:r>
      <w:r w:rsidR="00860B49">
        <w:rPr>
          <w:rFonts w:cs="Arial"/>
        </w:rPr>
        <w:t xml:space="preserve">, published by XBRL </w:t>
      </w:r>
      <w:smartTag w:uri="urn:schemas-microsoft-com:office:smarttags" w:element="place">
        <w:smartTag w:uri="urn:schemas-microsoft-com:office:smarttags" w:element="country-region">
          <w:r w:rsidR="00860B49">
            <w:rPr>
              <w:rFonts w:cs="Arial"/>
            </w:rPr>
            <w:t>UK</w:t>
          </w:r>
        </w:smartTag>
      </w:smartTag>
      <w:r w:rsidR="00860B49">
        <w:rPr>
          <w:rFonts w:cs="Arial"/>
        </w:rPr>
        <w:t xml:space="preserve">.  </w:t>
      </w:r>
    </w:p>
    <w:p w:rsidR="00860B49" w:rsidRDefault="00860B49" w:rsidP="00846371">
      <w:pPr>
        <w:rPr>
          <w:rFonts w:cs="Arial"/>
        </w:rPr>
      </w:pPr>
    </w:p>
    <w:p w:rsidR="00846371" w:rsidRPr="00717F88" w:rsidRDefault="00860B49" w:rsidP="00846371">
      <w:pPr>
        <w:rPr>
          <w:rFonts w:cs="Arial"/>
        </w:rPr>
      </w:pPr>
      <w:r>
        <w:rPr>
          <w:rFonts w:cs="Arial"/>
        </w:rPr>
        <w:t>U</w:t>
      </w:r>
      <w:r w:rsidR="00846371">
        <w:rPr>
          <w:rFonts w:cs="Arial"/>
        </w:rPr>
        <w:t xml:space="preserve">sers of this document should </w:t>
      </w:r>
      <w:r w:rsidR="00846371" w:rsidRPr="00860B49">
        <w:rPr>
          <w:rFonts w:cs="Arial"/>
        </w:rPr>
        <w:t xml:space="preserve">already </w:t>
      </w:r>
      <w:r w:rsidR="00846371">
        <w:rPr>
          <w:rFonts w:cs="Arial"/>
        </w:rPr>
        <w:t xml:space="preserve">be familiar with the main principles of reporting in XBRL and the </w:t>
      </w:r>
      <w:smartTag w:uri="urn:schemas-microsoft-com:office:smarttags" w:element="place">
        <w:smartTag w:uri="urn:schemas-microsoft-com:office:smarttags" w:element="country-region">
          <w:r w:rsidR="00846371">
            <w:rPr>
              <w:rFonts w:cs="Arial"/>
            </w:rPr>
            <w:t>UK</w:t>
          </w:r>
        </w:smartTag>
      </w:smartTag>
      <w:r w:rsidR="00846371">
        <w:rPr>
          <w:rFonts w:cs="Arial"/>
        </w:rPr>
        <w:t xml:space="preserve"> taxonomies.  </w:t>
      </w:r>
    </w:p>
    <w:p w:rsidR="0062607C" w:rsidRDefault="0062607C">
      <w:pPr>
        <w:rPr>
          <w:rFonts w:cs="Arial"/>
        </w:rPr>
      </w:pPr>
    </w:p>
    <w:p w:rsidR="00044CCB" w:rsidRDefault="00044CCB">
      <w:pPr>
        <w:rPr>
          <w:rFonts w:cs="Arial"/>
        </w:rPr>
      </w:pPr>
      <w:r>
        <w:rPr>
          <w:rFonts w:cs="Arial"/>
        </w:rPr>
        <w:t xml:space="preserve">The document is primarily aimed at those involved in manual tagging of accounts and at developers of software for creating reports in XBRL or analysing XBRL data.  </w:t>
      </w:r>
    </w:p>
    <w:p w:rsidR="00044CCB" w:rsidRDefault="00044CCB" w:rsidP="00044CCB">
      <w:pPr>
        <w:rPr>
          <w:rFonts w:cs="Arial"/>
        </w:rPr>
      </w:pPr>
    </w:p>
    <w:p w:rsidR="00044CCB" w:rsidRDefault="00044CCB" w:rsidP="00044CCB">
      <w:pPr>
        <w:rPr>
          <w:rFonts w:cs="Arial"/>
        </w:rPr>
      </w:pPr>
      <w:r>
        <w:rPr>
          <w:rFonts w:cs="Arial"/>
        </w:rPr>
        <w:t>The purpose of the document is to:</w:t>
      </w:r>
    </w:p>
    <w:p w:rsidR="00044CCB" w:rsidRDefault="00044CCB" w:rsidP="00044CCB">
      <w:pPr>
        <w:rPr>
          <w:rFonts w:cs="Arial"/>
        </w:rPr>
      </w:pPr>
    </w:p>
    <w:p w:rsidR="00044CCB" w:rsidRDefault="00044CCB" w:rsidP="00044CCB">
      <w:pPr>
        <w:numPr>
          <w:ilvl w:val="0"/>
          <w:numId w:val="2"/>
        </w:numPr>
      </w:pPr>
      <w:r w:rsidRPr="0062122A">
        <w:t xml:space="preserve">Explain the use of particular tags </w:t>
      </w:r>
      <w:r w:rsidR="00F64803">
        <w:t>and</w:t>
      </w:r>
      <w:r w:rsidRPr="0062122A">
        <w:t xml:space="preserve"> features in the taxonomies which may cause difficulties.</w:t>
      </w:r>
      <w:r>
        <w:t xml:space="preserve"> </w:t>
      </w:r>
    </w:p>
    <w:p w:rsidR="00044CCB" w:rsidRDefault="00044CCB" w:rsidP="00044CCB"/>
    <w:p w:rsidR="00044CCB" w:rsidRDefault="00044CCB" w:rsidP="00044CCB">
      <w:pPr>
        <w:numPr>
          <w:ilvl w:val="0"/>
          <w:numId w:val="2"/>
        </w:numPr>
      </w:pPr>
      <w:r>
        <w:t xml:space="preserve">Explain ambiguities, gaps or errors in the taxonomies and describe tagging solutions to these problems.  </w:t>
      </w:r>
    </w:p>
    <w:p w:rsidR="00044CCB" w:rsidRDefault="00044CCB" w:rsidP="00044CCB"/>
    <w:p w:rsidR="00044CCB" w:rsidRDefault="00044CCB" w:rsidP="00044CCB">
      <w:pPr>
        <w:numPr>
          <w:ilvl w:val="0"/>
          <w:numId w:val="2"/>
        </w:numPr>
        <w:rPr>
          <w:rFonts w:cs="Arial"/>
        </w:rPr>
      </w:pPr>
      <w:r>
        <w:rPr>
          <w:rFonts w:cs="Arial"/>
        </w:rPr>
        <w:t>Answer frequently asked questions raised by users about particular tags or features.</w:t>
      </w:r>
    </w:p>
    <w:p w:rsidR="00044CCB" w:rsidRDefault="00044CCB" w:rsidP="00044CCB">
      <w:pPr>
        <w:rPr>
          <w:rFonts w:cs="Arial"/>
        </w:rPr>
      </w:pPr>
    </w:p>
    <w:p w:rsidR="00044CCB" w:rsidRDefault="00383F3F" w:rsidP="00044CCB">
      <w:r>
        <w:t xml:space="preserve">This document emphasises and elaborates on some rules and principles </w:t>
      </w:r>
      <w:r w:rsidR="00044CCB">
        <w:t>o</w:t>
      </w:r>
      <w:r w:rsidR="00EE2BEF">
        <w:t>f</w:t>
      </w:r>
      <w:r w:rsidR="00044CCB">
        <w:t xml:space="preserve"> tagging</w:t>
      </w:r>
      <w:r>
        <w:t xml:space="preserve"> set out in</w:t>
      </w:r>
      <w:r w:rsidR="00DD2932">
        <w:t xml:space="preserve"> the </w:t>
      </w:r>
      <w:r w:rsidR="00044CCB" w:rsidRPr="00044CCB">
        <w:rPr>
          <w:i/>
        </w:rPr>
        <w:t>Preparers and Developers Guide</w:t>
      </w:r>
      <w:r w:rsidR="00044CCB">
        <w:t xml:space="preserve">.  </w:t>
      </w:r>
      <w:r>
        <w:t xml:space="preserve">It does not supplant any of those rules and nor is it </w:t>
      </w:r>
      <w:r w:rsidR="008A5EDB">
        <w:t xml:space="preserve">a </w:t>
      </w:r>
      <w:r>
        <w:t xml:space="preserve">substitute for that Guide.  Preparers and developers should be familiar with the content of the Guide.  </w:t>
      </w:r>
    </w:p>
    <w:p w:rsidR="00044CCB" w:rsidRDefault="00044CCB" w:rsidP="00044CCB"/>
    <w:p w:rsidR="008A5EDB" w:rsidRDefault="008A5EDB" w:rsidP="00044CCB">
      <w:pPr>
        <w:rPr>
          <w:rFonts w:cs="Arial"/>
        </w:rPr>
      </w:pPr>
      <w:r>
        <w:rPr>
          <w:rFonts w:cs="Arial"/>
        </w:rPr>
        <w:t>It contains separate sections for general issues, the directors’ report, auditors’ report and UK GAAP and IFRS-specific information.</w:t>
      </w:r>
    </w:p>
    <w:p w:rsidR="008A5EDB" w:rsidRDefault="008A5EDB" w:rsidP="00044CCB"/>
    <w:p w:rsidR="00044CCB" w:rsidRDefault="00044CCB" w:rsidP="00044CCB">
      <w:pPr>
        <w:rPr>
          <w:rFonts w:cs="Arial"/>
        </w:rPr>
      </w:pPr>
      <w:r>
        <w:rPr>
          <w:rFonts w:cs="Arial"/>
        </w:rPr>
        <w:t xml:space="preserve">The document may be updated periodically to cover newly raised issues and questions.  </w:t>
      </w:r>
    </w:p>
    <w:p w:rsidR="00241A8A" w:rsidRDefault="00241A8A">
      <w:pPr>
        <w:rPr>
          <w:rFonts w:cs="Arial"/>
        </w:rPr>
      </w:pPr>
    </w:p>
    <w:p w:rsidR="00241A8A" w:rsidRPr="0079012E" w:rsidRDefault="0079012E" w:rsidP="007C2E56">
      <w:pPr>
        <w:pStyle w:val="HeadingA"/>
        <w:spacing w:after="240"/>
      </w:pPr>
      <w:r w:rsidRPr="0079012E">
        <w:t>Status</w:t>
      </w:r>
    </w:p>
    <w:p w:rsidR="00923C4C" w:rsidRDefault="0041289E" w:rsidP="00923C4C">
      <w:pPr>
        <w:rPr>
          <w:rFonts w:cs="Arial"/>
        </w:rPr>
      </w:pPr>
      <w:r>
        <w:rPr>
          <w:rFonts w:cs="Arial"/>
        </w:rPr>
        <w:t xml:space="preserve">This version </w:t>
      </w:r>
      <w:r w:rsidR="00557151">
        <w:rPr>
          <w:rFonts w:cs="Arial"/>
        </w:rPr>
        <w:t xml:space="preserve">is </w:t>
      </w:r>
      <w:r>
        <w:rPr>
          <w:rFonts w:cs="Arial"/>
        </w:rPr>
        <w:t>for general publication</w:t>
      </w:r>
      <w:r w:rsidR="00557151">
        <w:rPr>
          <w:rFonts w:cs="Arial"/>
        </w:rPr>
        <w:t>.  It</w:t>
      </w:r>
      <w:r>
        <w:rPr>
          <w:rFonts w:cs="Arial"/>
        </w:rPr>
        <w:t xml:space="preserve"> reflects comments on a</w:t>
      </w:r>
      <w:r w:rsidR="00557151">
        <w:rPr>
          <w:rFonts w:cs="Arial"/>
        </w:rPr>
        <w:t>n earlier</w:t>
      </w:r>
      <w:r>
        <w:rPr>
          <w:rFonts w:cs="Arial"/>
        </w:rPr>
        <w:t xml:space="preserve"> draft circulated to directly interested parties.  </w:t>
      </w:r>
      <w:r w:rsidR="00842F4D">
        <w:rPr>
          <w:rFonts w:cs="Arial"/>
        </w:rPr>
        <w:t xml:space="preserve">Comments are welcome and should be directed to </w:t>
      </w:r>
      <w:hyperlink r:id="rId7" w:history="1">
        <w:r w:rsidR="00923C4C" w:rsidRPr="003A28CA">
          <w:rPr>
            <w:rStyle w:val="Hyperlink"/>
            <w:rFonts w:cs="Arial"/>
          </w:rPr>
          <w:t>uktech@xbrl.org</w:t>
        </w:r>
      </w:hyperlink>
      <w:r w:rsidR="00923C4C">
        <w:rPr>
          <w:rFonts w:cs="Arial"/>
        </w:rPr>
        <w:t>.</w:t>
      </w:r>
    </w:p>
    <w:p w:rsidR="00923C4C" w:rsidRDefault="00923C4C" w:rsidP="00923C4C">
      <w:pPr>
        <w:rPr>
          <w:rFonts w:cs="Arial"/>
        </w:rPr>
      </w:pPr>
    </w:p>
    <w:p w:rsidR="00EC1AEF" w:rsidRPr="00EC1AEF" w:rsidRDefault="007D7BE6" w:rsidP="0089415A">
      <w:pPr>
        <w:pStyle w:val="Heading0"/>
        <w:spacing w:before="0"/>
        <w:rPr>
          <w:sz w:val="24"/>
          <w:szCs w:val="24"/>
        </w:rPr>
      </w:pPr>
      <w:r>
        <w:rPr>
          <w:sz w:val="24"/>
          <w:szCs w:val="24"/>
        </w:rPr>
        <w:br w:type="page"/>
      </w:r>
      <w:r w:rsidR="00EC1AEF" w:rsidRPr="00EC1AEF">
        <w:rPr>
          <w:sz w:val="24"/>
          <w:szCs w:val="24"/>
        </w:rPr>
        <w:lastRenderedPageBreak/>
        <w:t>TABLE OF CONTENTS</w:t>
      </w:r>
    </w:p>
    <w:p w:rsidR="001D32C0" w:rsidRDefault="001D32C0">
      <w:pPr>
        <w:pStyle w:val="TOC1"/>
        <w:rPr>
          <w:rFonts w:ascii="Times New Roman" w:hAnsi="Times New Roman"/>
          <w:b w:val="0"/>
          <w:sz w:val="24"/>
          <w:szCs w:val="24"/>
          <w:lang w:val="en-US" w:eastAsia="en-US"/>
        </w:rPr>
      </w:pPr>
      <w:r>
        <w:rPr>
          <w:rFonts w:cs="Arial"/>
        </w:rPr>
        <w:fldChar w:fldCharType="begin"/>
      </w:r>
      <w:r>
        <w:rPr>
          <w:rFonts w:cs="Arial"/>
        </w:rPr>
        <w:instrText xml:space="preserve"> TOC \o "1-3" \h \z \u </w:instrText>
      </w:r>
      <w:r>
        <w:rPr>
          <w:rFonts w:cs="Arial"/>
        </w:rPr>
        <w:fldChar w:fldCharType="separate"/>
      </w:r>
      <w:hyperlink w:anchor="_Toc292036818" w:history="1">
        <w:r w:rsidRPr="00D03E44">
          <w:rPr>
            <w:rStyle w:val="Hyperlink"/>
          </w:rPr>
          <w:t>1.</w:t>
        </w:r>
        <w:r>
          <w:rPr>
            <w:rFonts w:ascii="Times New Roman" w:hAnsi="Times New Roman"/>
            <w:b w:val="0"/>
            <w:sz w:val="24"/>
            <w:szCs w:val="24"/>
            <w:lang w:val="en-US" w:eastAsia="en-US"/>
          </w:rPr>
          <w:tab/>
        </w:r>
        <w:r w:rsidRPr="00D03E44">
          <w:rPr>
            <w:rStyle w:val="Hyperlink"/>
          </w:rPr>
          <w:t>Introduction</w:t>
        </w:r>
        <w:r>
          <w:rPr>
            <w:webHidden/>
          </w:rPr>
          <w:tab/>
        </w:r>
        <w:r>
          <w:rPr>
            <w:webHidden/>
          </w:rPr>
          <w:fldChar w:fldCharType="begin"/>
        </w:r>
        <w:r>
          <w:rPr>
            <w:webHidden/>
          </w:rPr>
          <w:instrText xml:space="preserve"> PAGEREF _Toc292036818 \h </w:instrText>
        </w:r>
        <w:r>
          <w:rPr>
            <w:webHidden/>
          </w:rPr>
          <w:fldChar w:fldCharType="separate"/>
        </w:r>
        <w:r w:rsidR="00BA0B16">
          <w:rPr>
            <w:webHidden/>
          </w:rPr>
          <w:t>1</w:t>
        </w:r>
        <w:r>
          <w:rPr>
            <w:webHidden/>
          </w:rPr>
          <w:fldChar w:fldCharType="end"/>
        </w:r>
      </w:hyperlink>
    </w:p>
    <w:p w:rsidR="001D32C0" w:rsidRDefault="001D32C0">
      <w:pPr>
        <w:pStyle w:val="TOC1"/>
        <w:rPr>
          <w:rFonts w:ascii="Times New Roman" w:hAnsi="Times New Roman"/>
          <w:b w:val="0"/>
          <w:sz w:val="24"/>
          <w:szCs w:val="24"/>
          <w:lang w:val="en-US" w:eastAsia="en-US"/>
        </w:rPr>
      </w:pPr>
      <w:hyperlink w:anchor="_Toc292036819" w:history="1">
        <w:r w:rsidRPr="00D03E44">
          <w:rPr>
            <w:rStyle w:val="Hyperlink"/>
          </w:rPr>
          <w:t>2.</w:t>
        </w:r>
        <w:r>
          <w:rPr>
            <w:rFonts w:ascii="Times New Roman" w:hAnsi="Times New Roman"/>
            <w:b w:val="0"/>
            <w:sz w:val="24"/>
            <w:szCs w:val="24"/>
            <w:lang w:val="en-US" w:eastAsia="en-US"/>
          </w:rPr>
          <w:tab/>
        </w:r>
        <w:r w:rsidRPr="00D03E44">
          <w:rPr>
            <w:rStyle w:val="Hyperlink"/>
          </w:rPr>
          <w:t>Organisation of the document</w:t>
        </w:r>
        <w:r>
          <w:rPr>
            <w:webHidden/>
          </w:rPr>
          <w:tab/>
        </w:r>
        <w:r>
          <w:rPr>
            <w:webHidden/>
          </w:rPr>
          <w:fldChar w:fldCharType="begin"/>
        </w:r>
        <w:r>
          <w:rPr>
            <w:webHidden/>
          </w:rPr>
          <w:instrText xml:space="preserve"> PAGEREF _Toc292036819 \h </w:instrText>
        </w:r>
        <w:r>
          <w:rPr>
            <w:webHidden/>
          </w:rPr>
          <w:fldChar w:fldCharType="separate"/>
        </w:r>
        <w:r w:rsidR="00BA0B16">
          <w:rPr>
            <w:webHidden/>
          </w:rPr>
          <w:t>2</w:t>
        </w:r>
        <w:r>
          <w:rPr>
            <w:webHidden/>
          </w:rPr>
          <w:fldChar w:fldCharType="end"/>
        </w:r>
      </w:hyperlink>
    </w:p>
    <w:p w:rsidR="001D32C0" w:rsidRDefault="001D32C0">
      <w:pPr>
        <w:pStyle w:val="TOC1"/>
        <w:rPr>
          <w:rFonts w:ascii="Times New Roman" w:hAnsi="Times New Roman"/>
          <w:b w:val="0"/>
          <w:sz w:val="24"/>
          <w:szCs w:val="24"/>
          <w:lang w:val="en-US" w:eastAsia="en-US"/>
        </w:rPr>
      </w:pPr>
      <w:hyperlink w:anchor="_Toc292036820" w:history="1">
        <w:r w:rsidRPr="00D03E44">
          <w:rPr>
            <w:rStyle w:val="Hyperlink"/>
          </w:rPr>
          <w:t>3</w:t>
        </w:r>
        <w:r>
          <w:rPr>
            <w:rFonts w:ascii="Times New Roman" w:hAnsi="Times New Roman"/>
            <w:b w:val="0"/>
            <w:sz w:val="24"/>
            <w:szCs w:val="24"/>
            <w:lang w:val="en-US" w:eastAsia="en-US"/>
          </w:rPr>
          <w:tab/>
        </w:r>
        <w:r w:rsidRPr="00D03E44">
          <w:rPr>
            <w:rStyle w:val="Hyperlink"/>
          </w:rPr>
          <w:t>Compulsory tags and entity and business report information</w:t>
        </w:r>
        <w:r>
          <w:rPr>
            <w:webHidden/>
          </w:rPr>
          <w:tab/>
        </w:r>
        <w:r>
          <w:rPr>
            <w:webHidden/>
          </w:rPr>
          <w:fldChar w:fldCharType="begin"/>
        </w:r>
        <w:r>
          <w:rPr>
            <w:webHidden/>
          </w:rPr>
          <w:instrText xml:space="preserve"> PAGEREF _Toc292036820 \h </w:instrText>
        </w:r>
        <w:r>
          <w:rPr>
            <w:webHidden/>
          </w:rPr>
          <w:fldChar w:fldCharType="separate"/>
        </w:r>
        <w:r w:rsidR="00BA0B16">
          <w:rPr>
            <w:webHidden/>
          </w:rPr>
          <w:t>3</w:t>
        </w:r>
        <w:r>
          <w:rPr>
            <w:webHidden/>
          </w:rPr>
          <w:fldChar w:fldCharType="end"/>
        </w:r>
      </w:hyperlink>
    </w:p>
    <w:p w:rsidR="001D32C0" w:rsidRDefault="001D32C0">
      <w:pPr>
        <w:pStyle w:val="TOC1"/>
        <w:rPr>
          <w:rFonts w:ascii="Times New Roman" w:hAnsi="Times New Roman"/>
          <w:b w:val="0"/>
          <w:sz w:val="24"/>
          <w:szCs w:val="24"/>
          <w:lang w:val="en-US" w:eastAsia="en-US"/>
        </w:rPr>
      </w:pPr>
      <w:hyperlink w:anchor="_Toc292036821" w:history="1">
        <w:r w:rsidRPr="00D03E44">
          <w:rPr>
            <w:rStyle w:val="Hyperlink"/>
          </w:rPr>
          <w:t>4</w:t>
        </w:r>
        <w:r>
          <w:rPr>
            <w:rFonts w:ascii="Times New Roman" w:hAnsi="Times New Roman"/>
            <w:b w:val="0"/>
            <w:sz w:val="24"/>
            <w:szCs w:val="24"/>
            <w:lang w:val="en-US" w:eastAsia="en-US"/>
          </w:rPr>
          <w:tab/>
        </w:r>
        <w:r w:rsidRPr="00D03E44">
          <w:rPr>
            <w:rStyle w:val="Hyperlink"/>
          </w:rPr>
          <w:t>General tagging points</w:t>
        </w:r>
        <w:r>
          <w:rPr>
            <w:webHidden/>
          </w:rPr>
          <w:tab/>
        </w:r>
        <w:r>
          <w:rPr>
            <w:webHidden/>
          </w:rPr>
          <w:fldChar w:fldCharType="begin"/>
        </w:r>
        <w:r>
          <w:rPr>
            <w:webHidden/>
          </w:rPr>
          <w:instrText xml:space="preserve"> PAGEREF _Toc292036821 \h </w:instrText>
        </w:r>
        <w:r>
          <w:rPr>
            <w:webHidden/>
          </w:rPr>
          <w:fldChar w:fldCharType="separate"/>
        </w:r>
        <w:r w:rsidR="00BA0B16">
          <w:rPr>
            <w:webHidden/>
          </w:rPr>
          <w:t>4</w:t>
        </w:r>
        <w:r>
          <w:rPr>
            <w:webHidden/>
          </w:rPr>
          <w:fldChar w:fldCharType="end"/>
        </w:r>
      </w:hyperlink>
    </w:p>
    <w:p w:rsidR="001D32C0" w:rsidRDefault="001D32C0">
      <w:pPr>
        <w:pStyle w:val="TOC1"/>
        <w:rPr>
          <w:rFonts w:ascii="Times New Roman" w:hAnsi="Times New Roman"/>
          <w:b w:val="0"/>
          <w:sz w:val="24"/>
          <w:szCs w:val="24"/>
          <w:lang w:val="en-US" w:eastAsia="en-US"/>
        </w:rPr>
      </w:pPr>
      <w:hyperlink w:anchor="_Toc292036822" w:history="1">
        <w:r w:rsidRPr="00D03E44">
          <w:rPr>
            <w:rStyle w:val="Hyperlink"/>
          </w:rPr>
          <w:t>5</w:t>
        </w:r>
        <w:r>
          <w:rPr>
            <w:rFonts w:ascii="Times New Roman" w:hAnsi="Times New Roman"/>
            <w:b w:val="0"/>
            <w:sz w:val="24"/>
            <w:szCs w:val="24"/>
            <w:lang w:val="en-US" w:eastAsia="en-US"/>
          </w:rPr>
          <w:tab/>
        </w:r>
        <w:r w:rsidRPr="00D03E44">
          <w:rPr>
            <w:rStyle w:val="Hyperlink"/>
          </w:rPr>
          <w:t>Data entry</w:t>
        </w:r>
        <w:r>
          <w:rPr>
            <w:webHidden/>
          </w:rPr>
          <w:tab/>
        </w:r>
        <w:r>
          <w:rPr>
            <w:webHidden/>
          </w:rPr>
          <w:fldChar w:fldCharType="begin"/>
        </w:r>
        <w:r>
          <w:rPr>
            <w:webHidden/>
          </w:rPr>
          <w:instrText xml:space="preserve"> PAGEREF _Toc292036822 \h </w:instrText>
        </w:r>
        <w:r>
          <w:rPr>
            <w:webHidden/>
          </w:rPr>
          <w:fldChar w:fldCharType="separate"/>
        </w:r>
        <w:r w:rsidR="00BA0B16">
          <w:rPr>
            <w:webHidden/>
          </w:rPr>
          <w:t>10</w:t>
        </w:r>
        <w:r>
          <w:rPr>
            <w:webHidden/>
          </w:rPr>
          <w:fldChar w:fldCharType="end"/>
        </w:r>
      </w:hyperlink>
    </w:p>
    <w:p w:rsidR="001D32C0" w:rsidRDefault="001D32C0">
      <w:pPr>
        <w:pStyle w:val="TOC1"/>
        <w:rPr>
          <w:rFonts w:ascii="Times New Roman" w:hAnsi="Times New Roman"/>
          <w:b w:val="0"/>
          <w:sz w:val="24"/>
          <w:szCs w:val="24"/>
          <w:lang w:val="en-US" w:eastAsia="en-US"/>
        </w:rPr>
      </w:pPr>
      <w:hyperlink w:anchor="_Toc292036823" w:history="1">
        <w:r w:rsidRPr="00D03E44">
          <w:rPr>
            <w:rStyle w:val="Hyperlink"/>
          </w:rPr>
          <w:t>6</w:t>
        </w:r>
        <w:r>
          <w:rPr>
            <w:rFonts w:ascii="Times New Roman" w:hAnsi="Times New Roman"/>
            <w:b w:val="0"/>
            <w:sz w:val="24"/>
            <w:szCs w:val="24"/>
            <w:lang w:val="en-US" w:eastAsia="en-US"/>
          </w:rPr>
          <w:tab/>
        </w:r>
        <w:r w:rsidRPr="00D03E44">
          <w:rPr>
            <w:rStyle w:val="Hyperlink"/>
          </w:rPr>
          <w:t>Directors information and report</w:t>
        </w:r>
        <w:r>
          <w:rPr>
            <w:webHidden/>
          </w:rPr>
          <w:tab/>
        </w:r>
        <w:r>
          <w:rPr>
            <w:webHidden/>
          </w:rPr>
          <w:fldChar w:fldCharType="begin"/>
        </w:r>
        <w:r>
          <w:rPr>
            <w:webHidden/>
          </w:rPr>
          <w:instrText xml:space="preserve"> PAGEREF _Toc292036823 \h </w:instrText>
        </w:r>
        <w:r>
          <w:rPr>
            <w:webHidden/>
          </w:rPr>
          <w:fldChar w:fldCharType="separate"/>
        </w:r>
        <w:r w:rsidR="00BA0B16">
          <w:rPr>
            <w:webHidden/>
          </w:rPr>
          <w:t>12</w:t>
        </w:r>
        <w:r>
          <w:rPr>
            <w:webHidden/>
          </w:rPr>
          <w:fldChar w:fldCharType="end"/>
        </w:r>
      </w:hyperlink>
    </w:p>
    <w:p w:rsidR="001D32C0" w:rsidRDefault="001D32C0">
      <w:pPr>
        <w:pStyle w:val="TOC1"/>
        <w:rPr>
          <w:rFonts w:ascii="Times New Roman" w:hAnsi="Times New Roman"/>
          <w:b w:val="0"/>
          <w:sz w:val="24"/>
          <w:szCs w:val="24"/>
          <w:lang w:val="en-US" w:eastAsia="en-US"/>
        </w:rPr>
      </w:pPr>
      <w:hyperlink w:anchor="_Toc292036824" w:history="1">
        <w:r w:rsidRPr="00D03E44">
          <w:rPr>
            <w:rStyle w:val="Hyperlink"/>
          </w:rPr>
          <w:t>7</w:t>
        </w:r>
        <w:r>
          <w:rPr>
            <w:rFonts w:ascii="Times New Roman" w:hAnsi="Times New Roman"/>
            <w:b w:val="0"/>
            <w:sz w:val="24"/>
            <w:szCs w:val="24"/>
            <w:lang w:val="en-US" w:eastAsia="en-US"/>
          </w:rPr>
          <w:tab/>
        </w:r>
        <w:r w:rsidRPr="00D03E44">
          <w:rPr>
            <w:rStyle w:val="Hyperlink"/>
          </w:rPr>
          <w:t>Auditors and accountants information and report</w:t>
        </w:r>
        <w:r>
          <w:rPr>
            <w:webHidden/>
          </w:rPr>
          <w:tab/>
        </w:r>
        <w:r>
          <w:rPr>
            <w:webHidden/>
          </w:rPr>
          <w:fldChar w:fldCharType="begin"/>
        </w:r>
        <w:r>
          <w:rPr>
            <w:webHidden/>
          </w:rPr>
          <w:instrText xml:space="preserve"> PAGEREF _Toc292036824 \h </w:instrText>
        </w:r>
        <w:r>
          <w:rPr>
            <w:webHidden/>
          </w:rPr>
          <w:fldChar w:fldCharType="separate"/>
        </w:r>
        <w:r w:rsidR="00BA0B16">
          <w:rPr>
            <w:webHidden/>
          </w:rPr>
          <w:t>14</w:t>
        </w:r>
        <w:r>
          <w:rPr>
            <w:webHidden/>
          </w:rPr>
          <w:fldChar w:fldCharType="end"/>
        </w:r>
      </w:hyperlink>
    </w:p>
    <w:p w:rsidR="001D32C0" w:rsidRDefault="001D32C0">
      <w:pPr>
        <w:pStyle w:val="TOC1"/>
        <w:rPr>
          <w:rFonts w:ascii="Times New Roman" w:hAnsi="Times New Roman"/>
          <w:b w:val="0"/>
          <w:sz w:val="24"/>
          <w:szCs w:val="24"/>
          <w:lang w:val="en-US" w:eastAsia="en-US"/>
        </w:rPr>
      </w:pPr>
      <w:hyperlink w:anchor="_Toc292036825" w:history="1">
        <w:r w:rsidRPr="00D03E44">
          <w:rPr>
            <w:rStyle w:val="Hyperlink"/>
          </w:rPr>
          <w:t>8</w:t>
        </w:r>
        <w:r>
          <w:rPr>
            <w:rFonts w:ascii="Times New Roman" w:hAnsi="Times New Roman"/>
            <w:b w:val="0"/>
            <w:sz w:val="24"/>
            <w:szCs w:val="24"/>
            <w:lang w:val="en-US" w:eastAsia="en-US"/>
          </w:rPr>
          <w:tab/>
        </w:r>
        <w:r w:rsidRPr="00D03E44">
          <w:rPr>
            <w:rStyle w:val="Hyperlink"/>
          </w:rPr>
          <w:t>UK GAAP</w:t>
        </w:r>
        <w:r>
          <w:rPr>
            <w:webHidden/>
          </w:rPr>
          <w:tab/>
        </w:r>
        <w:r>
          <w:rPr>
            <w:webHidden/>
          </w:rPr>
          <w:fldChar w:fldCharType="begin"/>
        </w:r>
        <w:r>
          <w:rPr>
            <w:webHidden/>
          </w:rPr>
          <w:instrText xml:space="preserve"> PAGEREF _Toc292036825 \h </w:instrText>
        </w:r>
        <w:r>
          <w:rPr>
            <w:webHidden/>
          </w:rPr>
          <w:fldChar w:fldCharType="separate"/>
        </w:r>
        <w:r w:rsidR="00BA0B16">
          <w:rPr>
            <w:webHidden/>
          </w:rPr>
          <w:t>15</w:t>
        </w:r>
        <w:r>
          <w:rPr>
            <w:webHidden/>
          </w:rPr>
          <w:fldChar w:fldCharType="end"/>
        </w:r>
      </w:hyperlink>
    </w:p>
    <w:p w:rsidR="001D32C0" w:rsidRDefault="001D32C0">
      <w:pPr>
        <w:pStyle w:val="TOC2"/>
        <w:rPr>
          <w:rFonts w:ascii="Times New Roman" w:eastAsia="Times New Roman" w:hAnsi="Times New Roman"/>
          <w:noProof/>
          <w:sz w:val="24"/>
          <w:szCs w:val="24"/>
          <w:lang w:val="en-US" w:eastAsia="en-US"/>
        </w:rPr>
      </w:pPr>
      <w:hyperlink w:anchor="_Toc292036826" w:history="1">
        <w:r w:rsidRPr="00D03E44">
          <w:rPr>
            <w:rStyle w:val="Hyperlink"/>
            <w:noProof/>
          </w:rPr>
          <w:t>GAAP – General points</w:t>
        </w:r>
        <w:r>
          <w:rPr>
            <w:noProof/>
            <w:webHidden/>
          </w:rPr>
          <w:tab/>
        </w:r>
        <w:r>
          <w:rPr>
            <w:noProof/>
            <w:webHidden/>
          </w:rPr>
          <w:fldChar w:fldCharType="begin"/>
        </w:r>
        <w:r>
          <w:rPr>
            <w:noProof/>
            <w:webHidden/>
          </w:rPr>
          <w:instrText xml:space="preserve"> PAGEREF _Toc292036826 \h </w:instrText>
        </w:r>
        <w:r w:rsidR="001C2281">
          <w:rPr>
            <w:noProof/>
          </w:rPr>
        </w:r>
        <w:r>
          <w:rPr>
            <w:noProof/>
            <w:webHidden/>
          </w:rPr>
          <w:fldChar w:fldCharType="separate"/>
        </w:r>
        <w:r w:rsidR="00BA0B16">
          <w:rPr>
            <w:noProof/>
            <w:webHidden/>
          </w:rPr>
          <w:t>15</w:t>
        </w:r>
        <w:r>
          <w:rPr>
            <w:noProof/>
            <w:webHidden/>
          </w:rPr>
          <w:fldChar w:fldCharType="end"/>
        </w:r>
      </w:hyperlink>
    </w:p>
    <w:p w:rsidR="001D32C0" w:rsidRDefault="001D32C0">
      <w:pPr>
        <w:pStyle w:val="TOC2"/>
        <w:rPr>
          <w:rFonts w:ascii="Times New Roman" w:eastAsia="Times New Roman" w:hAnsi="Times New Roman"/>
          <w:noProof/>
          <w:sz w:val="24"/>
          <w:szCs w:val="24"/>
          <w:lang w:val="en-US" w:eastAsia="en-US"/>
        </w:rPr>
      </w:pPr>
      <w:hyperlink w:anchor="_Toc292036827" w:history="1">
        <w:r w:rsidRPr="00D03E44">
          <w:rPr>
            <w:rStyle w:val="Hyperlink"/>
            <w:noProof/>
          </w:rPr>
          <w:t>GAAP – Directors information</w:t>
        </w:r>
        <w:r>
          <w:rPr>
            <w:noProof/>
            <w:webHidden/>
          </w:rPr>
          <w:tab/>
        </w:r>
        <w:r>
          <w:rPr>
            <w:noProof/>
            <w:webHidden/>
          </w:rPr>
          <w:fldChar w:fldCharType="begin"/>
        </w:r>
        <w:r>
          <w:rPr>
            <w:noProof/>
            <w:webHidden/>
          </w:rPr>
          <w:instrText xml:space="preserve"> PAGEREF _Toc292036827 \h </w:instrText>
        </w:r>
        <w:r w:rsidR="001C2281">
          <w:rPr>
            <w:noProof/>
          </w:rPr>
        </w:r>
        <w:r>
          <w:rPr>
            <w:noProof/>
            <w:webHidden/>
          </w:rPr>
          <w:fldChar w:fldCharType="separate"/>
        </w:r>
        <w:r w:rsidR="00BA0B16">
          <w:rPr>
            <w:noProof/>
            <w:webHidden/>
          </w:rPr>
          <w:t>15</w:t>
        </w:r>
        <w:r>
          <w:rPr>
            <w:noProof/>
            <w:webHidden/>
          </w:rPr>
          <w:fldChar w:fldCharType="end"/>
        </w:r>
      </w:hyperlink>
    </w:p>
    <w:p w:rsidR="001D32C0" w:rsidRDefault="001D32C0">
      <w:pPr>
        <w:pStyle w:val="TOC2"/>
        <w:rPr>
          <w:rFonts w:ascii="Times New Roman" w:eastAsia="Times New Roman" w:hAnsi="Times New Roman"/>
          <w:noProof/>
          <w:sz w:val="24"/>
          <w:szCs w:val="24"/>
          <w:lang w:val="en-US" w:eastAsia="en-US"/>
        </w:rPr>
      </w:pPr>
      <w:hyperlink w:anchor="_Toc292036828" w:history="1">
        <w:r w:rsidRPr="00D03E44">
          <w:rPr>
            <w:rStyle w:val="Hyperlink"/>
            <w:noProof/>
          </w:rPr>
          <w:t>GAAP – Profit &amp; Loss Statement and notes</w:t>
        </w:r>
        <w:r>
          <w:rPr>
            <w:noProof/>
            <w:webHidden/>
          </w:rPr>
          <w:tab/>
        </w:r>
        <w:r>
          <w:rPr>
            <w:noProof/>
            <w:webHidden/>
          </w:rPr>
          <w:fldChar w:fldCharType="begin"/>
        </w:r>
        <w:r>
          <w:rPr>
            <w:noProof/>
            <w:webHidden/>
          </w:rPr>
          <w:instrText xml:space="preserve"> PAGEREF _Toc292036828 \h </w:instrText>
        </w:r>
        <w:r w:rsidR="001C2281">
          <w:rPr>
            <w:noProof/>
          </w:rPr>
        </w:r>
        <w:r>
          <w:rPr>
            <w:noProof/>
            <w:webHidden/>
          </w:rPr>
          <w:fldChar w:fldCharType="separate"/>
        </w:r>
        <w:r w:rsidR="00BA0B16">
          <w:rPr>
            <w:noProof/>
            <w:webHidden/>
          </w:rPr>
          <w:t>16</w:t>
        </w:r>
        <w:r>
          <w:rPr>
            <w:noProof/>
            <w:webHidden/>
          </w:rPr>
          <w:fldChar w:fldCharType="end"/>
        </w:r>
      </w:hyperlink>
    </w:p>
    <w:p w:rsidR="001D32C0" w:rsidRDefault="001D32C0">
      <w:pPr>
        <w:pStyle w:val="TOC2"/>
        <w:rPr>
          <w:rFonts w:ascii="Times New Roman" w:eastAsia="Times New Roman" w:hAnsi="Times New Roman"/>
          <w:noProof/>
          <w:sz w:val="24"/>
          <w:szCs w:val="24"/>
          <w:lang w:val="en-US" w:eastAsia="en-US"/>
        </w:rPr>
      </w:pPr>
      <w:hyperlink w:anchor="_Toc292036829" w:history="1">
        <w:r w:rsidRPr="00D03E44">
          <w:rPr>
            <w:rStyle w:val="Hyperlink"/>
            <w:noProof/>
          </w:rPr>
          <w:t>GAAP – Balance Sheet and notes</w:t>
        </w:r>
        <w:r>
          <w:rPr>
            <w:noProof/>
            <w:webHidden/>
          </w:rPr>
          <w:tab/>
        </w:r>
        <w:r>
          <w:rPr>
            <w:noProof/>
            <w:webHidden/>
          </w:rPr>
          <w:fldChar w:fldCharType="begin"/>
        </w:r>
        <w:r>
          <w:rPr>
            <w:noProof/>
            <w:webHidden/>
          </w:rPr>
          <w:instrText xml:space="preserve"> PAGEREF _Toc292036829 \h </w:instrText>
        </w:r>
        <w:r w:rsidR="001C2281">
          <w:rPr>
            <w:noProof/>
          </w:rPr>
        </w:r>
        <w:r>
          <w:rPr>
            <w:noProof/>
            <w:webHidden/>
          </w:rPr>
          <w:fldChar w:fldCharType="separate"/>
        </w:r>
        <w:r w:rsidR="00BA0B16">
          <w:rPr>
            <w:noProof/>
            <w:webHidden/>
          </w:rPr>
          <w:t>17</w:t>
        </w:r>
        <w:r>
          <w:rPr>
            <w:noProof/>
            <w:webHidden/>
          </w:rPr>
          <w:fldChar w:fldCharType="end"/>
        </w:r>
      </w:hyperlink>
    </w:p>
    <w:p w:rsidR="001D32C0" w:rsidRDefault="001D32C0">
      <w:pPr>
        <w:pStyle w:val="TOC2"/>
        <w:rPr>
          <w:rFonts w:ascii="Times New Roman" w:eastAsia="Times New Roman" w:hAnsi="Times New Roman"/>
          <w:noProof/>
          <w:sz w:val="24"/>
          <w:szCs w:val="24"/>
          <w:lang w:val="en-US" w:eastAsia="en-US"/>
        </w:rPr>
      </w:pPr>
      <w:hyperlink w:anchor="_Toc292036830" w:history="1">
        <w:r w:rsidRPr="00D03E44">
          <w:rPr>
            <w:rStyle w:val="Hyperlink"/>
            <w:noProof/>
          </w:rPr>
          <w:t>GAAP – Cash Flow Statement and notes</w:t>
        </w:r>
        <w:r>
          <w:rPr>
            <w:noProof/>
            <w:webHidden/>
          </w:rPr>
          <w:tab/>
        </w:r>
        <w:r>
          <w:rPr>
            <w:noProof/>
            <w:webHidden/>
          </w:rPr>
          <w:fldChar w:fldCharType="begin"/>
        </w:r>
        <w:r>
          <w:rPr>
            <w:noProof/>
            <w:webHidden/>
          </w:rPr>
          <w:instrText xml:space="preserve"> PAGEREF _Toc292036830 \h </w:instrText>
        </w:r>
        <w:r w:rsidR="001C2281">
          <w:rPr>
            <w:noProof/>
          </w:rPr>
        </w:r>
        <w:r>
          <w:rPr>
            <w:noProof/>
            <w:webHidden/>
          </w:rPr>
          <w:fldChar w:fldCharType="separate"/>
        </w:r>
        <w:r w:rsidR="00BA0B16">
          <w:rPr>
            <w:noProof/>
            <w:webHidden/>
          </w:rPr>
          <w:t>18</w:t>
        </w:r>
        <w:r>
          <w:rPr>
            <w:noProof/>
            <w:webHidden/>
          </w:rPr>
          <w:fldChar w:fldCharType="end"/>
        </w:r>
      </w:hyperlink>
    </w:p>
    <w:p w:rsidR="001D32C0" w:rsidRDefault="001D32C0">
      <w:pPr>
        <w:pStyle w:val="TOC2"/>
        <w:rPr>
          <w:rFonts w:ascii="Times New Roman" w:eastAsia="Times New Roman" w:hAnsi="Times New Roman"/>
          <w:noProof/>
          <w:sz w:val="24"/>
          <w:szCs w:val="24"/>
          <w:lang w:val="en-US" w:eastAsia="en-US"/>
        </w:rPr>
      </w:pPr>
      <w:hyperlink w:anchor="_Toc292036831" w:history="1">
        <w:r w:rsidRPr="00D03E44">
          <w:rPr>
            <w:rStyle w:val="Hyperlink"/>
            <w:noProof/>
          </w:rPr>
          <w:t>GAAP – STRGL and pensions</w:t>
        </w:r>
        <w:r>
          <w:rPr>
            <w:noProof/>
            <w:webHidden/>
          </w:rPr>
          <w:tab/>
        </w:r>
        <w:r>
          <w:rPr>
            <w:noProof/>
            <w:webHidden/>
          </w:rPr>
          <w:fldChar w:fldCharType="begin"/>
        </w:r>
        <w:r>
          <w:rPr>
            <w:noProof/>
            <w:webHidden/>
          </w:rPr>
          <w:instrText xml:space="preserve"> PAGEREF _Toc292036831 \h </w:instrText>
        </w:r>
        <w:r w:rsidR="001C2281">
          <w:rPr>
            <w:noProof/>
          </w:rPr>
        </w:r>
        <w:r>
          <w:rPr>
            <w:noProof/>
            <w:webHidden/>
          </w:rPr>
          <w:fldChar w:fldCharType="separate"/>
        </w:r>
        <w:r w:rsidR="00BA0B16">
          <w:rPr>
            <w:noProof/>
            <w:webHidden/>
          </w:rPr>
          <w:t>18</w:t>
        </w:r>
        <w:r>
          <w:rPr>
            <w:noProof/>
            <w:webHidden/>
          </w:rPr>
          <w:fldChar w:fldCharType="end"/>
        </w:r>
      </w:hyperlink>
    </w:p>
    <w:p w:rsidR="001D32C0" w:rsidRDefault="001D32C0">
      <w:pPr>
        <w:pStyle w:val="TOC2"/>
        <w:rPr>
          <w:rFonts w:ascii="Times New Roman" w:eastAsia="Times New Roman" w:hAnsi="Times New Roman"/>
          <w:noProof/>
          <w:sz w:val="24"/>
          <w:szCs w:val="24"/>
          <w:lang w:val="en-US" w:eastAsia="en-US"/>
        </w:rPr>
      </w:pPr>
      <w:hyperlink w:anchor="_Toc292036832" w:history="1">
        <w:r w:rsidRPr="00D03E44">
          <w:rPr>
            <w:rStyle w:val="Hyperlink"/>
            <w:noProof/>
          </w:rPr>
          <w:t>GAAP – Accounting policies</w:t>
        </w:r>
        <w:r>
          <w:rPr>
            <w:noProof/>
            <w:webHidden/>
          </w:rPr>
          <w:tab/>
        </w:r>
        <w:r>
          <w:rPr>
            <w:noProof/>
            <w:webHidden/>
          </w:rPr>
          <w:fldChar w:fldCharType="begin"/>
        </w:r>
        <w:r>
          <w:rPr>
            <w:noProof/>
            <w:webHidden/>
          </w:rPr>
          <w:instrText xml:space="preserve"> PAGEREF _Toc292036832 \h </w:instrText>
        </w:r>
        <w:r w:rsidR="001C2281">
          <w:rPr>
            <w:noProof/>
          </w:rPr>
        </w:r>
        <w:r>
          <w:rPr>
            <w:noProof/>
            <w:webHidden/>
          </w:rPr>
          <w:fldChar w:fldCharType="separate"/>
        </w:r>
        <w:r w:rsidR="00BA0B16">
          <w:rPr>
            <w:noProof/>
            <w:webHidden/>
          </w:rPr>
          <w:t>18</w:t>
        </w:r>
        <w:r>
          <w:rPr>
            <w:noProof/>
            <w:webHidden/>
          </w:rPr>
          <w:fldChar w:fldCharType="end"/>
        </w:r>
      </w:hyperlink>
    </w:p>
    <w:p w:rsidR="001D32C0" w:rsidRDefault="001D32C0">
      <w:pPr>
        <w:pStyle w:val="TOC2"/>
        <w:rPr>
          <w:rFonts w:ascii="Times New Roman" w:eastAsia="Times New Roman" w:hAnsi="Times New Roman"/>
          <w:noProof/>
          <w:sz w:val="24"/>
          <w:szCs w:val="24"/>
          <w:lang w:val="en-US" w:eastAsia="en-US"/>
        </w:rPr>
      </w:pPr>
      <w:hyperlink w:anchor="_Toc292036833" w:history="1">
        <w:r w:rsidRPr="00D03E44">
          <w:rPr>
            <w:rStyle w:val="Hyperlink"/>
            <w:noProof/>
          </w:rPr>
          <w:t>GAAP – Notes to Profit &amp; Loss</w:t>
        </w:r>
        <w:r>
          <w:rPr>
            <w:noProof/>
            <w:webHidden/>
          </w:rPr>
          <w:tab/>
        </w:r>
        <w:r>
          <w:rPr>
            <w:noProof/>
            <w:webHidden/>
          </w:rPr>
          <w:fldChar w:fldCharType="begin"/>
        </w:r>
        <w:r>
          <w:rPr>
            <w:noProof/>
            <w:webHidden/>
          </w:rPr>
          <w:instrText xml:space="preserve"> PAGEREF _Toc292036833 \h </w:instrText>
        </w:r>
        <w:r w:rsidR="001C2281">
          <w:rPr>
            <w:noProof/>
          </w:rPr>
        </w:r>
        <w:r>
          <w:rPr>
            <w:noProof/>
            <w:webHidden/>
          </w:rPr>
          <w:fldChar w:fldCharType="separate"/>
        </w:r>
        <w:r w:rsidR="00BA0B16">
          <w:rPr>
            <w:noProof/>
            <w:webHidden/>
          </w:rPr>
          <w:t>19</w:t>
        </w:r>
        <w:r>
          <w:rPr>
            <w:noProof/>
            <w:webHidden/>
          </w:rPr>
          <w:fldChar w:fldCharType="end"/>
        </w:r>
      </w:hyperlink>
    </w:p>
    <w:p w:rsidR="001D32C0" w:rsidRDefault="001D32C0">
      <w:pPr>
        <w:pStyle w:val="TOC2"/>
        <w:rPr>
          <w:rFonts w:ascii="Times New Roman" w:eastAsia="Times New Roman" w:hAnsi="Times New Roman"/>
          <w:noProof/>
          <w:sz w:val="24"/>
          <w:szCs w:val="24"/>
          <w:lang w:val="en-US" w:eastAsia="en-US"/>
        </w:rPr>
      </w:pPr>
      <w:hyperlink w:anchor="_Toc292036834" w:history="1">
        <w:r w:rsidRPr="00D03E44">
          <w:rPr>
            <w:rStyle w:val="Hyperlink"/>
            <w:noProof/>
          </w:rPr>
          <w:t>GAAP – Notes to Balance Sheet</w:t>
        </w:r>
        <w:r>
          <w:rPr>
            <w:noProof/>
            <w:webHidden/>
          </w:rPr>
          <w:tab/>
        </w:r>
        <w:r>
          <w:rPr>
            <w:noProof/>
            <w:webHidden/>
          </w:rPr>
          <w:fldChar w:fldCharType="begin"/>
        </w:r>
        <w:r>
          <w:rPr>
            <w:noProof/>
            <w:webHidden/>
          </w:rPr>
          <w:instrText xml:space="preserve"> PAGEREF _Toc292036834 \h </w:instrText>
        </w:r>
        <w:r w:rsidR="001C2281">
          <w:rPr>
            <w:noProof/>
          </w:rPr>
        </w:r>
        <w:r>
          <w:rPr>
            <w:noProof/>
            <w:webHidden/>
          </w:rPr>
          <w:fldChar w:fldCharType="separate"/>
        </w:r>
        <w:r w:rsidR="00BA0B16">
          <w:rPr>
            <w:noProof/>
            <w:webHidden/>
          </w:rPr>
          <w:t>21</w:t>
        </w:r>
        <w:r>
          <w:rPr>
            <w:noProof/>
            <w:webHidden/>
          </w:rPr>
          <w:fldChar w:fldCharType="end"/>
        </w:r>
      </w:hyperlink>
    </w:p>
    <w:p w:rsidR="001D32C0" w:rsidRDefault="001D32C0">
      <w:pPr>
        <w:pStyle w:val="TOC2"/>
        <w:rPr>
          <w:rFonts w:ascii="Times New Roman" w:eastAsia="Times New Roman" w:hAnsi="Times New Roman"/>
          <w:noProof/>
          <w:sz w:val="24"/>
          <w:szCs w:val="24"/>
          <w:lang w:val="en-US" w:eastAsia="en-US"/>
        </w:rPr>
      </w:pPr>
      <w:hyperlink w:anchor="_Toc292036835" w:history="1">
        <w:r w:rsidRPr="00D03E44">
          <w:rPr>
            <w:rStyle w:val="Hyperlink"/>
            <w:noProof/>
          </w:rPr>
          <w:t>GAAP – Financial instrument risks</w:t>
        </w:r>
        <w:r>
          <w:rPr>
            <w:noProof/>
            <w:webHidden/>
          </w:rPr>
          <w:tab/>
        </w:r>
        <w:r>
          <w:rPr>
            <w:noProof/>
            <w:webHidden/>
          </w:rPr>
          <w:fldChar w:fldCharType="begin"/>
        </w:r>
        <w:r>
          <w:rPr>
            <w:noProof/>
            <w:webHidden/>
          </w:rPr>
          <w:instrText xml:space="preserve"> PAGEREF _Toc292036835 \h </w:instrText>
        </w:r>
        <w:r w:rsidR="001C2281">
          <w:rPr>
            <w:noProof/>
          </w:rPr>
        </w:r>
        <w:r>
          <w:rPr>
            <w:noProof/>
            <w:webHidden/>
          </w:rPr>
          <w:fldChar w:fldCharType="separate"/>
        </w:r>
        <w:r w:rsidR="00BA0B16">
          <w:rPr>
            <w:noProof/>
            <w:webHidden/>
          </w:rPr>
          <w:t>23</w:t>
        </w:r>
        <w:r>
          <w:rPr>
            <w:noProof/>
            <w:webHidden/>
          </w:rPr>
          <w:fldChar w:fldCharType="end"/>
        </w:r>
      </w:hyperlink>
    </w:p>
    <w:p w:rsidR="001D32C0" w:rsidRDefault="001D32C0">
      <w:pPr>
        <w:pStyle w:val="TOC2"/>
        <w:rPr>
          <w:rFonts w:ascii="Times New Roman" w:eastAsia="Times New Roman" w:hAnsi="Times New Roman"/>
          <w:noProof/>
          <w:sz w:val="24"/>
          <w:szCs w:val="24"/>
          <w:lang w:val="en-US" w:eastAsia="en-US"/>
        </w:rPr>
      </w:pPr>
      <w:hyperlink w:anchor="_Toc292036836" w:history="1">
        <w:r w:rsidRPr="00D03E44">
          <w:rPr>
            <w:rStyle w:val="Hyperlink"/>
            <w:noProof/>
          </w:rPr>
          <w:t>GAAP – Share capital note</w:t>
        </w:r>
        <w:r>
          <w:rPr>
            <w:noProof/>
            <w:webHidden/>
          </w:rPr>
          <w:tab/>
        </w:r>
        <w:r>
          <w:rPr>
            <w:noProof/>
            <w:webHidden/>
          </w:rPr>
          <w:fldChar w:fldCharType="begin"/>
        </w:r>
        <w:r>
          <w:rPr>
            <w:noProof/>
            <w:webHidden/>
          </w:rPr>
          <w:instrText xml:space="preserve"> PAGEREF _Toc292036836 \h </w:instrText>
        </w:r>
        <w:r w:rsidR="001C2281">
          <w:rPr>
            <w:noProof/>
          </w:rPr>
        </w:r>
        <w:r>
          <w:rPr>
            <w:noProof/>
            <w:webHidden/>
          </w:rPr>
          <w:fldChar w:fldCharType="separate"/>
        </w:r>
        <w:r w:rsidR="00BA0B16">
          <w:rPr>
            <w:noProof/>
            <w:webHidden/>
          </w:rPr>
          <w:t>24</w:t>
        </w:r>
        <w:r>
          <w:rPr>
            <w:noProof/>
            <w:webHidden/>
          </w:rPr>
          <w:fldChar w:fldCharType="end"/>
        </w:r>
      </w:hyperlink>
    </w:p>
    <w:p w:rsidR="001D32C0" w:rsidRDefault="001D32C0">
      <w:pPr>
        <w:pStyle w:val="TOC2"/>
        <w:rPr>
          <w:rFonts w:ascii="Times New Roman" w:eastAsia="Times New Roman" w:hAnsi="Times New Roman"/>
          <w:noProof/>
          <w:sz w:val="24"/>
          <w:szCs w:val="24"/>
          <w:lang w:val="en-US" w:eastAsia="en-US"/>
        </w:rPr>
      </w:pPr>
      <w:hyperlink w:anchor="_Toc292036837" w:history="1">
        <w:r w:rsidRPr="00D03E44">
          <w:rPr>
            <w:rStyle w:val="Hyperlink"/>
            <w:noProof/>
          </w:rPr>
          <w:t>GAAP – Pensions note</w:t>
        </w:r>
        <w:r>
          <w:rPr>
            <w:noProof/>
            <w:webHidden/>
          </w:rPr>
          <w:tab/>
        </w:r>
        <w:r>
          <w:rPr>
            <w:noProof/>
            <w:webHidden/>
          </w:rPr>
          <w:fldChar w:fldCharType="begin"/>
        </w:r>
        <w:r>
          <w:rPr>
            <w:noProof/>
            <w:webHidden/>
          </w:rPr>
          <w:instrText xml:space="preserve"> PAGEREF _Toc292036837 \h </w:instrText>
        </w:r>
        <w:r w:rsidR="001C2281">
          <w:rPr>
            <w:noProof/>
          </w:rPr>
        </w:r>
        <w:r>
          <w:rPr>
            <w:noProof/>
            <w:webHidden/>
          </w:rPr>
          <w:fldChar w:fldCharType="separate"/>
        </w:r>
        <w:r w:rsidR="00BA0B16">
          <w:rPr>
            <w:noProof/>
            <w:webHidden/>
          </w:rPr>
          <w:t>24</w:t>
        </w:r>
        <w:r>
          <w:rPr>
            <w:noProof/>
            <w:webHidden/>
          </w:rPr>
          <w:fldChar w:fldCharType="end"/>
        </w:r>
      </w:hyperlink>
    </w:p>
    <w:p w:rsidR="001D32C0" w:rsidRDefault="001D32C0">
      <w:pPr>
        <w:pStyle w:val="TOC2"/>
        <w:rPr>
          <w:rFonts w:ascii="Times New Roman" w:eastAsia="Times New Roman" w:hAnsi="Times New Roman"/>
          <w:noProof/>
          <w:sz w:val="24"/>
          <w:szCs w:val="24"/>
          <w:lang w:val="en-US" w:eastAsia="en-US"/>
        </w:rPr>
      </w:pPr>
      <w:hyperlink w:anchor="_Toc292036838" w:history="1">
        <w:r w:rsidRPr="00D03E44">
          <w:rPr>
            <w:rStyle w:val="Hyperlink"/>
            <w:noProof/>
          </w:rPr>
          <w:t>GAAP – Other notes</w:t>
        </w:r>
        <w:r>
          <w:rPr>
            <w:noProof/>
            <w:webHidden/>
          </w:rPr>
          <w:tab/>
        </w:r>
        <w:r>
          <w:rPr>
            <w:noProof/>
            <w:webHidden/>
          </w:rPr>
          <w:fldChar w:fldCharType="begin"/>
        </w:r>
        <w:r>
          <w:rPr>
            <w:noProof/>
            <w:webHidden/>
          </w:rPr>
          <w:instrText xml:space="preserve"> PAGEREF _Toc292036838 \h </w:instrText>
        </w:r>
        <w:r w:rsidR="001C2281">
          <w:rPr>
            <w:noProof/>
          </w:rPr>
        </w:r>
        <w:r>
          <w:rPr>
            <w:noProof/>
            <w:webHidden/>
          </w:rPr>
          <w:fldChar w:fldCharType="separate"/>
        </w:r>
        <w:r w:rsidR="00BA0B16">
          <w:rPr>
            <w:noProof/>
            <w:webHidden/>
          </w:rPr>
          <w:t>25</w:t>
        </w:r>
        <w:r>
          <w:rPr>
            <w:noProof/>
            <w:webHidden/>
          </w:rPr>
          <w:fldChar w:fldCharType="end"/>
        </w:r>
      </w:hyperlink>
    </w:p>
    <w:p w:rsidR="001D32C0" w:rsidRDefault="001D32C0">
      <w:pPr>
        <w:pStyle w:val="TOC1"/>
        <w:rPr>
          <w:rFonts w:ascii="Times New Roman" w:hAnsi="Times New Roman"/>
          <w:b w:val="0"/>
          <w:sz w:val="24"/>
          <w:szCs w:val="24"/>
          <w:lang w:val="en-US" w:eastAsia="en-US"/>
        </w:rPr>
      </w:pPr>
      <w:hyperlink w:anchor="_Toc292036839" w:history="1">
        <w:r w:rsidRPr="00D03E44">
          <w:rPr>
            <w:rStyle w:val="Hyperlink"/>
          </w:rPr>
          <w:t>9</w:t>
        </w:r>
        <w:r>
          <w:rPr>
            <w:rFonts w:ascii="Times New Roman" w:hAnsi="Times New Roman"/>
            <w:b w:val="0"/>
            <w:sz w:val="24"/>
            <w:szCs w:val="24"/>
            <w:lang w:val="en-US" w:eastAsia="en-US"/>
          </w:rPr>
          <w:tab/>
        </w:r>
        <w:r w:rsidRPr="00D03E44">
          <w:rPr>
            <w:rStyle w:val="Hyperlink"/>
          </w:rPr>
          <w:t>UK IFRS</w:t>
        </w:r>
        <w:r>
          <w:rPr>
            <w:webHidden/>
          </w:rPr>
          <w:tab/>
        </w:r>
        <w:r>
          <w:rPr>
            <w:webHidden/>
          </w:rPr>
          <w:fldChar w:fldCharType="begin"/>
        </w:r>
        <w:r>
          <w:rPr>
            <w:webHidden/>
          </w:rPr>
          <w:instrText xml:space="preserve"> PAGEREF _Toc292036839 \h </w:instrText>
        </w:r>
        <w:r>
          <w:rPr>
            <w:webHidden/>
          </w:rPr>
          <w:fldChar w:fldCharType="separate"/>
        </w:r>
        <w:r w:rsidR="00BA0B16">
          <w:rPr>
            <w:webHidden/>
          </w:rPr>
          <w:t>27</w:t>
        </w:r>
        <w:r>
          <w:rPr>
            <w:webHidden/>
          </w:rPr>
          <w:fldChar w:fldCharType="end"/>
        </w:r>
      </w:hyperlink>
    </w:p>
    <w:p w:rsidR="001D32C0" w:rsidRDefault="001D32C0">
      <w:pPr>
        <w:pStyle w:val="TOC2"/>
        <w:rPr>
          <w:rFonts w:ascii="Times New Roman" w:eastAsia="Times New Roman" w:hAnsi="Times New Roman"/>
          <w:noProof/>
          <w:sz w:val="24"/>
          <w:szCs w:val="24"/>
          <w:lang w:val="en-US" w:eastAsia="en-US"/>
        </w:rPr>
      </w:pPr>
      <w:hyperlink w:anchor="_Toc292036840" w:history="1">
        <w:r w:rsidRPr="00D03E44">
          <w:rPr>
            <w:rStyle w:val="Hyperlink"/>
            <w:noProof/>
          </w:rPr>
          <w:t>IFRS – General points</w:t>
        </w:r>
        <w:r>
          <w:rPr>
            <w:noProof/>
            <w:webHidden/>
          </w:rPr>
          <w:tab/>
        </w:r>
        <w:r>
          <w:rPr>
            <w:noProof/>
            <w:webHidden/>
          </w:rPr>
          <w:fldChar w:fldCharType="begin"/>
        </w:r>
        <w:r>
          <w:rPr>
            <w:noProof/>
            <w:webHidden/>
          </w:rPr>
          <w:instrText xml:space="preserve"> PAGEREF _Toc292036840 \h </w:instrText>
        </w:r>
        <w:r w:rsidR="001C2281">
          <w:rPr>
            <w:noProof/>
          </w:rPr>
        </w:r>
        <w:r>
          <w:rPr>
            <w:noProof/>
            <w:webHidden/>
          </w:rPr>
          <w:fldChar w:fldCharType="separate"/>
        </w:r>
        <w:r w:rsidR="00BA0B16">
          <w:rPr>
            <w:noProof/>
            <w:webHidden/>
          </w:rPr>
          <w:t>27</w:t>
        </w:r>
        <w:r>
          <w:rPr>
            <w:noProof/>
            <w:webHidden/>
          </w:rPr>
          <w:fldChar w:fldCharType="end"/>
        </w:r>
      </w:hyperlink>
    </w:p>
    <w:p w:rsidR="001D32C0" w:rsidRDefault="001D32C0">
      <w:pPr>
        <w:pStyle w:val="TOC2"/>
        <w:rPr>
          <w:rFonts w:ascii="Times New Roman" w:eastAsia="Times New Roman" w:hAnsi="Times New Roman"/>
          <w:noProof/>
          <w:sz w:val="24"/>
          <w:szCs w:val="24"/>
          <w:lang w:val="en-US" w:eastAsia="en-US"/>
        </w:rPr>
      </w:pPr>
      <w:hyperlink w:anchor="_Toc292036841" w:history="1">
        <w:r w:rsidRPr="00D03E44">
          <w:rPr>
            <w:rStyle w:val="Hyperlink"/>
            <w:noProof/>
          </w:rPr>
          <w:t>IFRS – Income Statements and notes</w:t>
        </w:r>
        <w:r>
          <w:rPr>
            <w:noProof/>
            <w:webHidden/>
          </w:rPr>
          <w:tab/>
        </w:r>
        <w:r>
          <w:rPr>
            <w:noProof/>
            <w:webHidden/>
          </w:rPr>
          <w:fldChar w:fldCharType="begin"/>
        </w:r>
        <w:r>
          <w:rPr>
            <w:noProof/>
            <w:webHidden/>
          </w:rPr>
          <w:instrText xml:space="preserve"> PAGEREF _Toc292036841 \h </w:instrText>
        </w:r>
        <w:r w:rsidR="001C2281">
          <w:rPr>
            <w:noProof/>
          </w:rPr>
        </w:r>
        <w:r>
          <w:rPr>
            <w:noProof/>
            <w:webHidden/>
          </w:rPr>
          <w:fldChar w:fldCharType="separate"/>
        </w:r>
        <w:r w:rsidR="00BA0B16">
          <w:rPr>
            <w:noProof/>
            <w:webHidden/>
          </w:rPr>
          <w:t>28</w:t>
        </w:r>
        <w:r>
          <w:rPr>
            <w:noProof/>
            <w:webHidden/>
          </w:rPr>
          <w:fldChar w:fldCharType="end"/>
        </w:r>
      </w:hyperlink>
    </w:p>
    <w:p w:rsidR="001D32C0" w:rsidRDefault="001D32C0">
      <w:pPr>
        <w:pStyle w:val="TOC2"/>
        <w:rPr>
          <w:rFonts w:ascii="Times New Roman" w:eastAsia="Times New Roman" w:hAnsi="Times New Roman"/>
          <w:noProof/>
          <w:sz w:val="24"/>
          <w:szCs w:val="24"/>
          <w:lang w:val="en-US" w:eastAsia="en-US"/>
        </w:rPr>
      </w:pPr>
      <w:hyperlink w:anchor="_Toc292036842" w:history="1">
        <w:r w:rsidRPr="00D03E44">
          <w:rPr>
            <w:rStyle w:val="Hyperlink"/>
            <w:noProof/>
          </w:rPr>
          <w:t>IFRS – Balance Sheet and notes</w:t>
        </w:r>
        <w:r>
          <w:rPr>
            <w:noProof/>
            <w:webHidden/>
          </w:rPr>
          <w:tab/>
        </w:r>
        <w:r>
          <w:rPr>
            <w:noProof/>
            <w:webHidden/>
          </w:rPr>
          <w:fldChar w:fldCharType="begin"/>
        </w:r>
        <w:r>
          <w:rPr>
            <w:noProof/>
            <w:webHidden/>
          </w:rPr>
          <w:instrText xml:space="preserve"> PAGEREF _Toc292036842 \h </w:instrText>
        </w:r>
        <w:r w:rsidR="001C2281">
          <w:rPr>
            <w:noProof/>
          </w:rPr>
        </w:r>
        <w:r>
          <w:rPr>
            <w:noProof/>
            <w:webHidden/>
          </w:rPr>
          <w:fldChar w:fldCharType="separate"/>
        </w:r>
        <w:r w:rsidR="00BA0B16">
          <w:rPr>
            <w:noProof/>
            <w:webHidden/>
          </w:rPr>
          <w:t>29</w:t>
        </w:r>
        <w:r>
          <w:rPr>
            <w:noProof/>
            <w:webHidden/>
          </w:rPr>
          <w:fldChar w:fldCharType="end"/>
        </w:r>
      </w:hyperlink>
    </w:p>
    <w:p w:rsidR="001D32C0" w:rsidRDefault="001D32C0">
      <w:pPr>
        <w:pStyle w:val="TOC2"/>
        <w:rPr>
          <w:rFonts w:ascii="Times New Roman" w:eastAsia="Times New Roman" w:hAnsi="Times New Roman"/>
          <w:noProof/>
          <w:sz w:val="24"/>
          <w:szCs w:val="24"/>
          <w:lang w:val="en-US" w:eastAsia="en-US"/>
        </w:rPr>
      </w:pPr>
      <w:hyperlink w:anchor="_Toc292036843" w:history="1">
        <w:r w:rsidRPr="00D03E44">
          <w:rPr>
            <w:rStyle w:val="Hyperlink"/>
            <w:noProof/>
          </w:rPr>
          <w:t>IFRS – Cash Flow Statement and notes</w:t>
        </w:r>
        <w:r>
          <w:rPr>
            <w:noProof/>
            <w:webHidden/>
          </w:rPr>
          <w:tab/>
        </w:r>
        <w:r>
          <w:rPr>
            <w:noProof/>
            <w:webHidden/>
          </w:rPr>
          <w:fldChar w:fldCharType="begin"/>
        </w:r>
        <w:r>
          <w:rPr>
            <w:noProof/>
            <w:webHidden/>
          </w:rPr>
          <w:instrText xml:space="preserve"> PAGEREF _Toc292036843 \h </w:instrText>
        </w:r>
        <w:r w:rsidR="001C2281">
          <w:rPr>
            <w:noProof/>
          </w:rPr>
        </w:r>
        <w:r>
          <w:rPr>
            <w:noProof/>
            <w:webHidden/>
          </w:rPr>
          <w:fldChar w:fldCharType="separate"/>
        </w:r>
        <w:r w:rsidR="00BA0B16">
          <w:rPr>
            <w:noProof/>
            <w:webHidden/>
          </w:rPr>
          <w:t>29</w:t>
        </w:r>
        <w:r>
          <w:rPr>
            <w:noProof/>
            <w:webHidden/>
          </w:rPr>
          <w:fldChar w:fldCharType="end"/>
        </w:r>
      </w:hyperlink>
    </w:p>
    <w:p w:rsidR="001D32C0" w:rsidRDefault="001D32C0">
      <w:pPr>
        <w:pStyle w:val="TOC2"/>
        <w:rPr>
          <w:rFonts w:ascii="Times New Roman" w:eastAsia="Times New Roman" w:hAnsi="Times New Roman"/>
          <w:noProof/>
          <w:sz w:val="24"/>
          <w:szCs w:val="24"/>
          <w:lang w:val="en-US" w:eastAsia="en-US"/>
        </w:rPr>
      </w:pPr>
      <w:hyperlink w:anchor="_Toc292036844" w:history="1">
        <w:r w:rsidRPr="00D03E44">
          <w:rPr>
            <w:rStyle w:val="Hyperlink"/>
            <w:noProof/>
          </w:rPr>
          <w:t>IFRS – Notes on income</w:t>
        </w:r>
        <w:r>
          <w:rPr>
            <w:noProof/>
            <w:webHidden/>
          </w:rPr>
          <w:tab/>
        </w:r>
        <w:r>
          <w:rPr>
            <w:noProof/>
            <w:webHidden/>
          </w:rPr>
          <w:fldChar w:fldCharType="begin"/>
        </w:r>
        <w:r>
          <w:rPr>
            <w:noProof/>
            <w:webHidden/>
          </w:rPr>
          <w:instrText xml:space="preserve"> PAGEREF _Toc292036844 \h </w:instrText>
        </w:r>
        <w:r w:rsidR="001C2281">
          <w:rPr>
            <w:noProof/>
          </w:rPr>
        </w:r>
        <w:r>
          <w:rPr>
            <w:noProof/>
            <w:webHidden/>
          </w:rPr>
          <w:fldChar w:fldCharType="separate"/>
        </w:r>
        <w:r w:rsidR="00BA0B16">
          <w:rPr>
            <w:noProof/>
            <w:webHidden/>
          </w:rPr>
          <w:t>29</w:t>
        </w:r>
        <w:r>
          <w:rPr>
            <w:noProof/>
            <w:webHidden/>
          </w:rPr>
          <w:fldChar w:fldCharType="end"/>
        </w:r>
      </w:hyperlink>
    </w:p>
    <w:p w:rsidR="001D32C0" w:rsidRDefault="001D32C0">
      <w:pPr>
        <w:pStyle w:val="TOC2"/>
        <w:rPr>
          <w:rFonts w:ascii="Times New Roman" w:eastAsia="Times New Roman" w:hAnsi="Times New Roman"/>
          <w:noProof/>
          <w:sz w:val="24"/>
          <w:szCs w:val="24"/>
          <w:lang w:val="en-US" w:eastAsia="en-US"/>
        </w:rPr>
      </w:pPr>
      <w:hyperlink w:anchor="_Toc292036845" w:history="1">
        <w:r w:rsidRPr="00D03E44">
          <w:rPr>
            <w:rStyle w:val="Hyperlink"/>
            <w:noProof/>
          </w:rPr>
          <w:t>IFRS – Notes on assets and liabilities</w:t>
        </w:r>
        <w:r>
          <w:rPr>
            <w:noProof/>
            <w:webHidden/>
          </w:rPr>
          <w:tab/>
        </w:r>
        <w:r>
          <w:rPr>
            <w:noProof/>
            <w:webHidden/>
          </w:rPr>
          <w:fldChar w:fldCharType="begin"/>
        </w:r>
        <w:r>
          <w:rPr>
            <w:noProof/>
            <w:webHidden/>
          </w:rPr>
          <w:instrText xml:space="preserve"> PAGEREF _Toc292036845 \h </w:instrText>
        </w:r>
        <w:r w:rsidR="001C2281">
          <w:rPr>
            <w:noProof/>
          </w:rPr>
        </w:r>
        <w:r>
          <w:rPr>
            <w:noProof/>
            <w:webHidden/>
          </w:rPr>
          <w:fldChar w:fldCharType="separate"/>
        </w:r>
        <w:r w:rsidR="00BA0B16">
          <w:rPr>
            <w:noProof/>
            <w:webHidden/>
          </w:rPr>
          <w:t>30</w:t>
        </w:r>
        <w:r>
          <w:rPr>
            <w:noProof/>
            <w:webHidden/>
          </w:rPr>
          <w:fldChar w:fldCharType="end"/>
        </w:r>
      </w:hyperlink>
    </w:p>
    <w:p w:rsidR="001D32C0" w:rsidRDefault="001D32C0">
      <w:pPr>
        <w:pStyle w:val="TOC2"/>
        <w:rPr>
          <w:rFonts w:ascii="Times New Roman" w:eastAsia="Times New Roman" w:hAnsi="Times New Roman"/>
          <w:noProof/>
          <w:sz w:val="24"/>
          <w:szCs w:val="24"/>
          <w:lang w:val="en-US" w:eastAsia="en-US"/>
        </w:rPr>
      </w:pPr>
      <w:hyperlink w:anchor="_Toc292036846" w:history="1">
        <w:r w:rsidRPr="00D03E44">
          <w:rPr>
            <w:rStyle w:val="Hyperlink"/>
            <w:noProof/>
          </w:rPr>
          <w:t>IFRS – Financial instrument risks</w:t>
        </w:r>
        <w:r>
          <w:rPr>
            <w:noProof/>
            <w:webHidden/>
          </w:rPr>
          <w:tab/>
        </w:r>
        <w:r>
          <w:rPr>
            <w:noProof/>
            <w:webHidden/>
          </w:rPr>
          <w:fldChar w:fldCharType="begin"/>
        </w:r>
        <w:r>
          <w:rPr>
            <w:noProof/>
            <w:webHidden/>
          </w:rPr>
          <w:instrText xml:space="preserve"> PAGEREF _Toc292036846 \h </w:instrText>
        </w:r>
        <w:r w:rsidR="001C2281">
          <w:rPr>
            <w:noProof/>
          </w:rPr>
        </w:r>
        <w:r>
          <w:rPr>
            <w:noProof/>
            <w:webHidden/>
          </w:rPr>
          <w:fldChar w:fldCharType="separate"/>
        </w:r>
        <w:r w:rsidR="00BA0B16">
          <w:rPr>
            <w:noProof/>
            <w:webHidden/>
          </w:rPr>
          <w:t>32</w:t>
        </w:r>
        <w:r>
          <w:rPr>
            <w:noProof/>
            <w:webHidden/>
          </w:rPr>
          <w:fldChar w:fldCharType="end"/>
        </w:r>
      </w:hyperlink>
    </w:p>
    <w:p w:rsidR="001D32C0" w:rsidRDefault="001D32C0">
      <w:pPr>
        <w:pStyle w:val="TOC2"/>
        <w:rPr>
          <w:rFonts w:ascii="Times New Roman" w:eastAsia="Times New Roman" w:hAnsi="Times New Roman"/>
          <w:noProof/>
          <w:sz w:val="24"/>
          <w:szCs w:val="24"/>
          <w:lang w:val="en-US" w:eastAsia="en-US"/>
        </w:rPr>
      </w:pPr>
      <w:hyperlink w:anchor="_Toc292036847" w:history="1">
        <w:r w:rsidRPr="00D03E44">
          <w:rPr>
            <w:rStyle w:val="Hyperlink"/>
            <w:noProof/>
          </w:rPr>
          <w:t>IFRS – Notes on equity</w:t>
        </w:r>
        <w:r>
          <w:rPr>
            <w:noProof/>
            <w:webHidden/>
          </w:rPr>
          <w:tab/>
        </w:r>
        <w:r>
          <w:rPr>
            <w:noProof/>
            <w:webHidden/>
          </w:rPr>
          <w:fldChar w:fldCharType="begin"/>
        </w:r>
        <w:r>
          <w:rPr>
            <w:noProof/>
            <w:webHidden/>
          </w:rPr>
          <w:instrText xml:space="preserve"> PAGEREF _Toc292036847 \h </w:instrText>
        </w:r>
        <w:r w:rsidR="001C2281">
          <w:rPr>
            <w:noProof/>
          </w:rPr>
        </w:r>
        <w:r>
          <w:rPr>
            <w:noProof/>
            <w:webHidden/>
          </w:rPr>
          <w:fldChar w:fldCharType="separate"/>
        </w:r>
        <w:r w:rsidR="00BA0B16">
          <w:rPr>
            <w:noProof/>
            <w:webHidden/>
          </w:rPr>
          <w:t>33</w:t>
        </w:r>
        <w:r>
          <w:rPr>
            <w:noProof/>
            <w:webHidden/>
          </w:rPr>
          <w:fldChar w:fldCharType="end"/>
        </w:r>
      </w:hyperlink>
    </w:p>
    <w:p w:rsidR="001D32C0" w:rsidRDefault="001D32C0">
      <w:pPr>
        <w:pStyle w:val="TOC2"/>
        <w:rPr>
          <w:rFonts w:ascii="Times New Roman" w:eastAsia="Times New Roman" w:hAnsi="Times New Roman"/>
          <w:noProof/>
          <w:sz w:val="24"/>
          <w:szCs w:val="24"/>
          <w:lang w:val="en-US" w:eastAsia="en-US"/>
        </w:rPr>
      </w:pPr>
      <w:hyperlink w:anchor="_Toc292036848" w:history="1">
        <w:r w:rsidRPr="00D03E44">
          <w:rPr>
            <w:rStyle w:val="Hyperlink"/>
            <w:noProof/>
          </w:rPr>
          <w:t>IFRS – Employee benefits note</w:t>
        </w:r>
        <w:r>
          <w:rPr>
            <w:noProof/>
            <w:webHidden/>
          </w:rPr>
          <w:tab/>
        </w:r>
        <w:r>
          <w:rPr>
            <w:noProof/>
            <w:webHidden/>
          </w:rPr>
          <w:fldChar w:fldCharType="begin"/>
        </w:r>
        <w:r>
          <w:rPr>
            <w:noProof/>
            <w:webHidden/>
          </w:rPr>
          <w:instrText xml:space="preserve"> PAGEREF _Toc292036848 \h </w:instrText>
        </w:r>
        <w:r w:rsidR="001C2281">
          <w:rPr>
            <w:noProof/>
          </w:rPr>
        </w:r>
        <w:r>
          <w:rPr>
            <w:noProof/>
            <w:webHidden/>
          </w:rPr>
          <w:fldChar w:fldCharType="separate"/>
        </w:r>
        <w:r w:rsidR="00BA0B16">
          <w:rPr>
            <w:noProof/>
            <w:webHidden/>
          </w:rPr>
          <w:t>33</w:t>
        </w:r>
        <w:r>
          <w:rPr>
            <w:noProof/>
            <w:webHidden/>
          </w:rPr>
          <w:fldChar w:fldCharType="end"/>
        </w:r>
      </w:hyperlink>
    </w:p>
    <w:p w:rsidR="001D32C0" w:rsidRDefault="001D32C0">
      <w:pPr>
        <w:pStyle w:val="TOC2"/>
        <w:rPr>
          <w:rFonts w:ascii="Times New Roman" w:eastAsia="Times New Roman" w:hAnsi="Times New Roman"/>
          <w:noProof/>
          <w:sz w:val="24"/>
          <w:szCs w:val="24"/>
          <w:lang w:val="en-US" w:eastAsia="en-US"/>
        </w:rPr>
      </w:pPr>
      <w:hyperlink w:anchor="_Toc292036849" w:history="1">
        <w:r w:rsidRPr="00D03E44">
          <w:rPr>
            <w:rStyle w:val="Hyperlink"/>
            <w:noProof/>
          </w:rPr>
          <w:t>IFRS – Pensions note</w:t>
        </w:r>
        <w:r>
          <w:rPr>
            <w:noProof/>
            <w:webHidden/>
          </w:rPr>
          <w:tab/>
        </w:r>
        <w:r>
          <w:rPr>
            <w:noProof/>
            <w:webHidden/>
          </w:rPr>
          <w:fldChar w:fldCharType="begin"/>
        </w:r>
        <w:r>
          <w:rPr>
            <w:noProof/>
            <w:webHidden/>
          </w:rPr>
          <w:instrText xml:space="preserve"> PAGEREF _Toc292036849 \h </w:instrText>
        </w:r>
        <w:r w:rsidR="001C2281">
          <w:rPr>
            <w:noProof/>
          </w:rPr>
        </w:r>
        <w:r>
          <w:rPr>
            <w:noProof/>
            <w:webHidden/>
          </w:rPr>
          <w:fldChar w:fldCharType="separate"/>
        </w:r>
        <w:r w:rsidR="00BA0B16">
          <w:rPr>
            <w:noProof/>
            <w:webHidden/>
          </w:rPr>
          <w:t>33</w:t>
        </w:r>
        <w:r>
          <w:rPr>
            <w:noProof/>
            <w:webHidden/>
          </w:rPr>
          <w:fldChar w:fldCharType="end"/>
        </w:r>
      </w:hyperlink>
    </w:p>
    <w:p w:rsidR="001D32C0" w:rsidRDefault="001D32C0">
      <w:pPr>
        <w:pStyle w:val="TOC2"/>
        <w:rPr>
          <w:rFonts w:ascii="Times New Roman" w:eastAsia="Times New Roman" w:hAnsi="Times New Roman"/>
          <w:noProof/>
          <w:sz w:val="24"/>
          <w:szCs w:val="24"/>
          <w:lang w:val="en-US" w:eastAsia="en-US"/>
        </w:rPr>
      </w:pPr>
      <w:hyperlink w:anchor="_Toc292036850" w:history="1">
        <w:r w:rsidRPr="00D03E44">
          <w:rPr>
            <w:rStyle w:val="Hyperlink"/>
            <w:noProof/>
          </w:rPr>
          <w:t>IFRS – Related parties note</w:t>
        </w:r>
        <w:r>
          <w:rPr>
            <w:noProof/>
            <w:webHidden/>
          </w:rPr>
          <w:tab/>
        </w:r>
        <w:r>
          <w:rPr>
            <w:noProof/>
            <w:webHidden/>
          </w:rPr>
          <w:fldChar w:fldCharType="begin"/>
        </w:r>
        <w:r>
          <w:rPr>
            <w:noProof/>
            <w:webHidden/>
          </w:rPr>
          <w:instrText xml:space="preserve"> PAGEREF _Toc292036850 \h </w:instrText>
        </w:r>
        <w:r w:rsidR="001C2281">
          <w:rPr>
            <w:noProof/>
          </w:rPr>
        </w:r>
        <w:r>
          <w:rPr>
            <w:noProof/>
            <w:webHidden/>
          </w:rPr>
          <w:fldChar w:fldCharType="separate"/>
        </w:r>
        <w:r w:rsidR="00BA0B16">
          <w:rPr>
            <w:noProof/>
            <w:webHidden/>
          </w:rPr>
          <w:t>34</w:t>
        </w:r>
        <w:r>
          <w:rPr>
            <w:noProof/>
            <w:webHidden/>
          </w:rPr>
          <w:fldChar w:fldCharType="end"/>
        </w:r>
      </w:hyperlink>
    </w:p>
    <w:p w:rsidR="001D32C0" w:rsidRDefault="001D32C0">
      <w:pPr>
        <w:pStyle w:val="TOC2"/>
        <w:rPr>
          <w:rFonts w:ascii="Times New Roman" w:eastAsia="Times New Roman" w:hAnsi="Times New Roman"/>
          <w:noProof/>
          <w:sz w:val="24"/>
          <w:szCs w:val="24"/>
          <w:lang w:val="en-US" w:eastAsia="en-US"/>
        </w:rPr>
      </w:pPr>
      <w:hyperlink w:anchor="_Toc292036851" w:history="1">
        <w:r w:rsidRPr="00D03E44">
          <w:rPr>
            <w:rStyle w:val="Hyperlink"/>
            <w:noProof/>
          </w:rPr>
          <w:t>IFRS – Other notes</w:t>
        </w:r>
        <w:r>
          <w:rPr>
            <w:noProof/>
            <w:webHidden/>
          </w:rPr>
          <w:tab/>
        </w:r>
        <w:r>
          <w:rPr>
            <w:noProof/>
            <w:webHidden/>
          </w:rPr>
          <w:fldChar w:fldCharType="begin"/>
        </w:r>
        <w:r>
          <w:rPr>
            <w:noProof/>
            <w:webHidden/>
          </w:rPr>
          <w:instrText xml:space="preserve"> PAGEREF _Toc292036851 \h </w:instrText>
        </w:r>
        <w:r w:rsidR="001C2281">
          <w:rPr>
            <w:noProof/>
          </w:rPr>
        </w:r>
        <w:r>
          <w:rPr>
            <w:noProof/>
            <w:webHidden/>
          </w:rPr>
          <w:fldChar w:fldCharType="separate"/>
        </w:r>
        <w:r w:rsidR="00BA0B16">
          <w:rPr>
            <w:noProof/>
            <w:webHidden/>
          </w:rPr>
          <w:t>34</w:t>
        </w:r>
        <w:r>
          <w:rPr>
            <w:noProof/>
            <w:webHidden/>
          </w:rPr>
          <w:fldChar w:fldCharType="end"/>
        </w:r>
      </w:hyperlink>
    </w:p>
    <w:p w:rsidR="001D32C0" w:rsidRDefault="001D32C0">
      <w:pPr>
        <w:pStyle w:val="TOC1"/>
        <w:rPr>
          <w:rFonts w:ascii="Times New Roman" w:hAnsi="Times New Roman"/>
          <w:b w:val="0"/>
          <w:sz w:val="24"/>
          <w:szCs w:val="24"/>
          <w:lang w:val="en-US" w:eastAsia="en-US"/>
        </w:rPr>
      </w:pPr>
      <w:hyperlink w:anchor="_Toc292036852" w:history="1">
        <w:r w:rsidRPr="00D03E44">
          <w:rPr>
            <w:rStyle w:val="Hyperlink"/>
            <w:rFonts w:cs="Arial"/>
          </w:rPr>
          <w:t>10</w:t>
        </w:r>
        <w:r>
          <w:rPr>
            <w:rFonts w:ascii="Times New Roman" w:hAnsi="Times New Roman"/>
            <w:b w:val="0"/>
            <w:sz w:val="24"/>
            <w:szCs w:val="24"/>
            <w:lang w:val="en-US" w:eastAsia="en-US"/>
          </w:rPr>
          <w:tab/>
        </w:r>
        <w:r w:rsidRPr="00D03E44">
          <w:rPr>
            <w:rStyle w:val="Hyperlink"/>
          </w:rPr>
          <w:t>Charities</w:t>
        </w:r>
        <w:r>
          <w:rPr>
            <w:webHidden/>
          </w:rPr>
          <w:tab/>
        </w:r>
        <w:r>
          <w:rPr>
            <w:webHidden/>
          </w:rPr>
          <w:fldChar w:fldCharType="begin"/>
        </w:r>
        <w:r>
          <w:rPr>
            <w:webHidden/>
          </w:rPr>
          <w:instrText xml:space="preserve"> PAGEREF _Toc292036852 \h </w:instrText>
        </w:r>
        <w:r>
          <w:rPr>
            <w:webHidden/>
          </w:rPr>
          <w:fldChar w:fldCharType="separate"/>
        </w:r>
        <w:r w:rsidR="00BA0B16">
          <w:rPr>
            <w:webHidden/>
          </w:rPr>
          <w:t>35</w:t>
        </w:r>
        <w:r>
          <w:rPr>
            <w:webHidden/>
          </w:rPr>
          <w:fldChar w:fldCharType="end"/>
        </w:r>
      </w:hyperlink>
    </w:p>
    <w:p w:rsidR="001D32C0" w:rsidRDefault="001D32C0">
      <w:pPr>
        <w:pStyle w:val="TOC2"/>
        <w:rPr>
          <w:rFonts w:ascii="Times New Roman" w:eastAsia="Times New Roman" w:hAnsi="Times New Roman"/>
          <w:noProof/>
          <w:sz w:val="24"/>
          <w:szCs w:val="24"/>
          <w:lang w:val="en-US" w:eastAsia="en-US"/>
        </w:rPr>
      </w:pPr>
      <w:hyperlink w:anchor="_Toc292036853" w:history="1">
        <w:r w:rsidRPr="00D03E44">
          <w:rPr>
            <w:rStyle w:val="Hyperlink"/>
            <w:noProof/>
          </w:rPr>
          <w:t>CHAR – General points</w:t>
        </w:r>
        <w:r>
          <w:rPr>
            <w:noProof/>
            <w:webHidden/>
          </w:rPr>
          <w:tab/>
        </w:r>
        <w:r>
          <w:rPr>
            <w:noProof/>
            <w:webHidden/>
          </w:rPr>
          <w:fldChar w:fldCharType="begin"/>
        </w:r>
        <w:r>
          <w:rPr>
            <w:noProof/>
            <w:webHidden/>
          </w:rPr>
          <w:instrText xml:space="preserve"> PAGEREF _Toc292036853 \h </w:instrText>
        </w:r>
        <w:r w:rsidR="001C2281">
          <w:rPr>
            <w:noProof/>
          </w:rPr>
        </w:r>
        <w:r>
          <w:rPr>
            <w:noProof/>
            <w:webHidden/>
          </w:rPr>
          <w:fldChar w:fldCharType="separate"/>
        </w:r>
        <w:r w:rsidR="00BA0B16">
          <w:rPr>
            <w:noProof/>
            <w:webHidden/>
          </w:rPr>
          <w:t>35</w:t>
        </w:r>
        <w:r>
          <w:rPr>
            <w:noProof/>
            <w:webHidden/>
          </w:rPr>
          <w:fldChar w:fldCharType="end"/>
        </w:r>
      </w:hyperlink>
    </w:p>
    <w:p w:rsidR="001D32C0" w:rsidRDefault="001D32C0">
      <w:pPr>
        <w:pStyle w:val="TOC2"/>
        <w:rPr>
          <w:rFonts w:ascii="Times New Roman" w:eastAsia="Times New Roman" w:hAnsi="Times New Roman"/>
          <w:noProof/>
          <w:sz w:val="24"/>
          <w:szCs w:val="24"/>
          <w:lang w:val="en-US" w:eastAsia="en-US"/>
        </w:rPr>
      </w:pPr>
      <w:hyperlink w:anchor="_Toc292036854" w:history="1">
        <w:r w:rsidRPr="00D03E44">
          <w:rPr>
            <w:rStyle w:val="Hyperlink"/>
            <w:noProof/>
          </w:rPr>
          <w:t>CHAR – Notes</w:t>
        </w:r>
        <w:r>
          <w:rPr>
            <w:noProof/>
            <w:webHidden/>
          </w:rPr>
          <w:tab/>
        </w:r>
        <w:r>
          <w:rPr>
            <w:noProof/>
            <w:webHidden/>
          </w:rPr>
          <w:fldChar w:fldCharType="begin"/>
        </w:r>
        <w:r>
          <w:rPr>
            <w:noProof/>
            <w:webHidden/>
          </w:rPr>
          <w:instrText xml:space="preserve"> PAGEREF _Toc292036854 \h </w:instrText>
        </w:r>
        <w:r w:rsidR="001C2281">
          <w:rPr>
            <w:noProof/>
          </w:rPr>
        </w:r>
        <w:r>
          <w:rPr>
            <w:noProof/>
            <w:webHidden/>
          </w:rPr>
          <w:fldChar w:fldCharType="separate"/>
        </w:r>
        <w:r w:rsidR="00BA0B16">
          <w:rPr>
            <w:noProof/>
            <w:webHidden/>
          </w:rPr>
          <w:t>35</w:t>
        </w:r>
        <w:r>
          <w:rPr>
            <w:noProof/>
            <w:webHidden/>
          </w:rPr>
          <w:fldChar w:fldCharType="end"/>
        </w:r>
      </w:hyperlink>
    </w:p>
    <w:p w:rsidR="001D32C0" w:rsidRDefault="001D32C0">
      <w:pPr>
        <w:pStyle w:val="TOC1"/>
        <w:rPr>
          <w:rFonts w:ascii="Times New Roman" w:hAnsi="Times New Roman"/>
          <w:b w:val="0"/>
          <w:sz w:val="24"/>
          <w:szCs w:val="24"/>
          <w:lang w:val="en-US" w:eastAsia="en-US"/>
        </w:rPr>
      </w:pPr>
      <w:hyperlink w:anchor="_Toc292036855" w:history="1">
        <w:r w:rsidRPr="00D03E44">
          <w:rPr>
            <w:rStyle w:val="Hyperlink"/>
          </w:rPr>
          <w:t>11</w:t>
        </w:r>
        <w:r>
          <w:rPr>
            <w:rFonts w:ascii="Times New Roman" w:hAnsi="Times New Roman"/>
            <w:b w:val="0"/>
            <w:sz w:val="24"/>
            <w:szCs w:val="24"/>
            <w:lang w:val="en-US" w:eastAsia="en-US"/>
          </w:rPr>
          <w:tab/>
        </w:r>
        <w:r w:rsidRPr="00D03E44">
          <w:rPr>
            <w:rStyle w:val="Hyperlink"/>
          </w:rPr>
          <w:t>Detailed points for developers</w:t>
        </w:r>
        <w:r>
          <w:rPr>
            <w:webHidden/>
          </w:rPr>
          <w:tab/>
        </w:r>
        <w:r>
          <w:rPr>
            <w:webHidden/>
          </w:rPr>
          <w:fldChar w:fldCharType="begin"/>
        </w:r>
        <w:r>
          <w:rPr>
            <w:webHidden/>
          </w:rPr>
          <w:instrText xml:space="preserve"> PAGEREF _Toc292036855 \h </w:instrText>
        </w:r>
        <w:r>
          <w:rPr>
            <w:webHidden/>
          </w:rPr>
          <w:fldChar w:fldCharType="separate"/>
        </w:r>
        <w:r w:rsidR="00BA0B16">
          <w:rPr>
            <w:webHidden/>
          </w:rPr>
          <w:t>36</w:t>
        </w:r>
        <w:r>
          <w:rPr>
            <w:webHidden/>
          </w:rPr>
          <w:fldChar w:fldCharType="end"/>
        </w:r>
      </w:hyperlink>
    </w:p>
    <w:p w:rsidR="001D32C0" w:rsidRDefault="001D32C0">
      <w:pPr>
        <w:pStyle w:val="TOC1"/>
        <w:rPr>
          <w:rFonts w:ascii="Times New Roman" w:hAnsi="Times New Roman"/>
          <w:b w:val="0"/>
          <w:sz w:val="24"/>
          <w:szCs w:val="24"/>
          <w:lang w:val="en-US" w:eastAsia="en-US"/>
        </w:rPr>
      </w:pPr>
      <w:hyperlink w:anchor="_Toc292036856" w:history="1">
        <w:r w:rsidRPr="00D03E44">
          <w:rPr>
            <w:rStyle w:val="Hyperlink"/>
          </w:rPr>
          <w:t>12</w:t>
        </w:r>
        <w:r>
          <w:rPr>
            <w:rFonts w:ascii="Times New Roman" w:hAnsi="Times New Roman"/>
            <w:b w:val="0"/>
            <w:sz w:val="24"/>
            <w:szCs w:val="24"/>
            <w:lang w:val="en-US" w:eastAsia="en-US"/>
          </w:rPr>
          <w:tab/>
        </w:r>
        <w:r w:rsidRPr="00D03E44">
          <w:rPr>
            <w:rStyle w:val="Hyperlink"/>
          </w:rPr>
          <w:t>Dimensions – further information</w:t>
        </w:r>
        <w:r>
          <w:rPr>
            <w:webHidden/>
          </w:rPr>
          <w:tab/>
        </w:r>
        <w:r>
          <w:rPr>
            <w:webHidden/>
          </w:rPr>
          <w:fldChar w:fldCharType="begin"/>
        </w:r>
        <w:r>
          <w:rPr>
            <w:webHidden/>
          </w:rPr>
          <w:instrText xml:space="preserve"> PAGEREF _Toc292036856 \h </w:instrText>
        </w:r>
        <w:r>
          <w:rPr>
            <w:webHidden/>
          </w:rPr>
          <w:fldChar w:fldCharType="separate"/>
        </w:r>
        <w:r w:rsidR="00BA0B16">
          <w:rPr>
            <w:webHidden/>
          </w:rPr>
          <w:t>37</w:t>
        </w:r>
        <w:r>
          <w:rPr>
            <w:webHidden/>
          </w:rPr>
          <w:fldChar w:fldCharType="end"/>
        </w:r>
      </w:hyperlink>
    </w:p>
    <w:p w:rsidR="001D32C0" w:rsidRDefault="001D32C0">
      <w:pPr>
        <w:pStyle w:val="TOC1"/>
        <w:rPr>
          <w:rFonts w:ascii="Times New Roman" w:hAnsi="Times New Roman"/>
          <w:b w:val="0"/>
          <w:sz w:val="24"/>
          <w:szCs w:val="24"/>
          <w:lang w:val="en-US" w:eastAsia="en-US"/>
        </w:rPr>
      </w:pPr>
      <w:hyperlink w:anchor="_Toc292036857" w:history="1">
        <w:r w:rsidRPr="00D03E44">
          <w:rPr>
            <w:rStyle w:val="Hyperlink"/>
          </w:rPr>
          <w:t>13</w:t>
        </w:r>
        <w:r>
          <w:rPr>
            <w:rFonts w:ascii="Times New Roman" w:hAnsi="Times New Roman"/>
            <w:b w:val="0"/>
            <w:sz w:val="24"/>
            <w:szCs w:val="24"/>
            <w:lang w:val="en-US" w:eastAsia="en-US"/>
          </w:rPr>
          <w:tab/>
        </w:r>
        <w:r w:rsidRPr="00D03E44">
          <w:rPr>
            <w:rStyle w:val="Hyperlink"/>
          </w:rPr>
          <w:t>Groupings / tuples – further information</w:t>
        </w:r>
        <w:r>
          <w:rPr>
            <w:webHidden/>
          </w:rPr>
          <w:tab/>
        </w:r>
        <w:r>
          <w:rPr>
            <w:webHidden/>
          </w:rPr>
          <w:fldChar w:fldCharType="begin"/>
        </w:r>
        <w:r>
          <w:rPr>
            <w:webHidden/>
          </w:rPr>
          <w:instrText xml:space="preserve"> PAGEREF _Toc292036857 \h </w:instrText>
        </w:r>
        <w:r>
          <w:rPr>
            <w:webHidden/>
          </w:rPr>
          <w:fldChar w:fldCharType="separate"/>
        </w:r>
        <w:r w:rsidR="00BA0B16">
          <w:rPr>
            <w:webHidden/>
          </w:rPr>
          <w:t>38</w:t>
        </w:r>
        <w:r>
          <w:rPr>
            <w:webHidden/>
          </w:rPr>
          <w:fldChar w:fldCharType="end"/>
        </w:r>
      </w:hyperlink>
    </w:p>
    <w:p w:rsidR="001D32C0" w:rsidRDefault="001D32C0">
      <w:pPr>
        <w:pStyle w:val="TOC1"/>
        <w:rPr>
          <w:rFonts w:ascii="Times New Roman" w:hAnsi="Times New Roman"/>
          <w:b w:val="0"/>
          <w:sz w:val="24"/>
          <w:szCs w:val="24"/>
          <w:lang w:val="en-US" w:eastAsia="en-US"/>
        </w:rPr>
      </w:pPr>
      <w:hyperlink w:anchor="_Toc292036858" w:history="1">
        <w:r w:rsidRPr="00D03E44">
          <w:rPr>
            <w:rStyle w:val="Hyperlink"/>
          </w:rPr>
          <w:t>14</w:t>
        </w:r>
        <w:r>
          <w:rPr>
            <w:rFonts w:ascii="Times New Roman" w:hAnsi="Times New Roman"/>
            <w:b w:val="0"/>
            <w:sz w:val="24"/>
            <w:szCs w:val="24"/>
            <w:lang w:val="en-US" w:eastAsia="en-US"/>
          </w:rPr>
          <w:tab/>
        </w:r>
        <w:r w:rsidRPr="00D03E44">
          <w:rPr>
            <w:rStyle w:val="Hyperlink"/>
          </w:rPr>
          <w:t>Predefined value items</w:t>
        </w:r>
        <w:r>
          <w:rPr>
            <w:webHidden/>
          </w:rPr>
          <w:tab/>
        </w:r>
        <w:r>
          <w:rPr>
            <w:webHidden/>
          </w:rPr>
          <w:fldChar w:fldCharType="begin"/>
        </w:r>
        <w:r>
          <w:rPr>
            <w:webHidden/>
          </w:rPr>
          <w:instrText xml:space="preserve"> PAGEREF _Toc292036858 \h </w:instrText>
        </w:r>
        <w:r>
          <w:rPr>
            <w:webHidden/>
          </w:rPr>
          <w:fldChar w:fldCharType="separate"/>
        </w:r>
        <w:r w:rsidR="00BA0B16">
          <w:rPr>
            <w:webHidden/>
          </w:rPr>
          <w:t>39</w:t>
        </w:r>
        <w:r>
          <w:rPr>
            <w:webHidden/>
          </w:rPr>
          <w:fldChar w:fldCharType="end"/>
        </w:r>
      </w:hyperlink>
    </w:p>
    <w:p w:rsidR="001D32C0" w:rsidRDefault="001D32C0">
      <w:pPr>
        <w:pStyle w:val="TOC1"/>
        <w:rPr>
          <w:rFonts w:ascii="Times New Roman" w:hAnsi="Times New Roman"/>
          <w:b w:val="0"/>
          <w:sz w:val="24"/>
          <w:szCs w:val="24"/>
          <w:lang w:val="en-US" w:eastAsia="en-US"/>
        </w:rPr>
      </w:pPr>
      <w:hyperlink w:anchor="_Toc292036859" w:history="1">
        <w:r w:rsidRPr="00D03E44">
          <w:rPr>
            <w:rStyle w:val="Hyperlink"/>
          </w:rPr>
          <w:t>APPENDICES</w:t>
        </w:r>
        <w:r>
          <w:rPr>
            <w:webHidden/>
          </w:rPr>
          <w:tab/>
        </w:r>
        <w:r>
          <w:rPr>
            <w:webHidden/>
          </w:rPr>
          <w:fldChar w:fldCharType="begin"/>
        </w:r>
        <w:r>
          <w:rPr>
            <w:webHidden/>
          </w:rPr>
          <w:instrText xml:space="preserve"> PAGEREF _Toc292036859 \h </w:instrText>
        </w:r>
        <w:r>
          <w:rPr>
            <w:webHidden/>
          </w:rPr>
          <w:fldChar w:fldCharType="separate"/>
        </w:r>
        <w:r w:rsidR="00BA0B16">
          <w:rPr>
            <w:webHidden/>
          </w:rPr>
          <w:t>40</w:t>
        </w:r>
        <w:r>
          <w:rPr>
            <w:webHidden/>
          </w:rPr>
          <w:fldChar w:fldCharType="end"/>
        </w:r>
      </w:hyperlink>
    </w:p>
    <w:p w:rsidR="001D32C0" w:rsidRDefault="001D32C0">
      <w:pPr>
        <w:pStyle w:val="TOC2"/>
        <w:rPr>
          <w:rFonts w:ascii="Times New Roman" w:eastAsia="Times New Roman" w:hAnsi="Times New Roman"/>
          <w:noProof/>
          <w:sz w:val="24"/>
          <w:szCs w:val="24"/>
          <w:lang w:val="en-US" w:eastAsia="en-US"/>
        </w:rPr>
      </w:pPr>
      <w:hyperlink w:anchor="_Toc292036860" w:history="1">
        <w:r w:rsidRPr="00D03E44">
          <w:rPr>
            <w:rStyle w:val="Hyperlink"/>
            <w:noProof/>
          </w:rPr>
          <w:t>A.</w:t>
        </w:r>
        <w:r>
          <w:rPr>
            <w:rFonts w:ascii="Times New Roman" w:eastAsia="Times New Roman" w:hAnsi="Times New Roman"/>
            <w:noProof/>
            <w:sz w:val="24"/>
            <w:szCs w:val="24"/>
            <w:lang w:val="en-US" w:eastAsia="en-US"/>
          </w:rPr>
          <w:tab/>
        </w:r>
        <w:r w:rsidRPr="00D03E44">
          <w:rPr>
            <w:rStyle w:val="Hyperlink"/>
            <w:noProof/>
          </w:rPr>
          <w:t>Glossary</w:t>
        </w:r>
        <w:r>
          <w:rPr>
            <w:noProof/>
            <w:webHidden/>
          </w:rPr>
          <w:tab/>
        </w:r>
        <w:r>
          <w:rPr>
            <w:noProof/>
            <w:webHidden/>
          </w:rPr>
          <w:fldChar w:fldCharType="begin"/>
        </w:r>
        <w:r>
          <w:rPr>
            <w:noProof/>
            <w:webHidden/>
          </w:rPr>
          <w:instrText xml:space="preserve"> PAGEREF _Toc292036860 \h </w:instrText>
        </w:r>
        <w:r w:rsidR="001C2281">
          <w:rPr>
            <w:noProof/>
          </w:rPr>
        </w:r>
        <w:r>
          <w:rPr>
            <w:noProof/>
            <w:webHidden/>
          </w:rPr>
          <w:fldChar w:fldCharType="separate"/>
        </w:r>
        <w:r w:rsidR="00BA0B16">
          <w:rPr>
            <w:noProof/>
            <w:webHidden/>
          </w:rPr>
          <w:t>40</w:t>
        </w:r>
        <w:r>
          <w:rPr>
            <w:noProof/>
            <w:webHidden/>
          </w:rPr>
          <w:fldChar w:fldCharType="end"/>
        </w:r>
      </w:hyperlink>
    </w:p>
    <w:p w:rsidR="001D32C0" w:rsidRDefault="001D32C0">
      <w:pPr>
        <w:pStyle w:val="TOC2"/>
        <w:rPr>
          <w:rFonts w:ascii="Times New Roman" w:eastAsia="Times New Roman" w:hAnsi="Times New Roman"/>
          <w:noProof/>
          <w:sz w:val="24"/>
          <w:szCs w:val="24"/>
          <w:lang w:val="en-US" w:eastAsia="en-US"/>
        </w:rPr>
      </w:pPr>
      <w:hyperlink w:anchor="_Toc292036861" w:history="1">
        <w:r w:rsidRPr="00D03E44">
          <w:rPr>
            <w:rStyle w:val="Hyperlink"/>
            <w:noProof/>
          </w:rPr>
          <w:t>B.</w:t>
        </w:r>
        <w:r>
          <w:rPr>
            <w:rFonts w:ascii="Times New Roman" w:eastAsia="Times New Roman" w:hAnsi="Times New Roman"/>
            <w:noProof/>
            <w:sz w:val="24"/>
            <w:szCs w:val="24"/>
            <w:lang w:val="en-US" w:eastAsia="en-US"/>
          </w:rPr>
          <w:tab/>
        </w:r>
        <w:r w:rsidRPr="00D03E44">
          <w:rPr>
            <w:rStyle w:val="Hyperlink"/>
            <w:noProof/>
          </w:rPr>
          <w:t>References</w:t>
        </w:r>
        <w:r>
          <w:rPr>
            <w:noProof/>
            <w:webHidden/>
          </w:rPr>
          <w:tab/>
        </w:r>
        <w:r>
          <w:rPr>
            <w:noProof/>
            <w:webHidden/>
          </w:rPr>
          <w:fldChar w:fldCharType="begin"/>
        </w:r>
        <w:r>
          <w:rPr>
            <w:noProof/>
            <w:webHidden/>
          </w:rPr>
          <w:instrText xml:space="preserve"> PAGEREF _Toc292036861 \h </w:instrText>
        </w:r>
        <w:r w:rsidR="001C2281">
          <w:rPr>
            <w:noProof/>
          </w:rPr>
        </w:r>
        <w:r>
          <w:rPr>
            <w:noProof/>
            <w:webHidden/>
          </w:rPr>
          <w:fldChar w:fldCharType="separate"/>
        </w:r>
        <w:r w:rsidR="00BA0B16">
          <w:rPr>
            <w:noProof/>
            <w:webHidden/>
          </w:rPr>
          <w:t>41</w:t>
        </w:r>
        <w:r>
          <w:rPr>
            <w:noProof/>
            <w:webHidden/>
          </w:rPr>
          <w:fldChar w:fldCharType="end"/>
        </w:r>
      </w:hyperlink>
    </w:p>
    <w:p w:rsidR="001D32C0" w:rsidRDefault="001D32C0">
      <w:pPr>
        <w:pStyle w:val="TOC2"/>
        <w:rPr>
          <w:rFonts w:ascii="Times New Roman" w:eastAsia="Times New Roman" w:hAnsi="Times New Roman"/>
          <w:noProof/>
          <w:sz w:val="24"/>
          <w:szCs w:val="24"/>
          <w:lang w:val="en-US" w:eastAsia="en-US"/>
        </w:rPr>
      </w:pPr>
      <w:hyperlink w:anchor="_Toc292036862" w:history="1">
        <w:r w:rsidRPr="00D03E44">
          <w:rPr>
            <w:rStyle w:val="Hyperlink"/>
            <w:noProof/>
          </w:rPr>
          <w:t>C.</w:t>
        </w:r>
        <w:r>
          <w:rPr>
            <w:rFonts w:ascii="Times New Roman" w:eastAsia="Times New Roman" w:hAnsi="Times New Roman"/>
            <w:noProof/>
            <w:sz w:val="24"/>
            <w:szCs w:val="24"/>
            <w:lang w:val="en-US" w:eastAsia="en-US"/>
          </w:rPr>
          <w:tab/>
        </w:r>
        <w:r w:rsidRPr="00D03E44">
          <w:rPr>
            <w:rStyle w:val="Hyperlink"/>
            <w:noProof/>
          </w:rPr>
          <w:t>Document History</w:t>
        </w:r>
        <w:r>
          <w:rPr>
            <w:noProof/>
            <w:webHidden/>
          </w:rPr>
          <w:tab/>
        </w:r>
        <w:r>
          <w:rPr>
            <w:noProof/>
            <w:webHidden/>
          </w:rPr>
          <w:fldChar w:fldCharType="begin"/>
        </w:r>
        <w:r>
          <w:rPr>
            <w:noProof/>
            <w:webHidden/>
          </w:rPr>
          <w:instrText xml:space="preserve"> PAGEREF _Toc292036862 \h </w:instrText>
        </w:r>
        <w:r w:rsidR="001C2281">
          <w:rPr>
            <w:noProof/>
          </w:rPr>
        </w:r>
        <w:r>
          <w:rPr>
            <w:noProof/>
            <w:webHidden/>
          </w:rPr>
          <w:fldChar w:fldCharType="separate"/>
        </w:r>
        <w:r w:rsidR="00BA0B16">
          <w:rPr>
            <w:noProof/>
            <w:webHidden/>
          </w:rPr>
          <w:t>41</w:t>
        </w:r>
        <w:r>
          <w:rPr>
            <w:noProof/>
            <w:webHidden/>
          </w:rPr>
          <w:fldChar w:fldCharType="end"/>
        </w:r>
      </w:hyperlink>
    </w:p>
    <w:p w:rsidR="001D32C0" w:rsidRDefault="001D32C0">
      <w:pPr>
        <w:pStyle w:val="TOC2"/>
        <w:rPr>
          <w:rFonts w:ascii="Times New Roman" w:eastAsia="Times New Roman" w:hAnsi="Times New Roman"/>
          <w:noProof/>
          <w:sz w:val="24"/>
          <w:szCs w:val="24"/>
          <w:lang w:val="en-US" w:eastAsia="en-US"/>
        </w:rPr>
      </w:pPr>
      <w:hyperlink w:anchor="_Toc292036863" w:history="1">
        <w:r w:rsidRPr="00D03E44">
          <w:rPr>
            <w:rStyle w:val="Hyperlink"/>
            <w:noProof/>
          </w:rPr>
          <w:t>E.</w:t>
        </w:r>
        <w:r>
          <w:rPr>
            <w:rFonts w:ascii="Times New Roman" w:eastAsia="Times New Roman" w:hAnsi="Times New Roman"/>
            <w:noProof/>
            <w:sz w:val="24"/>
            <w:szCs w:val="24"/>
            <w:lang w:val="en-US" w:eastAsia="en-US"/>
          </w:rPr>
          <w:tab/>
        </w:r>
        <w:r w:rsidRPr="00D03E44">
          <w:rPr>
            <w:rStyle w:val="Hyperlink"/>
            <w:noProof/>
          </w:rPr>
          <w:t>Intellectual Property Status</w:t>
        </w:r>
        <w:r>
          <w:rPr>
            <w:noProof/>
            <w:webHidden/>
          </w:rPr>
          <w:tab/>
        </w:r>
        <w:r>
          <w:rPr>
            <w:noProof/>
            <w:webHidden/>
          </w:rPr>
          <w:fldChar w:fldCharType="begin"/>
        </w:r>
        <w:r>
          <w:rPr>
            <w:noProof/>
            <w:webHidden/>
          </w:rPr>
          <w:instrText xml:space="preserve"> PAGEREF _Toc292036863 \h </w:instrText>
        </w:r>
        <w:r w:rsidR="001C2281">
          <w:rPr>
            <w:noProof/>
          </w:rPr>
        </w:r>
        <w:r>
          <w:rPr>
            <w:noProof/>
            <w:webHidden/>
          </w:rPr>
          <w:fldChar w:fldCharType="separate"/>
        </w:r>
        <w:r w:rsidR="00BA0B16">
          <w:rPr>
            <w:noProof/>
            <w:webHidden/>
          </w:rPr>
          <w:t>41</w:t>
        </w:r>
        <w:r>
          <w:rPr>
            <w:noProof/>
            <w:webHidden/>
          </w:rPr>
          <w:fldChar w:fldCharType="end"/>
        </w:r>
      </w:hyperlink>
    </w:p>
    <w:p w:rsidR="006F63C5" w:rsidRDefault="001D32C0" w:rsidP="00DD5199">
      <w:pPr>
        <w:spacing w:before="120" w:after="120"/>
        <w:rPr>
          <w:rFonts w:cs="Arial"/>
        </w:rPr>
      </w:pPr>
      <w:r>
        <w:rPr>
          <w:rFonts w:eastAsia="Times New Roman" w:cs="Arial"/>
          <w:noProof/>
        </w:rPr>
        <w:fldChar w:fldCharType="end"/>
      </w:r>
    </w:p>
    <w:p w:rsidR="005B6243" w:rsidRDefault="005B6243">
      <w:pPr>
        <w:rPr>
          <w:rFonts w:cs="Arial"/>
        </w:rPr>
        <w:sectPr w:rsidR="005B6243" w:rsidSect="0089415A">
          <w:headerReference w:type="default" r:id="rId8"/>
          <w:footerReference w:type="default" r:id="rId9"/>
          <w:pgSz w:w="11909" w:h="16834" w:code="9"/>
          <w:pgMar w:top="1985" w:right="1418" w:bottom="1418" w:left="1418" w:header="720" w:footer="720" w:gutter="0"/>
          <w:pgNumType w:fmt="lowerRoman" w:start="1"/>
          <w:cols w:space="720"/>
        </w:sectPr>
      </w:pPr>
    </w:p>
    <w:p w:rsidR="005B6243" w:rsidRDefault="005B6243" w:rsidP="00BA41FB">
      <w:pPr>
        <w:pStyle w:val="Heading1"/>
      </w:pPr>
      <w:bookmarkStart w:id="0" w:name="_1._Introduction"/>
      <w:bookmarkStart w:id="1" w:name="_Toc292036818"/>
      <w:bookmarkEnd w:id="0"/>
      <w:r>
        <w:lastRenderedPageBreak/>
        <w:t>1.</w:t>
      </w:r>
      <w:r>
        <w:tab/>
        <w:t>Introduction</w:t>
      </w:r>
      <w:bookmarkEnd w:id="1"/>
    </w:p>
    <w:p w:rsidR="003D5986" w:rsidRDefault="003D5986" w:rsidP="0017549D">
      <w:pPr>
        <w:rPr>
          <w:rFonts w:cs="Arial"/>
        </w:rPr>
      </w:pPr>
    </w:p>
    <w:p w:rsidR="00EC6E31" w:rsidRDefault="00EC6E31" w:rsidP="0017549D">
      <w:pPr>
        <w:rPr>
          <w:rFonts w:cs="Arial"/>
        </w:rPr>
      </w:pPr>
      <w:r>
        <w:rPr>
          <w:rFonts w:cs="Arial"/>
        </w:rPr>
        <w:t xml:space="preserve">This document provides information </w:t>
      </w:r>
      <w:r w:rsidR="00A02551">
        <w:rPr>
          <w:rFonts w:cs="Arial"/>
        </w:rPr>
        <w:t xml:space="preserve">and advice </w:t>
      </w:r>
      <w:r>
        <w:rPr>
          <w:rFonts w:cs="Arial"/>
        </w:rPr>
        <w:t xml:space="preserve">on detailed tagging issues </w:t>
      </w:r>
      <w:r w:rsidR="00717F88">
        <w:rPr>
          <w:rFonts w:cs="Arial"/>
        </w:rPr>
        <w:t>arising from the use of the XBRL UK accounts taxonomies</w:t>
      </w:r>
      <w:r w:rsidR="00D36872">
        <w:rPr>
          <w:rFonts w:cs="Arial"/>
        </w:rPr>
        <w:t>,</w:t>
      </w:r>
      <w:r w:rsidR="00B32AB0">
        <w:rPr>
          <w:rFonts w:cs="Arial"/>
        </w:rPr>
        <w:t xml:space="preserve"> </w:t>
      </w:r>
      <w:r w:rsidR="00D36872">
        <w:rPr>
          <w:rFonts w:cs="Arial"/>
        </w:rPr>
        <w:t>dated 2009-09-01</w:t>
      </w:r>
      <w:r w:rsidR="00717F88">
        <w:rPr>
          <w:rFonts w:cs="Arial"/>
        </w:rPr>
        <w:t xml:space="preserve">.  </w:t>
      </w:r>
    </w:p>
    <w:p w:rsidR="00717F88" w:rsidRDefault="00717F88" w:rsidP="0017549D">
      <w:pPr>
        <w:rPr>
          <w:rFonts w:cs="Arial"/>
        </w:rPr>
      </w:pPr>
    </w:p>
    <w:p w:rsidR="0026080A" w:rsidRPr="000B20A1" w:rsidRDefault="00717F88" w:rsidP="0026080A">
      <w:pPr>
        <w:rPr>
          <w:rFonts w:cs="Arial"/>
        </w:rPr>
      </w:pPr>
      <w:r>
        <w:rPr>
          <w:rFonts w:cs="Arial"/>
        </w:rPr>
        <w:t xml:space="preserve">It supplements the </w:t>
      </w:r>
      <w:r w:rsidRPr="00717F88">
        <w:rPr>
          <w:rFonts w:cs="Arial"/>
          <w:b/>
        </w:rPr>
        <w:t>XBRL UK Preparers and Developers Guide</w:t>
      </w:r>
      <w:r>
        <w:rPr>
          <w:rFonts w:cs="Arial"/>
        </w:rPr>
        <w:t xml:space="preserve">, which provides general </w:t>
      </w:r>
      <w:r w:rsidR="00523E49">
        <w:rPr>
          <w:rFonts w:cs="Arial"/>
        </w:rPr>
        <w:t xml:space="preserve">rules and </w:t>
      </w:r>
      <w:r>
        <w:rPr>
          <w:rFonts w:cs="Arial"/>
        </w:rPr>
        <w:t>guidance on the creation of financial reports in XBRL</w:t>
      </w:r>
      <w:r w:rsidR="0026080A">
        <w:rPr>
          <w:rFonts w:cs="Arial"/>
        </w:rPr>
        <w:t xml:space="preserve">, published at </w:t>
      </w:r>
      <w:hyperlink r:id="rId10" w:history="1">
        <w:r w:rsidR="0026080A" w:rsidRPr="00FE2E6E">
          <w:rPr>
            <w:rStyle w:val="Hyperlink"/>
            <w:rFonts w:cs="Arial"/>
          </w:rPr>
          <w:t>www.xbrl.org/uk/TechGuidance/</w:t>
        </w:r>
      </w:hyperlink>
      <w:r w:rsidR="00C54AAA">
        <w:rPr>
          <w:rFonts w:cs="Arial"/>
        </w:rPr>
        <w:t xml:space="preserve">, and </w:t>
      </w:r>
      <w:r w:rsidR="00C54AAA" w:rsidRPr="00C54AAA">
        <w:rPr>
          <w:rFonts w:cs="Arial"/>
          <w:b/>
        </w:rPr>
        <w:t>examples</w:t>
      </w:r>
      <w:r w:rsidR="00C54AAA">
        <w:rPr>
          <w:rFonts w:cs="Arial"/>
        </w:rPr>
        <w:t xml:space="preserve"> of XBRL tagging published at </w:t>
      </w:r>
      <w:hyperlink r:id="rId11" w:history="1">
        <w:r w:rsidR="00C54AAA" w:rsidRPr="000E5F8A">
          <w:rPr>
            <w:rStyle w:val="Hyperlink"/>
            <w:rFonts w:cs="Arial"/>
          </w:rPr>
          <w:t>www.xbrl.org/uk/TechSamples/</w:t>
        </w:r>
      </w:hyperlink>
      <w:r w:rsidR="00C54AAA">
        <w:rPr>
          <w:rFonts w:cs="Arial"/>
        </w:rPr>
        <w:t xml:space="preserve">.  </w:t>
      </w:r>
    </w:p>
    <w:p w:rsidR="0026080A" w:rsidRDefault="0026080A" w:rsidP="0026080A"/>
    <w:p w:rsidR="00EC6E31" w:rsidRDefault="00C54AAA" w:rsidP="0017549D">
      <w:pPr>
        <w:rPr>
          <w:rFonts w:cs="Arial"/>
        </w:rPr>
      </w:pPr>
      <w:r>
        <w:rPr>
          <w:rFonts w:cs="Arial"/>
        </w:rPr>
        <w:t xml:space="preserve">Users of this document should </w:t>
      </w:r>
      <w:r w:rsidRPr="005913FC">
        <w:rPr>
          <w:rFonts w:cs="Arial"/>
          <w:b/>
        </w:rPr>
        <w:t>already</w:t>
      </w:r>
      <w:r>
        <w:rPr>
          <w:rFonts w:cs="Arial"/>
        </w:rPr>
        <w:t xml:space="preserve"> be familiar with the main principles of reporting in XBRL and the </w:t>
      </w:r>
      <w:smartTag w:uri="urn:schemas-microsoft-com:office:smarttags" w:element="place">
        <w:smartTag w:uri="urn:schemas-microsoft-com:office:smarttags" w:element="country-region">
          <w:r>
            <w:rPr>
              <w:rFonts w:cs="Arial"/>
            </w:rPr>
            <w:t>UK</w:t>
          </w:r>
        </w:smartTag>
      </w:smartTag>
      <w:r>
        <w:rPr>
          <w:rFonts w:cs="Arial"/>
        </w:rPr>
        <w:t xml:space="preserve"> taxonomies.  </w:t>
      </w:r>
      <w:r w:rsidR="00242EC0">
        <w:rPr>
          <w:rFonts w:cs="Arial"/>
        </w:rPr>
        <w:t>This document is primarily aimed at:</w:t>
      </w:r>
    </w:p>
    <w:p w:rsidR="00242EC0" w:rsidRDefault="00242EC0" w:rsidP="0017549D">
      <w:pPr>
        <w:rPr>
          <w:rFonts w:cs="Arial"/>
        </w:rPr>
      </w:pPr>
    </w:p>
    <w:p w:rsidR="00242EC0" w:rsidRDefault="005913FC" w:rsidP="00A02551">
      <w:pPr>
        <w:numPr>
          <w:ilvl w:val="0"/>
          <w:numId w:val="6"/>
        </w:numPr>
        <w:rPr>
          <w:rFonts w:cs="Arial"/>
        </w:rPr>
      </w:pPr>
      <w:r>
        <w:rPr>
          <w:rFonts w:cs="Arial"/>
        </w:rPr>
        <w:t xml:space="preserve">Those involved in manually tagging financial statements using the </w:t>
      </w:r>
      <w:smartTag w:uri="urn:schemas-microsoft-com:office:smarttags" w:element="place">
        <w:smartTag w:uri="urn:schemas-microsoft-com:office:smarttags" w:element="country-region">
          <w:r>
            <w:rPr>
              <w:rFonts w:cs="Arial"/>
            </w:rPr>
            <w:t>UK</w:t>
          </w:r>
        </w:smartTag>
      </w:smartTag>
      <w:r>
        <w:rPr>
          <w:rFonts w:cs="Arial"/>
        </w:rPr>
        <w:t xml:space="preserve"> accounts taxonomies</w:t>
      </w:r>
      <w:r w:rsidR="00BA3D78">
        <w:rPr>
          <w:rFonts w:cs="Arial"/>
        </w:rPr>
        <w:t>.</w:t>
      </w:r>
      <w:r>
        <w:rPr>
          <w:rFonts w:cs="Arial"/>
        </w:rPr>
        <w:t xml:space="preserve">  </w:t>
      </w:r>
    </w:p>
    <w:p w:rsidR="00BA3D78" w:rsidRDefault="00BA3D78" w:rsidP="00BA3D78">
      <w:pPr>
        <w:rPr>
          <w:rFonts w:cs="Arial"/>
        </w:rPr>
      </w:pPr>
    </w:p>
    <w:p w:rsidR="00BA3D78" w:rsidRDefault="00BA3D78" w:rsidP="00242EC0">
      <w:pPr>
        <w:numPr>
          <w:ilvl w:val="0"/>
          <w:numId w:val="3"/>
        </w:numPr>
        <w:rPr>
          <w:rFonts w:cs="Arial"/>
        </w:rPr>
      </w:pPr>
      <w:r>
        <w:rPr>
          <w:rFonts w:cs="Arial"/>
        </w:rPr>
        <w:t xml:space="preserve">Those providing training or other forms of guidance for taggers of accounts.  </w:t>
      </w:r>
    </w:p>
    <w:p w:rsidR="00BA3D78" w:rsidRDefault="00BA3D78" w:rsidP="00BA3D78">
      <w:pPr>
        <w:rPr>
          <w:rFonts w:cs="Arial"/>
        </w:rPr>
      </w:pPr>
    </w:p>
    <w:p w:rsidR="00BA3D78" w:rsidRDefault="00BA3D78" w:rsidP="00242EC0">
      <w:pPr>
        <w:numPr>
          <w:ilvl w:val="0"/>
          <w:numId w:val="3"/>
        </w:numPr>
        <w:rPr>
          <w:rFonts w:cs="Arial"/>
        </w:rPr>
      </w:pPr>
      <w:r>
        <w:rPr>
          <w:rFonts w:cs="Arial"/>
        </w:rPr>
        <w:t>Developers of software which creates accounts in XBRL.  This includes accounts production software a</w:t>
      </w:r>
      <w:r w:rsidR="00224B17">
        <w:rPr>
          <w:rFonts w:cs="Arial"/>
        </w:rPr>
        <w:t xml:space="preserve">s well as </w:t>
      </w:r>
      <w:r>
        <w:rPr>
          <w:rFonts w:cs="Arial"/>
        </w:rPr>
        <w:t xml:space="preserve">software which supports manual tagging </w:t>
      </w:r>
      <w:r w:rsidR="00224B17">
        <w:rPr>
          <w:rFonts w:cs="Arial"/>
        </w:rPr>
        <w:t>in any form</w:t>
      </w:r>
      <w:r>
        <w:rPr>
          <w:rFonts w:cs="Arial"/>
        </w:rPr>
        <w:t xml:space="preserve">.  </w:t>
      </w:r>
    </w:p>
    <w:p w:rsidR="00BA3D78" w:rsidRDefault="00BA3D78" w:rsidP="00BA3D78">
      <w:pPr>
        <w:rPr>
          <w:rFonts w:cs="Arial"/>
        </w:rPr>
      </w:pPr>
    </w:p>
    <w:p w:rsidR="00BA3D78" w:rsidRDefault="00BA3D78" w:rsidP="00242EC0">
      <w:pPr>
        <w:numPr>
          <w:ilvl w:val="0"/>
          <w:numId w:val="3"/>
        </w:numPr>
        <w:rPr>
          <w:rFonts w:cs="Arial"/>
        </w:rPr>
      </w:pPr>
      <w:r>
        <w:rPr>
          <w:rFonts w:cs="Arial"/>
        </w:rPr>
        <w:t>Consumers of XBRL data and those who create software for analysing XBRL data.</w:t>
      </w:r>
    </w:p>
    <w:p w:rsidR="00EC6E31" w:rsidRDefault="00EC6E31" w:rsidP="0017549D">
      <w:pPr>
        <w:rPr>
          <w:rFonts w:cs="Arial"/>
        </w:rPr>
      </w:pPr>
    </w:p>
    <w:p w:rsidR="00D93C1A" w:rsidRDefault="00BA3D78" w:rsidP="0017549D">
      <w:pPr>
        <w:rPr>
          <w:rFonts w:cs="Arial"/>
        </w:rPr>
      </w:pPr>
      <w:r>
        <w:rPr>
          <w:rFonts w:cs="Arial"/>
        </w:rPr>
        <w:t>The purpose of the document is to</w:t>
      </w:r>
      <w:r w:rsidR="00D93C1A">
        <w:rPr>
          <w:rFonts w:cs="Arial"/>
        </w:rPr>
        <w:t>:</w:t>
      </w:r>
    </w:p>
    <w:p w:rsidR="00D93C1A" w:rsidRDefault="00D93C1A" w:rsidP="0017549D">
      <w:pPr>
        <w:rPr>
          <w:rFonts w:cs="Arial"/>
        </w:rPr>
      </w:pPr>
    </w:p>
    <w:p w:rsidR="00A953A2" w:rsidRDefault="0062122A" w:rsidP="00D36872">
      <w:pPr>
        <w:numPr>
          <w:ilvl w:val="0"/>
          <w:numId w:val="9"/>
        </w:numPr>
      </w:pPr>
      <w:r w:rsidRPr="0062122A">
        <w:t xml:space="preserve">Explain the use of particular tags </w:t>
      </w:r>
      <w:r w:rsidR="00F64803">
        <w:t>and</w:t>
      </w:r>
      <w:r w:rsidRPr="0062122A">
        <w:t xml:space="preserve"> features in the taxonomies which may cause difficulties.</w:t>
      </w:r>
      <w:r>
        <w:t xml:space="preserve"> </w:t>
      </w:r>
    </w:p>
    <w:p w:rsidR="00A02551" w:rsidRDefault="00A02551" w:rsidP="00A02551"/>
    <w:p w:rsidR="00A02551" w:rsidRDefault="00A02551" w:rsidP="00D36872">
      <w:pPr>
        <w:numPr>
          <w:ilvl w:val="0"/>
          <w:numId w:val="9"/>
        </w:numPr>
      </w:pPr>
      <w:r>
        <w:t xml:space="preserve">Explain </w:t>
      </w:r>
      <w:r w:rsidR="00EB2E1E">
        <w:t xml:space="preserve">ambiguities, gaps or </w:t>
      </w:r>
      <w:r>
        <w:t xml:space="preserve">errors </w:t>
      </w:r>
      <w:r w:rsidR="00EB2E1E">
        <w:t xml:space="preserve">in </w:t>
      </w:r>
      <w:r>
        <w:t xml:space="preserve">the taxonomies and describe tagging solutions to these problems.  </w:t>
      </w:r>
    </w:p>
    <w:p w:rsidR="00A02551" w:rsidRDefault="00A02551" w:rsidP="00A02551"/>
    <w:p w:rsidR="0062122A" w:rsidRDefault="0062122A" w:rsidP="00D36872">
      <w:pPr>
        <w:numPr>
          <w:ilvl w:val="0"/>
          <w:numId w:val="9"/>
        </w:numPr>
        <w:rPr>
          <w:rFonts w:cs="Arial"/>
        </w:rPr>
      </w:pPr>
      <w:r>
        <w:rPr>
          <w:rFonts w:cs="Arial"/>
        </w:rPr>
        <w:t>Answer frequently asked questions raised by users about particular tags or features.</w:t>
      </w:r>
    </w:p>
    <w:p w:rsidR="00A02551" w:rsidRDefault="00A02551" w:rsidP="00A02551">
      <w:pPr>
        <w:rPr>
          <w:rFonts w:cs="Arial"/>
        </w:rPr>
      </w:pPr>
    </w:p>
    <w:p w:rsidR="00523E49" w:rsidRDefault="00523E49" w:rsidP="00523E49">
      <w:r>
        <w:t xml:space="preserve">This Detailed Tagging Information (DTI) document emphasises and elaborates on some rules and principles of tagging set out in the </w:t>
      </w:r>
      <w:hyperlink w:anchor="PDGuide" w:history="1">
        <w:r w:rsidRPr="00B8689E">
          <w:rPr>
            <w:rStyle w:val="Hyperlink"/>
          </w:rPr>
          <w:t>Preparers and Developers Guide</w:t>
        </w:r>
      </w:hyperlink>
      <w:r>
        <w:t xml:space="preserve">.  </w:t>
      </w:r>
      <w:r w:rsidRPr="00DC3DC2">
        <w:rPr>
          <w:b/>
        </w:rPr>
        <w:t xml:space="preserve">It does not supplant any of those rules and nor is it </w:t>
      </w:r>
      <w:r w:rsidR="008A5EDB" w:rsidRPr="00DC3DC2">
        <w:rPr>
          <w:b/>
        </w:rPr>
        <w:t xml:space="preserve">a </w:t>
      </w:r>
      <w:r w:rsidRPr="00DC3DC2">
        <w:rPr>
          <w:b/>
        </w:rPr>
        <w:t>substitute for that Guide.</w:t>
      </w:r>
      <w:r>
        <w:t xml:space="preserve">  Preparers and developers should be familiar with the content of the Guide.  </w:t>
      </w:r>
      <w:r w:rsidR="00111098">
        <w:t xml:space="preserve">They should also consult HMRC and Companies House guidance and interface documents for specific information on HMRC and Companies House filing requirements.  </w:t>
      </w:r>
    </w:p>
    <w:p w:rsidR="00523E49" w:rsidRDefault="00523E49" w:rsidP="00A953A2"/>
    <w:p w:rsidR="00A953A2" w:rsidRDefault="00523E49" w:rsidP="00A953A2">
      <w:r>
        <w:t xml:space="preserve">The document </w:t>
      </w:r>
      <w:r w:rsidR="00A02551">
        <w:t xml:space="preserve">is </w:t>
      </w:r>
      <w:r w:rsidR="00966DFF">
        <w:t xml:space="preserve">purely </w:t>
      </w:r>
      <w:r w:rsidR="00A02551">
        <w:t xml:space="preserve">concerned with explaining </w:t>
      </w:r>
      <w:r w:rsidR="00D87AA9">
        <w:t xml:space="preserve">aspects of tagging.  </w:t>
      </w:r>
      <w:r w:rsidR="00A02551">
        <w:t xml:space="preserve">It is </w:t>
      </w:r>
      <w:r w:rsidR="00D87AA9">
        <w:rPr>
          <w:b/>
        </w:rPr>
        <w:t>not</w:t>
      </w:r>
      <w:r w:rsidR="00A02551">
        <w:t xml:space="preserve"> concerned with </w:t>
      </w:r>
      <w:r>
        <w:t xml:space="preserve">the interpretation of accounting items or financial statements.  </w:t>
      </w:r>
    </w:p>
    <w:p w:rsidR="00523E49" w:rsidRDefault="00523E49" w:rsidP="00A953A2"/>
    <w:p w:rsidR="00EC6E31" w:rsidRDefault="00EB2E1E" w:rsidP="0017549D">
      <w:pPr>
        <w:rPr>
          <w:rFonts w:cs="Arial"/>
        </w:rPr>
      </w:pPr>
      <w:r>
        <w:rPr>
          <w:rFonts w:cs="Arial"/>
        </w:rPr>
        <w:t xml:space="preserve">Future versions of the </w:t>
      </w:r>
      <w:r w:rsidR="00966DFF">
        <w:rPr>
          <w:rFonts w:cs="Arial"/>
        </w:rPr>
        <w:t xml:space="preserve">accounts </w:t>
      </w:r>
      <w:r>
        <w:rPr>
          <w:rFonts w:cs="Arial"/>
        </w:rPr>
        <w:t>taxonom</w:t>
      </w:r>
      <w:r w:rsidR="00000EB2">
        <w:rPr>
          <w:rFonts w:cs="Arial"/>
        </w:rPr>
        <w:t>ies</w:t>
      </w:r>
      <w:r>
        <w:rPr>
          <w:rFonts w:cs="Arial"/>
        </w:rPr>
        <w:t xml:space="preserve"> may </w:t>
      </w:r>
      <w:r w:rsidR="00966DFF">
        <w:rPr>
          <w:rFonts w:cs="Arial"/>
        </w:rPr>
        <w:t>correct</w:t>
      </w:r>
      <w:r>
        <w:rPr>
          <w:rFonts w:cs="Arial"/>
        </w:rPr>
        <w:t xml:space="preserve"> ambiguities, gaps and errors, so this document provides some indication of </w:t>
      </w:r>
      <w:r w:rsidR="00AD4A47">
        <w:rPr>
          <w:rFonts w:cs="Arial"/>
        </w:rPr>
        <w:t xml:space="preserve">possible </w:t>
      </w:r>
      <w:r>
        <w:rPr>
          <w:rFonts w:cs="Arial"/>
        </w:rPr>
        <w:t xml:space="preserve">changes in taxonomy versions in 2012 and beyond.  </w:t>
      </w:r>
    </w:p>
    <w:p w:rsidR="009A6F41" w:rsidRDefault="009A6F41" w:rsidP="0017549D">
      <w:pPr>
        <w:rPr>
          <w:rFonts w:cs="Arial"/>
        </w:rPr>
      </w:pPr>
    </w:p>
    <w:p w:rsidR="00000EB2" w:rsidRDefault="00000EB2" w:rsidP="0017549D">
      <w:pPr>
        <w:rPr>
          <w:rFonts w:cs="Arial"/>
        </w:rPr>
      </w:pPr>
      <w:r>
        <w:rPr>
          <w:rFonts w:cs="Arial"/>
        </w:rPr>
        <w:t>The accounts taxonomies covered are those listed in section 6.1 of the Preparers and Developers Guide.  Th</w:t>
      </w:r>
      <w:r w:rsidR="00224B17">
        <w:rPr>
          <w:rFonts w:cs="Arial"/>
        </w:rPr>
        <w:t xml:space="preserve">ose are the </w:t>
      </w:r>
      <w:r>
        <w:rPr>
          <w:rFonts w:cs="Arial"/>
        </w:rPr>
        <w:t>UK GAAP, UK IFRS, UK Banking and UK Charities</w:t>
      </w:r>
      <w:r w:rsidR="00224B17">
        <w:rPr>
          <w:rFonts w:cs="Arial"/>
        </w:rPr>
        <w:t xml:space="preserve"> taxonomies</w:t>
      </w:r>
      <w:r>
        <w:rPr>
          <w:rFonts w:cs="Arial"/>
        </w:rPr>
        <w:t xml:space="preserve">.  </w:t>
      </w:r>
    </w:p>
    <w:p w:rsidR="00000EB2" w:rsidRDefault="00000EB2" w:rsidP="0017549D">
      <w:pPr>
        <w:rPr>
          <w:rFonts w:cs="Arial"/>
        </w:rPr>
      </w:pPr>
    </w:p>
    <w:p w:rsidR="00D36872" w:rsidRDefault="00D305F8" w:rsidP="00D36872">
      <w:pPr>
        <w:rPr>
          <w:rFonts w:cs="Arial"/>
        </w:rPr>
      </w:pPr>
      <w:r>
        <w:rPr>
          <w:rFonts w:cs="Arial"/>
        </w:rPr>
        <w:t>The document</w:t>
      </w:r>
      <w:r w:rsidR="00EB6735">
        <w:rPr>
          <w:rFonts w:cs="Arial"/>
        </w:rPr>
        <w:t xml:space="preserve"> may be updated periodically to cover newly raised issues and questions.  </w:t>
      </w:r>
      <w:r w:rsidR="00D36872">
        <w:rPr>
          <w:rFonts w:cs="Arial"/>
        </w:rPr>
        <w:t xml:space="preserve">It is published by </w:t>
      </w:r>
      <w:r w:rsidR="00D36872">
        <w:t xml:space="preserve">XBRL UK Ltd, a consortium of government agencies, accounting firms and other companies.  XBRL </w:t>
      </w:r>
      <w:smartTag w:uri="urn:schemas-microsoft-com:office:smarttags" w:element="country-region">
        <w:r w:rsidR="00D36872">
          <w:t>UK</w:t>
        </w:r>
      </w:smartTag>
      <w:r w:rsidR="00D36872">
        <w:t xml:space="preserve"> is responsible for issuing the XBRL taxonomies which represent data in company accounts and supporting the introduction of XBRL in the </w:t>
      </w:r>
      <w:smartTag w:uri="urn:schemas-microsoft-com:office:smarttags" w:element="place">
        <w:smartTag w:uri="urn:schemas-microsoft-com:office:smarttags" w:element="country-region">
          <w:r w:rsidR="00D36872">
            <w:t>United Kingdom</w:t>
          </w:r>
        </w:smartTag>
      </w:smartTag>
      <w:r w:rsidR="00D36872">
        <w:t>.</w:t>
      </w:r>
    </w:p>
    <w:p w:rsidR="00D36872" w:rsidRDefault="00D36872" w:rsidP="0017549D">
      <w:pPr>
        <w:rPr>
          <w:rFonts w:cs="Arial"/>
        </w:rPr>
      </w:pPr>
    </w:p>
    <w:p w:rsidR="00AB3B19" w:rsidRDefault="00000EB2" w:rsidP="008B2509">
      <w:pPr>
        <w:pStyle w:val="Heading1"/>
        <w:rPr>
          <w:rFonts w:cs="Arial"/>
        </w:rPr>
      </w:pPr>
      <w:r>
        <w:rPr>
          <w:rFonts w:cs="Arial"/>
        </w:rPr>
        <w:br w:type="page"/>
      </w:r>
      <w:bookmarkStart w:id="2" w:name="_Toc292036819"/>
      <w:r w:rsidR="0028069F" w:rsidRPr="0028069F">
        <w:lastRenderedPageBreak/>
        <w:t>2.</w:t>
      </w:r>
      <w:r w:rsidR="0028069F" w:rsidRPr="0028069F">
        <w:tab/>
      </w:r>
      <w:r w:rsidR="008B2509">
        <w:t>Organisation of the document</w:t>
      </w:r>
      <w:bookmarkEnd w:id="2"/>
    </w:p>
    <w:p w:rsidR="008B2509" w:rsidRDefault="008B2509" w:rsidP="008B2509">
      <w:pPr>
        <w:rPr>
          <w:rFonts w:cs="Arial"/>
        </w:rPr>
      </w:pPr>
    </w:p>
    <w:p w:rsidR="008B2509" w:rsidRDefault="00EB30B8" w:rsidP="008B2509">
      <w:pPr>
        <w:rPr>
          <w:rFonts w:cs="Arial"/>
        </w:rPr>
      </w:pPr>
      <w:r>
        <w:rPr>
          <w:rFonts w:cs="Arial"/>
        </w:rPr>
        <w:t xml:space="preserve">The document </w:t>
      </w:r>
      <w:r w:rsidR="00DD2932">
        <w:rPr>
          <w:rFonts w:cs="Arial"/>
        </w:rPr>
        <w:t>contains</w:t>
      </w:r>
      <w:r w:rsidR="000356D8">
        <w:rPr>
          <w:rFonts w:cs="Arial"/>
        </w:rPr>
        <w:t xml:space="preserve"> separate sections</w:t>
      </w:r>
      <w:r w:rsidR="001C5F0A">
        <w:rPr>
          <w:rFonts w:cs="Arial"/>
        </w:rPr>
        <w:t xml:space="preserve"> for general issues, the directors’ report, auditors’ report and UK GAAP and </w:t>
      </w:r>
      <w:smartTag w:uri="urn:schemas-microsoft-com:office:smarttags" w:element="place">
        <w:smartTag w:uri="urn:schemas-microsoft-com:office:smarttags" w:element="country-region">
          <w:r w:rsidR="007A24A2">
            <w:rPr>
              <w:rFonts w:cs="Arial"/>
            </w:rPr>
            <w:t>UK</w:t>
          </w:r>
        </w:smartTag>
      </w:smartTag>
      <w:r w:rsidR="007A24A2">
        <w:rPr>
          <w:rFonts w:cs="Arial"/>
        </w:rPr>
        <w:t xml:space="preserve"> </w:t>
      </w:r>
      <w:r w:rsidR="001C5F0A">
        <w:rPr>
          <w:rFonts w:cs="Arial"/>
        </w:rPr>
        <w:t>IFRS-specific information.  The accounts-related sections</w:t>
      </w:r>
      <w:r w:rsidR="00E90B4B">
        <w:rPr>
          <w:rFonts w:cs="Arial"/>
        </w:rPr>
        <w:t xml:space="preserve"> and the items they contain</w:t>
      </w:r>
      <w:r w:rsidR="001C5F0A">
        <w:rPr>
          <w:rFonts w:cs="Arial"/>
        </w:rPr>
        <w:t xml:space="preserve"> </w:t>
      </w:r>
      <w:r w:rsidR="00AC301E">
        <w:rPr>
          <w:rFonts w:cs="Arial"/>
        </w:rPr>
        <w:t xml:space="preserve">are organised </w:t>
      </w:r>
      <w:r>
        <w:rPr>
          <w:rFonts w:cs="Arial"/>
        </w:rPr>
        <w:t xml:space="preserve">broadly according to the order in which information appears in typical accounts </w:t>
      </w:r>
      <w:r w:rsidR="004D26C5">
        <w:rPr>
          <w:rFonts w:cs="Arial"/>
        </w:rPr>
        <w:t xml:space="preserve">– this matches the ordering of tags in the </w:t>
      </w:r>
      <w:r w:rsidR="00125D2B">
        <w:rPr>
          <w:rFonts w:cs="Arial"/>
        </w:rPr>
        <w:t xml:space="preserve">presentation view of the </w:t>
      </w:r>
      <w:r w:rsidR="004D26C5">
        <w:rPr>
          <w:rFonts w:cs="Arial"/>
        </w:rPr>
        <w:t xml:space="preserve">taxonomies.  Clearly, this ordering will not necessarily </w:t>
      </w:r>
      <w:r w:rsidR="00125D2B">
        <w:rPr>
          <w:rFonts w:cs="Arial"/>
        </w:rPr>
        <w:t xml:space="preserve">exactly </w:t>
      </w:r>
      <w:r w:rsidR="004D26C5">
        <w:rPr>
          <w:rFonts w:cs="Arial"/>
        </w:rPr>
        <w:t xml:space="preserve">match that in individual company accounts.  </w:t>
      </w:r>
    </w:p>
    <w:p w:rsidR="00A246EE" w:rsidRDefault="00A246EE" w:rsidP="008B2509">
      <w:pPr>
        <w:rPr>
          <w:rFonts w:cs="Arial"/>
        </w:rPr>
      </w:pPr>
    </w:p>
    <w:p w:rsidR="00A246EE" w:rsidRDefault="00A246EE" w:rsidP="008B2509">
      <w:pPr>
        <w:rPr>
          <w:rFonts w:cs="Arial"/>
        </w:rPr>
      </w:pPr>
      <w:r>
        <w:rPr>
          <w:rFonts w:cs="Arial"/>
        </w:rPr>
        <w:t xml:space="preserve">Some final sections cover technical information which is likely primarily to be of interest to developers.  </w:t>
      </w:r>
    </w:p>
    <w:p w:rsidR="001C5F0A" w:rsidRDefault="001C5F0A" w:rsidP="008B2509">
      <w:pPr>
        <w:rPr>
          <w:rFonts w:cs="Arial"/>
        </w:rPr>
      </w:pPr>
    </w:p>
    <w:p w:rsidR="00A917DA" w:rsidRDefault="00A917DA">
      <w:pPr>
        <w:rPr>
          <w:rFonts w:cs="Arial"/>
        </w:rPr>
      </w:pPr>
      <w:r>
        <w:rPr>
          <w:rFonts w:cs="Arial"/>
        </w:rPr>
        <w:t xml:space="preserve">The term ‘Preparers’ in the </w:t>
      </w:r>
      <w:r w:rsidR="00FD36A4">
        <w:rPr>
          <w:rFonts w:cs="Arial"/>
        </w:rPr>
        <w:t xml:space="preserve">following </w:t>
      </w:r>
      <w:r>
        <w:rPr>
          <w:rFonts w:cs="Arial"/>
        </w:rPr>
        <w:t xml:space="preserve">sections is intended to mean anyone responsible for creating a financial report in XBRL, including those applying or reviewing tagging and those creating software which produces such reports.  </w:t>
      </w:r>
    </w:p>
    <w:p w:rsidR="00A917DA" w:rsidRDefault="00A917DA">
      <w:pPr>
        <w:rPr>
          <w:rFonts w:cs="Arial"/>
        </w:rPr>
      </w:pPr>
    </w:p>
    <w:p w:rsidR="001C5F0A" w:rsidRDefault="001C5F0A">
      <w:pPr>
        <w:rPr>
          <w:rFonts w:cs="Arial"/>
        </w:rPr>
      </w:pPr>
      <w:r>
        <w:rPr>
          <w:rFonts w:cs="Arial"/>
        </w:rPr>
        <w:t>Tags in the taxonomies are identified in ‘</w:t>
      </w:r>
      <w:r w:rsidRPr="001C5F0A">
        <w:rPr>
          <w:rFonts w:cs="Arial"/>
          <w:i/>
          <w:color w:val="FF0000"/>
        </w:rPr>
        <w:t>red italics</w:t>
      </w:r>
      <w:r>
        <w:rPr>
          <w:rFonts w:cs="Arial"/>
        </w:rPr>
        <w:t xml:space="preserve">’ and are within single quotation marks.  </w:t>
      </w:r>
      <w:r w:rsidR="00EA007D">
        <w:rPr>
          <w:rFonts w:cs="Arial"/>
        </w:rPr>
        <w:t xml:space="preserve">Dimension names are identified by </w:t>
      </w:r>
      <w:r w:rsidR="00EA007D" w:rsidRPr="00EA007D">
        <w:rPr>
          <w:rFonts w:cs="Arial"/>
          <w:i/>
        </w:rPr>
        <w:t>italics</w:t>
      </w:r>
      <w:r w:rsidR="00EA007D">
        <w:rPr>
          <w:rFonts w:cs="Arial"/>
        </w:rPr>
        <w:t xml:space="preserve">.  </w:t>
      </w:r>
      <w:r>
        <w:rPr>
          <w:rFonts w:cs="Arial"/>
        </w:rPr>
        <w:t xml:space="preserve">Sections in the taxonomies are identified in </w:t>
      </w:r>
      <w:r w:rsidRPr="001C5F0A">
        <w:rPr>
          <w:rFonts w:cs="Arial"/>
          <w:i/>
          <w:color w:val="008000"/>
        </w:rPr>
        <w:t>green italics</w:t>
      </w:r>
      <w:r>
        <w:rPr>
          <w:rFonts w:cs="Arial"/>
        </w:rPr>
        <w:t>, without quotation marks.  Hy</w:t>
      </w:r>
      <w:r w:rsidR="007F1502">
        <w:rPr>
          <w:rFonts w:cs="Arial"/>
        </w:rPr>
        <w:t>perlinks are cross-references within this document or go</w:t>
      </w:r>
      <w:r>
        <w:rPr>
          <w:rFonts w:cs="Arial"/>
        </w:rPr>
        <w:t xml:space="preserve"> to the references at the end of th</w:t>
      </w:r>
      <w:r w:rsidR="007F1502">
        <w:rPr>
          <w:rFonts w:cs="Arial"/>
        </w:rPr>
        <w:t>e</w:t>
      </w:r>
      <w:r>
        <w:rPr>
          <w:rFonts w:cs="Arial"/>
        </w:rPr>
        <w:t xml:space="preserve"> document</w:t>
      </w:r>
      <w:r w:rsidR="00A917DA">
        <w:rPr>
          <w:rFonts w:cs="Arial"/>
        </w:rPr>
        <w:t>.</w:t>
      </w:r>
    </w:p>
    <w:p w:rsidR="00A917DA" w:rsidRDefault="00A917DA">
      <w:pPr>
        <w:rPr>
          <w:rFonts w:cs="Arial"/>
        </w:rPr>
      </w:pPr>
    </w:p>
    <w:p w:rsidR="00A33FE4" w:rsidRDefault="00D357C2">
      <w:pPr>
        <w:rPr>
          <w:rFonts w:cs="Arial"/>
        </w:rPr>
      </w:pPr>
      <w:r>
        <w:rPr>
          <w:rFonts w:cs="Arial"/>
        </w:rPr>
        <w:t xml:space="preserve">Entries </w:t>
      </w:r>
      <w:r w:rsidR="00B35720">
        <w:rPr>
          <w:rFonts w:cs="Arial"/>
        </w:rPr>
        <w:t>in the</w:t>
      </w:r>
      <w:r>
        <w:rPr>
          <w:rFonts w:cs="Arial"/>
        </w:rPr>
        <w:t xml:space="preserve"> </w:t>
      </w:r>
      <w:r w:rsidR="00E90B4B">
        <w:rPr>
          <w:rFonts w:cs="Arial"/>
        </w:rPr>
        <w:t xml:space="preserve">following </w:t>
      </w:r>
      <w:r w:rsidR="00B35720">
        <w:rPr>
          <w:rFonts w:cs="Arial"/>
        </w:rPr>
        <w:t>tables</w:t>
      </w:r>
      <w:r>
        <w:rPr>
          <w:rFonts w:cs="Arial"/>
        </w:rPr>
        <w:t xml:space="preserve"> </w:t>
      </w:r>
      <w:r w:rsidR="00A33FE4">
        <w:rPr>
          <w:rFonts w:cs="Arial"/>
        </w:rPr>
        <w:t xml:space="preserve">fall into two types: </w:t>
      </w:r>
    </w:p>
    <w:p w:rsidR="00A33FE4" w:rsidRDefault="00A33FE4">
      <w:pPr>
        <w:rPr>
          <w:rFonts w:cs="Arial"/>
        </w:rPr>
      </w:pPr>
    </w:p>
    <w:p w:rsidR="00A33FE4" w:rsidRDefault="00A33FE4" w:rsidP="00A33FE4">
      <w:pPr>
        <w:numPr>
          <w:ilvl w:val="0"/>
          <w:numId w:val="10"/>
        </w:numPr>
        <w:rPr>
          <w:rFonts w:cs="Arial"/>
        </w:rPr>
      </w:pPr>
      <w:r>
        <w:rPr>
          <w:rFonts w:cs="Arial"/>
        </w:rPr>
        <w:t xml:space="preserve">Entries which provide additional explanation </w:t>
      </w:r>
      <w:r w:rsidR="00B35720">
        <w:rPr>
          <w:rFonts w:cs="Arial"/>
        </w:rPr>
        <w:t xml:space="preserve">and guidance.  These form the bulk of the items. </w:t>
      </w:r>
    </w:p>
    <w:p w:rsidR="00A33FE4" w:rsidRDefault="00A33FE4" w:rsidP="00A33FE4">
      <w:pPr>
        <w:rPr>
          <w:rFonts w:cs="Arial"/>
        </w:rPr>
      </w:pPr>
    </w:p>
    <w:p w:rsidR="00A33FE4" w:rsidRDefault="00B35720">
      <w:pPr>
        <w:numPr>
          <w:ilvl w:val="0"/>
          <w:numId w:val="10"/>
        </w:numPr>
        <w:rPr>
          <w:rFonts w:cs="Arial"/>
        </w:rPr>
      </w:pPr>
      <w:r>
        <w:rPr>
          <w:rFonts w:cs="Arial"/>
        </w:rPr>
        <w:t>Entries</w:t>
      </w:r>
      <w:r w:rsidR="00A33FE4">
        <w:rPr>
          <w:rFonts w:cs="Arial"/>
        </w:rPr>
        <w:t xml:space="preserve"> which identify an acknowledged issue in the taxonomy, such as a gap, error or ambiguity.  The</w:t>
      </w:r>
      <w:r w:rsidR="00E90B4B">
        <w:rPr>
          <w:rFonts w:cs="Arial"/>
        </w:rPr>
        <w:t>se</w:t>
      </w:r>
      <w:r w:rsidR="00A33FE4">
        <w:rPr>
          <w:rFonts w:cs="Arial"/>
        </w:rPr>
        <w:t xml:space="preserve"> </w:t>
      </w:r>
      <w:r w:rsidR="00A33FE4" w:rsidRPr="00A33FE4">
        <w:rPr>
          <w:rFonts w:cs="Arial"/>
        </w:rPr>
        <w:t xml:space="preserve">generally include guidance on how accounts preparers should deal with the issue concerned.  </w:t>
      </w:r>
      <w:r w:rsidR="00D357C2">
        <w:rPr>
          <w:rFonts w:cs="Arial"/>
        </w:rPr>
        <w:t xml:space="preserve">The ID and item columns of these entries are highlighted in </w:t>
      </w:r>
      <w:r w:rsidR="00D357C2" w:rsidRPr="00D357C2">
        <w:rPr>
          <w:rFonts w:cs="Arial"/>
          <w:highlight w:val="yellow"/>
        </w:rPr>
        <w:t>yellow</w:t>
      </w:r>
      <w:r w:rsidR="00E90B4B">
        <w:rPr>
          <w:rFonts w:cs="Arial"/>
        </w:rPr>
        <w:t xml:space="preserve">. </w:t>
      </w:r>
      <w:r w:rsidR="00D357C2">
        <w:rPr>
          <w:rFonts w:cs="Arial"/>
        </w:rPr>
        <w:t xml:space="preserve"> </w:t>
      </w:r>
    </w:p>
    <w:p w:rsidR="00A33FE4" w:rsidRDefault="00A33FE4">
      <w:pPr>
        <w:rPr>
          <w:rFonts w:cs="Arial"/>
        </w:rPr>
      </w:pPr>
    </w:p>
    <w:p w:rsidR="00D357C2" w:rsidRDefault="00D357C2">
      <w:pPr>
        <w:rPr>
          <w:rFonts w:cs="Arial"/>
        </w:rPr>
      </w:pPr>
      <w:r>
        <w:rPr>
          <w:rFonts w:cs="Arial"/>
        </w:rPr>
        <w:t xml:space="preserve">This distinction and highlighting is purely to help users of this document </w:t>
      </w:r>
      <w:r w:rsidR="00E90B4B">
        <w:rPr>
          <w:rFonts w:cs="Arial"/>
        </w:rPr>
        <w:t>to understand</w:t>
      </w:r>
      <w:r w:rsidR="007A7720">
        <w:rPr>
          <w:rFonts w:cs="Arial"/>
        </w:rPr>
        <w:t xml:space="preserve"> and assess</w:t>
      </w:r>
      <w:r w:rsidR="00E90B4B">
        <w:rPr>
          <w:rFonts w:cs="Arial"/>
        </w:rPr>
        <w:t xml:space="preserve"> the </w:t>
      </w:r>
      <w:r w:rsidR="007A7720">
        <w:rPr>
          <w:rFonts w:cs="Arial"/>
        </w:rPr>
        <w:t xml:space="preserve">full set of </w:t>
      </w:r>
      <w:r w:rsidR="00E90B4B">
        <w:rPr>
          <w:rFonts w:cs="Arial"/>
        </w:rPr>
        <w:t>points listed</w:t>
      </w:r>
      <w:r w:rsidR="007A7720">
        <w:rPr>
          <w:rFonts w:cs="Arial"/>
        </w:rPr>
        <w:t xml:space="preserve"> and to identify items of interest</w:t>
      </w:r>
      <w:r w:rsidR="00E90B4B">
        <w:rPr>
          <w:rFonts w:cs="Arial"/>
        </w:rPr>
        <w:t>.</w:t>
      </w:r>
      <w:r w:rsidR="007A7720">
        <w:rPr>
          <w:rFonts w:cs="Arial"/>
        </w:rPr>
        <w:t xml:space="preserve">  </w:t>
      </w:r>
    </w:p>
    <w:p w:rsidR="00D357C2" w:rsidRDefault="00D357C2">
      <w:pPr>
        <w:rPr>
          <w:rFonts w:cs="Arial"/>
        </w:rPr>
      </w:pPr>
    </w:p>
    <w:p w:rsidR="00172A9B" w:rsidRPr="00172A9B" w:rsidRDefault="00FD36A4" w:rsidP="00172A9B">
      <w:pPr>
        <w:pStyle w:val="Heading1"/>
      </w:pPr>
      <w:r>
        <w:br w:type="page"/>
      </w:r>
      <w:bookmarkStart w:id="3" w:name="_Toc292036820"/>
      <w:r w:rsidR="00172A9B" w:rsidRPr="00172A9B">
        <w:lastRenderedPageBreak/>
        <w:t>3</w:t>
      </w:r>
      <w:r w:rsidR="00172A9B" w:rsidRPr="00172A9B">
        <w:tab/>
      </w:r>
      <w:r w:rsidR="00E27819">
        <w:t>Compulsory tags and entity and business report information</w:t>
      </w:r>
      <w:bookmarkEnd w:id="3"/>
    </w:p>
    <w:p w:rsidR="00172A9B" w:rsidRDefault="00172A9B">
      <w:pPr>
        <w:rPr>
          <w:rFonts w:cs="Arial"/>
        </w:rPr>
      </w:pPr>
    </w:p>
    <w:tbl>
      <w:tblPr>
        <w:tblW w:w="9231" w:type="dxa"/>
        <w:tblInd w:w="91" w:type="dxa"/>
        <w:tblLook w:val="0000"/>
      </w:tblPr>
      <w:tblGrid>
        <w:gridCol w:w="495"/>
        <w:gridCol w:w="1728"/>
        <w:gridCol w:w="7008"/>
      </w:tblGrid>
      <w:tr w:rsidR="004F51A7" w:rsidRPr="00D50F7D" w:rsidTr="00FD6681">
        <w:trPr>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4F51A7" w:rsidRPr="00D87AA9" w:rsidRDefault="004F51A7" w:rsidP="00C34177">
            <w:pPr>
              <w:spacing w:before="60" w:after="60"/>
              <w:jc w:val="left"/>
              <w:rPr>
                <w:rFonts w:eastAsia="Times New Roman" w:cs="Arial"/>
                <w:b/>
                <w:bCs/>
                <w:lang w:val="en-US" w:eastAsia="en-US"/>
              </w:rPr>
            </w:pPr>
            <w:r w:rsidRPr="00D87AA9">
              <w:rPr>
                <w:rFonts w:eastAsia="Times New Roman" w:cs="Arial"/>
                <w:b/>
                <w:bCs/>
                <w:lang w:val="en-US" w:eastAsia="en-US"/>
              </w:rPr>
              <w:t>ID</w:t>
            </w:r>
          </w:p>
        </w:tc>
        <w:tc>
          <w:tcPr>
            <w:tcW w:w="1728" w:type="dxa"/>
            <w:tcBorders>
              <w:top w:val="single" w:sz="4" w:space="0" w:color="auto"/>
              <w:left w:val="nil"/>
              <w:bottom w:val="single" w:sz="4" w:space="0" w:color="auto"/>
              <w:right w:val="single" w:sz="4" w:space="0" w:color="auto"/>
            </w:tcBorders>
            <w:shd w:val="clear" w:color="auto" w:fill="auto"/>
            <w:vAlign w:val="center"/>
          </w:tcPr>
          <w:p w:rsidR="004F51A7" w:rsidRPr="00D87AA9" w:rsidRDefault="004F51A7" w:rsidP="00C34177">
            <w:pPr>
              <w:spacing w:before="60" w:after="60"/>
              <w:jc w:val="left"/>
              <w:rPr>
                <w:rFonts w:eastAsia="Times New Roman" w:cs="Arial"/>
                <w:b/>
                <w:bCs/>
                <w:lang w:val="en-US" w:eastAsia="en-US"/>
              </w:rPr>
            </w:pPr>
            <w:r w:rsidRPr="00D87AA9">
              <w:rPr>
                <w:rFonts w:eastAsia="Times New Roman" w:cs="Arial"/>
                <w:b/>
                <w:bCs/>
                <w:lang w:val="en-US" w:eastAsia="en-US"/>
              </w:rPr>
              <w:t>Item</w:t>
            </w:r>
          </w:p>
        </w:tc>
        <w:tc>
          <w:tcPr>
            <w:tcW w:w="7008" w:type="dxa"/>
            <w:tcBorders>
              <w:top w:val="single" w:sz="4" w:space="0" w:color="auto"/>
              <w:left w:val="nil"/>
              <w:bottom w:val="single" w:sz="4" w:space="0" w:color="auto"/>
              <w:right w:val="single" w:sz="4" w:space="0" w:color="auto"/>
            </w:tcBorders>
            <w:shd w:val="clear" w:color="auto" w:fill="auto"/>
            <w:vAlign w:val="center"/>
          </w:tcPr>
          <w:p w:rsidR="004F51A7" w:rsidRPr="00D87AA9" w:rsidRDefault="004F51A7" w:rsidP="00C34177">
            <w:pPr>
              <w:spacing w:before="60" w:after="60"/>
              <w:jc w:val="left"/>
              <w:rPr>
                <w:rFonts w:eastAsia="Times New Roman" w:cs="Arial"/>
                <w:b/>
                <w:bCs/>
                <w:lang w:val="en-US" w:eastAsia="en-US"/>
              </w:rPr>
            </w:pPr>
            <w:r w:rsidRPr="00D87AA9">
              <w:rPr>
                <w:rFonts w:eastAsia="Times New Roman" w:cs="Arial"/>
                <w:b/>
                <w:bCs/>
                <w:lang w:val="en-US" w:eastAsia="en-US"/>
              </w:rPr>
              <w:t>Description</w:t>
            </w:r>
          </w:p>
        </w:tc>
      </w:tr>
      <w:tr w:rsidR="004F51A7" w:rsidRPr="00D50F7D" w:rsidTr="00FD6681">
        <w:trPr>
          <w:trHeight w:val="1098"/>
        </w:trPr>
        <w:tc>
          <w:tcPr>
            <w:tcW w:w="495" w:type="dxa"/>
            <w:tcBorders>
              <w:top w:val="nil"/>
              <w:left w:val="single" w:sz="4" w:space="0" w:color="auto"/>
              <w:bottom w:val="single" w:sz="4" w:space="0" w:color="auto"/>
              <w:right w:val="single" w:sz="4" w:space="0" w:color="auto"/>
            </w:tcBorders>
            <w:shd w:val="clear" w:color="auto" w:fill="auto"/>
            <w:noWrap/>
            <w:vAlign w:val="center"/>
          </w:tcPr>
          <w:p w:rsidR="004F51A7" w:rsidRPr="00D87AA9" w:rsidRDefault="004F51A7" w:rsidP="00985390">
            <w:pPr>
              <w:spacing w:before="60" w:after="60"/>
              <w:jc w:val="left"/>
              <w:rPr>
                <w:rFonts w:eastAsia="Times New Roman" w:cs="Arial"/>
                <w:lang w:val="en-US" w:eastAsia="en-US"/>
              </w:rPr>
            </w:pPr>
            <w:r w:rsidRPr="00D87AA9">
              <w:rPr>
                <w:rFonts w:eastAsia="Times New Roman" w:cs="Arial"/>
                <w:lang w:val="en-US" w:eastAsia="en-US"/>
              </w:rPr>
              <w:t>3.1</w:t>
            </w:r>
          </w:p>
        </w:tc>
        <w:tc>
          <w:tcPr>
            <w:tcW w:w="1728" w:type="dxa"/>
            <w:tcBorders>
              <w:top w:val="nil"/>
              <w:left w:val="nil"/>
              <w:bottom w:val="single" w:sz="4" w:space="0" w:color="auto"/>
              <w:right w:val="single" w:sz="4" w:space="0" w:color="auto"/>
            </w:tcBorders>
            <w:shd w:val="clear" w:color="auto" w:fill="auto"/>
            <w:vAlign w:val="center"/>
          </w:tcPr>
          <w:p w:rsidR="004F51A7" w:rsidRPr="00D87AA9" w:rsidRDefault="004F51A7" w:rsidP="00985390">
            <w:pPr>
              <w:spacing w:before="60" w:after="60"/>
              <w:jc w:val="left"/>
              <w:rPr>
                <w:rFonts w:eastAsia="Times New Roman" w:cs="Arial"/>
                <w:lang w:val="en-US" w:eastAsia="en-US"/>
              </w:rPr>
            </w:pPr>
            <w:r w:rsidRPr="00D87AA9">
              <w:rPr>
                <w:rFonts w:eastAsia="Times New Roman" w:cs="Arial"/>
                <w:lang w:val="en-US" w:eastAsia="en-US"/>
              </w:rPr>
              <w:t>Compulsory tags</w:t>
            </w:r>
          </w:p>
        </w:tc>
        <w:tc>
          <w:tcPr>
            <w:tcW w:w="7008" w:type="dxa"/>
            <w:tcBorders>
              <w:top w:val="nil"/>
              <w:left w:val="nil"/>
              <w:bottom w:val="single" w:sz="4" w:space="0" w:color="auto"/>
              <w:right w:val="single" w:sz="4" w:space="0" w:color="auto"/>
            </w:tcBorders>
            <w:shd w:val="clear" w:color="auto" w:fill="auto"/>
            <w:vAlign w:val="center"/>
          </w:tcPr>
          <w:p w:rsidR="004F51A7" w:rsidRPr="00D87AA9" w:rsidRDefault="004F51A7" w:rsidP="00985390">
            <w:pPr>
              <w:spacing w:before="60" w:after="60"/>
              <w:jc w:val="left"/>
              <w:rPr>
                <w:rFonts w:eastAsia="Times New Roman" w:cs="Arial"/>
                <w:lang w:val="en-US" w:eastAsia="en-US"/>
              </w:rPr>
            </w:pPr>
            <w:r w:rsidRPr="00D87AA9">
              <w:rPr>
                <w:rFonts w:eastAsia="Times New Roman" w:cs="Arial"/>
                <w:lang w:val="en-US" w:eastAsia="en-US"/>
              </w:rPr>
              <w:t xml:space="preserve">There </w:t>
            </w:r>
            <w:r>
              <w:rPr>
                <w:rFonts w:eastAsia="Times New Roman" w:cs="Arial"/>
                <w:lang w:val="en-US" w:eastAsia="en-US"/>
              </w:rPr>
              <w:t>is</w:t>
            </w:r>
            <w:r w:rsidRPr="00D87AA9">
              <w:rPr>
                <w:rFonts w:eastAsia="Times New Roman" w:cs="Arial"/>
                <w:lang w:val="en-US" w:eastAsia="en-US"/>
              </w:rPr>
              <w:t xml:space="preserve"> a ran</w:t>
            </w:r>
            <w:r>
              <w:rPr>
                <w:rFonts w:eastAsia="Times New Roman" w:cs="Arial"/>
                <w:lang w:val="en-US" w:eastAsia="en-US"/>
              </w:rPr>
              <w:t>g</w:t>
            </w:r>
            <w:r w:rsidRPr="00D87AA9">
              <w:rPr>
                <w:rFonts w:eastAsia="Times New Roman" w:cs="Arial"/>
                <w:lang w:val="en-US" w:eastAsia="en-US"/>
              </w:rPr>
              <w:t xml:space="preserve">e of compulsory tags which must be included in any submission to HMRC and Companies House.  These include entity name, period start and end dates and the like.  They are outlined in section 4.16 of the </w:t>
            </w:r>
            <w:hyperlink w:anchor="PDGuide" w:history="1">
              <w:r w:rsidRPr="00D87AA9">
                <w:rPr>
                  <w:rStyle w:val="Hyperlink"/>
                  <w:rFonts w:eastAsia="Times New Roman" w:cs="Arial"/>
                  <w:lang w:val="en-US" w:eastAsia="en-US"/>
                </w:rPr>
                <w:t>Preparers &amp; Developers Guide</w:t>
              </w:r>
            </w:hyperlink>
            <w:r w:rsidRPr="00D87AA9">
              <w:rPr>
                <w:rFonts w:eastAsia="Times New Roman" w:cs="Arial"/>
                <w:lang w:val="en-US" w:eastAsia="en-US"/>
              </w:rPr>
              <w:t xml:space="preserve">.  </w:t>
            </w:r>
            <w:r>
              <w:rPr>
                <w:rFonts w:eastAsia="Times New Roman" w:cs="Arial"/>
                <w:lang w:val="en-US" w:eastAsia="en-US"/>
              </w:rPr>
              <w:t>Preparers</w:t>
            </w:r>
            <w:r w:rsidRPr="00D87AA9">
              <w:rPr>
                <w:rFonts w:eastAsia="Times New Roman" w:cs="Arial"/>
                <w:lang w:val="en-US" w:eastAsia="en-US"/>
              </w:rPr>
              <w:t xml:space="preserve"> should consult HMRC's </w:t>
            </w:r>
            <w:hyperlink w:anchor="JFValidRules" w:history="1">
              <w:r w:rsidRPr="00D87AA9">
                <w:rPr>
                  <w:rStyle w:val="Hyperlink"/>
                  <w:rFonts w:eastAsia="Times New Roman" w:cs="Arial"/>
                  <w:lang w:val="en-US" w:eastAsia="en-US"/>
                </w:rPr>
                <w:t>Joint Filing Common Validation Checks</w:t>
              </w:r>
            </w:hyperlink>
            <w:r w:rsidRPr="00D87AA9">
              <w:rPr>
                <w:rFonts w:eastAsia="Times New Roman" w:cs="Arial"/>
                <w:lang w:val="en-US" w:eastAsia="en-US"/>
              </w:rPr>
              <w:t xml:space="preserve"> and other HMRC and Companies House interface documents for more information.</w:t>
            </w:r>
          </w:p>
        </w:tc>
      </w:tr>
      <w:tr w:rsidR="004F51A7" w:rsidRPr="00985390" w:rsidTr="00FD6681">
        <w:trPr>
          <w:trHeight w:val="1098"/>
        </w:trPr>
        <w:tc>
          <w:tcPr>
            <w:tcW w:w="495" w:type="dxa"/>
            <w:tcBorders>
              <w:top w:val="nil"/>
              <w:left w:val="single" w:sz="4" w:space="0" w:color="auto"/>
              <w:bottom w:val="single" w:sz="4" w:space="0" w:color="auto"/>
              <w:right w:val="single" w:sz="4" w:space="0" w:color="auto"/>
            </w:tcBorders>
            <w:shd w:val="clear" w:color="auto" w:fill="auto"/>
            <w:noWrap/>
            <w:vAlign w:val="center"/>
          </w:tcPr>
          <w:p w:rsidR="004F51A7" w:rsidRPr="00985390" w:rsidRDefault="004F51A7" w:rsidP="00985390">
            <w:pPr>
              <w:spacing w:before="60" w:after="60"/>
              <w:jc w:val="left"/>
              <w:rPr>
                <w:rFonts w:eastAsia="Times New Roman" w:cs="Arial"/>
                <w:lang w:val="en-US" w:eastAsia="en-US"/>
              </w:rPr>
            </w:pPr>
            <w:r w:rsidRPr="00985390">
              <w:rPr>
                <w:rFonts w:eastAsia="Times New Roman" w:cs="Arial"/>
                <w:lang w:val="en-US" w:eastAsia="en-US"/>
              </w:rPr>
              <w:t>3.2</w:t>
            </w:r>
          </w:p>
        </w:tc>
        <w:tc>
          <w:tcPr>
            <w:tcW w:w="1728" w:type="dxa"/>
            <w:tcBorders>
              <w:top w:val="nil"/>
              <w:left w:val="nil"/>
              <w:bottom w:val="single" w:sz="4" w:space="0" w:color="auto"/>
              <w:right w:val="single" w:sz="4" w:space="0" w:color="auto"/>
            </w:tcBorders>
            <w:shd w:val="clear" w:color="auto" w:fill="auto"/>
            <w:vAlign w:val="center"/>
          </w:tcPr>
          <w:p w:rsidR="004F51A7" w:rsidRPr="00985390" w:rsidRDefault="004F51A7" w:rsidP="00985390">
            <w:pPr>
              <w:spacing w:before="60" w:after="60"/>
              <w:jc w:val="left"/>
              <w:rPr>
                <w:rFonts w:eastAsia="Times New Roman" w:cs="Arial"/>
                <w:lang w:val="en-US" w:eastAsia="en-US"/>
              </w:rPr>
            </w:pPr>
            <w:r w:rsidRPr="00985390">
              <w:rPr>
                <w:rFonts w:eastAsia="Times New Roman" w:cs="Arial"/>
                <w:lang w:val="en-US" w:eastAsia="en-US"/>
              </w:rPr>
              <w:t>Report period start / end dates</w:t>
            </w:r>
          </w:p>
        </w:tc>
        <w:tc>
          <w:tcPr>
            <w:tcW w:w="7008" w:type="dxa"/>
            <w:tcBorders>
              <w:top w:val="nil"/>
              <w:left w:val="nil"/>
              <w:bottom w:val="single" w:sz="4" w:space="0" w:color="auto"/>
              <w:right w:val="single" w:sz="4" w:space="0" w:color="auto"/>
            </w:tcBorders>
            <w:shd w:val="clear" w:color="auto" w:fill="auto"/>
            <w:vAlign w:val="center"/>
          </w:tcPr>
          <w:p w:rsidR="004F51A7" w:rsidRPr="00985390" w:rsidRDefault="00BF082F" w:rsidP="00985390">
            <w:pPr>
              <w:spacing w:before="60" w:after="60"/>
              <w:jc w:val="left"/>
              <w:rPr>
                <w:rFonts w:eastAsia="Times New Roman" w:cs="Arial"/>
                <w:lang w:val="en-US" w:eastAsia="en-US"/>
              </w:rPr>
            </w:pPr>
            <w:r>
              <w:rPr>
                <w:rFonts w:eastAsia="Times New Roman" w:cs="Arial"/>
                <w:lang w:val="en-US" w:eastAsia="en-US"/>
              </w:rPr>
              <w:t>The tags ‘</w:t>
            </w:r>
            <w:r w:rsidRPr="00BF082F">
              <w:rPr>
                <w:rFonts w:eastAsia="Times New Roman" w:cs="Arial"/>
                <w:i/>
                <w:color w:val="FF0000"/>
                <w:lang w:val="en-US" w:eastAsia="en-US"/>
              </w:rPr>
              <w:t>Start date for period covered by report</w:t>
            </w:r>
            <w:r>
              <w:rPr>
                <w:rFonts w:eastAsia="Times New Roman" w:cs="Arial"/>
                <w:lang w:val="en-US" w:eastAsia="en-US"/>
              </w:rPr>
              <w:t>’</w:t>
            </w:r>
            <w:r w:rsidRPr="00BF082F">
              <w:rPr>
                <w:rFonts w:eastAsia="Times New Roman" w:cs="Arial"/>
                <w:lang w:val="en-US" w:eastAsia="en-US"/>
              </w:rPr>
              <w:t xml:space="preserve"> </w:t>
            </w:r>
            <w:r>
              <w:rPr>
                <w:rFonts w:eastAsia="Times New Roman" w:cs="Arial"/>
                <w:lang w:val="en-US" w:eastAsia="en-US"/>
              </w:rPr>
              <w:t>and ‘</w:t>
            </w:r>
            <w:r w:rsidRPr="00BF082F">
              <w:rPr>
                <w:rFonts w:eastAsia="Times New Roman" w:cs="Arial"/>
                <w:i/>
                <w:color w:val="FF0000"/>
                <w:lang w:val="en-US" w:eastAsia="en-US"/>
              </w:rPr>
              <w:t>End date for period covered by report</w:t>
            </w:r>
            <w:r>
              <w:rPr>
                <w:rFonts w:eastAsia="Times New Roman" w:cs="Arial"/>
                <w:lang w:val="en-US" w:eastAsia="en-US"/>
              </w:rPr>
              <w:t>’</w:t>
            </w:r>
            <w:r w:rsidR="004F51A7" w:rsidRPr="00985390">
              <w:rPr>
                <w:rFonts w:eastAsia="Times New Roman" w:cs="Arial"/>
                <w:lang w:val="en-US" w:eastAsia="en-US"/>
              </w:rPr>
              <w:t xml:space="preserve"> should reflect the latest period / year being reported.  The period start and end dates for the previous</w:t>
            </w:r>
            <w:r>
              <w:rPr>
                <w:rFonts w:eastAsia="Times New Roman" w:cs="Arial"/>
                <w:lang w:val="en-US" w:eastAsia="en-US"/>
              </w:rPr>
              <w:t xml:space="preserve"> period should not be tagged.  </w:t>
            </w:r>
            <w:r w:rsidRPr="00BF082F">
              <w:rPr>
                <w:rFonts w:eastAsia="Times New Roman" w:cs="Arial"/>
                <w:b/>
                <w:lang w:val="en-US" w:eastAsia="en-US"/>
              </w:rPr>
              <w:t>Both</w:t>
            </w:r>
            <w:r>
              <w:rPr>
                <w:rFonts w:eastAsia="Times New Roman" w:cs="Arial"/>
                <w:lang w:val="en-US" w:eastAsia="en-US"/>
              </w:rPr>
              <w:t xml:space="preserve"> tags should be given </w:t>
            </w:r>
            <w:r w:rsidR="004F51A7" w:rsidRPr="00985390">
              <w:rPr>
                <w:rFonts w:eastAsia="Times New Roman" w:cs="Arial"/>
                <w:lang w:val="en-US" w:eastAsia="en-US"/>
              </w:rPr>
              <w:t xml:space="preserve">the </w:t>
            </w:r>
            <w:r w:rsidR="004F51A7" w:rsidRPr="00BF082F">
              <w:rPr>
                <w:rFonts w:eastAsia="Times New Roman" w:cs="Arial"/>
                <w:b/>
                <w:lang w:val="en-US" w:eastAsia="en-US"/>
              </w:rPr>
              <w:t>end of current year</w:t>
            </w:r>
            <w:r w:rsidR="004F51A7" w:rsidRPr="00985390">
              <w:rPr>
                <w:rFonts w:eastAsia="Times New Roman" w:cs="Arial"/>
                <w:lang w:val="en-US" w:eastAsia="en-US"/>
              </w:rPr>
              <w:t xml:space="preserve"> context, since </w:t>
            </w:r>
            <w:r>
              <w:rPr>
                <w:rFonts w:eastAsia="Times New Roman" w:cs="Arial"/>
                <w:lang w:val="en-US" w:eastAsia="en-US"/>
              </w:rPr>
              <w:t>they reflect</w:t>
            </w:r>
            <w:r w:rsidR="004F51A7" w:rsidRPr="00985390">
              <w:rPr>
                <w:rFonts w:eastAsia="Times New Roman" w:cs="Arial"/>
                <w:lang w:val="en-US" w:eastAsia="en-US"/>
              </w:rPr>
              <w:t xml:space="preserve"> the current year report.  </w:t>
            </w:r>
            <w:r w:rsidR="00993BFC">
              <w:rPr>
                <w:rFonts w:eastAsia="Times New Roman" w:cs="Arial"/>
                <w:lang w:val="en-US" w:eastAsia="en-US"/>
              </w:rPr>
              <w:t xml:space="preserve">(Allocation of period contexts is covered more fully in </w:t>
            </w:r>
            <w:hyperlink w:anchor="XR_PeriodContexts" w:history="1">
              <w:r w:rsidR="008369A7" w:rsidRPr="008369A7">
                <w:rPr>
                  <w:rStyle w:val="Hyperlink"/>
                  <w:rFonts w:eastAsia="Times New Roman" w:cs="Arial"/>
                  <w:lang w:val="en-US" w:eastAsia="en-US"/>
                </w:rPr>
                <w:t>ite</w:t>
              </w:r>
              <w:r w:rsidR="008369A7" w:rsidRPr="008369A7">
                <w:rPr>
                  <w:rStyle w:val="Hyperlink"/>
                  <w:rFonts w:eastAsia="Times New Roman" w:cs="Arial"/>
                  <w:lang w:val="en-US" w:eastAsia="en-US"/>
                </w:rPr>
                <w:t>m</w:t>
              </w:r>
              <w:r w:rsidR="00993BFC" w:rsidRPr="008369A7">
                <w:rPr>
                  <w:rStyle w:val="Hyperlink"/>
                  <w:rFonts w:eastAsia="Times New Roman" w:cs="Arial"/>
                  <w:lang w:val="en-US" w:eastAsia="en-US"/>
                </w:rPr>
                <w:t xml:space="preserve"> 5.5</w:t>
              </w:r>
            </w:hyperlink>
            <w:r w:rsidR="00993BFC">
              <w:rPr>
                <w:rFonts w:eastAsia="Times New Roman" w:cs="Arial"/>
                <w:lang w:val="en-US" w:eastAsia="en-US"/>
              </w:rPr>
              <w:t xml:space="preserve"> below.)</w:t>
            </w:r>
          </w:p>
        </w:tc>
      </w:tr>
      <w:tr w:rsidR="004F51A7" w:rsidRPr="00985390" w:rsidTr="00FD6681">
        <w:trPr>
          <w:trHeight w:val="1098"/>
        </w:trPr>
        <w:tc>
          <w:tcPr>
            <w:tcW w:w="495" w:type="dxa"/>
            <w:tcBorders>
              <w:top w:val="nil"/>
              <w:left w:val="single" w:sz="4" w:space="0" w:color="auto"/>
              <w:bottom w:val="single" w:sz="4" w:space="0" w:color="auto"/>
              <w:right w:val="single" w:sz="4" w:space="0" w:color="auto"/>
            </w:tcBorders>
            <w:shd w:val="clear" w:color="auto" w:fill="auto"/>
            <w:noWrap/>
            <w:vAlign w:val="center"/>
          </w:tcPr>
          <w:p w:rsidR="004F51A7" w:rsidRPr="00985390" w:rsidRDefault="004F51A7" w:rsidP="00985390">
            <w:pPr>
              <w:spacing w:before="60" w:after="60"/>
              <w:jc w:val="left"/>
              <w:rPr>
                <w:rFonts w:eastAsia="Times New Roman" w:cs="Arial"/>
                <w:lang w:val="en-US" w:eastAsia="en-US"/>
              </w:rPr>
            </w:pPr>
            <w:r w:rsidRPr="00985390">
              <w:rPr>
                <w:rFonts w:eastAsia="Times New Roman" w:cs="Arial"/>
                <w:lang w:val="en-US" w:eastAsia="en-US"/>
              </w:rPr>
              <w:t>3.3</w:t>
            </w:r>
          </w:p>
        </w:tc>
        <w:tc>
          <w:tcPr>
            <w:tcW w:w="1728" w:type="dxa"/>
            <w:tcBorders>
              <w:top w:val="nil"/>
              <w:left w:val="nil"/>
              <w:bottom w:val="single" w:sz="4" w:space="0" w:color="auto"/>
              <w:right w:val="single" w:sz="4" w:space="0" w:color="auto"/>
            </w:tcBorders>
            <w:shd w:val="clear" w:color="auto" w:fill="auto"/>
            <w:vAlign w:val="center"/>
          </w:tcPr>
          <w:p w:rsidR="004F51A7" w:rsidRPr="00985390" w:rsidRDefault="004F51A7" w:rsidP="00985390">
            <w:pPr>
              <w:spacing w:before="60" w:after="60"/>
              <w:jc w:val="left"/>
              <w:rPr>
                <w:rFonts w:eastAsia="Times New Roman" w:cs="Arial"/>
                <w:lang w:val="en-US" w:eastAsia="en-US"/>
              </w:rPr>
            </w:pPr>
            <w:r w:rsidRPr="00985390">
              <w:rPr>
                <w:rFonts w:eastAsia="Times New Roman" w:cs="Arial"/>
                <w:lang w:val="en-US" w:eastAsia="en-US"/>
              </w:rPr>
              <w:t>Entity and business report data</w:t>
            </w:r>
          </w:p>
        </w:tc>
        <w:tc>
          <w:tcPr>
            <w:tcW w:w="7008" w:type="dxa"/>
            <w:tcBorders>
              <w:top w:val="nil"/>
              <w:left w:val="nil"/>
              <w:bottom w:val="single" w:sz="4" w:space="0" w:color="auto"/>
              <w:right w:val="single" w:sz="4" w:space="0" w:color="auto"/>
            </w:tcBorders>
            <w:shd w:val="clear" w:color="auto" w:fill="auto"/>
            <w:vAlign w:val="center"/>
          </w:tcPr>
          <w:p w:rsidR="004F51A7" w:rsidRPr="00985390" w:rsidRDefault="004F51A7" w:rsidP="00985390">
            <w:pPr>
              <w:spacing w:before="60" w:after="60"/>
              <w:jc w:val="left"/>
              <w:rPr>
                <w:rFonts w:eastAsia="Times New Roman" w:cs="Arial"/>
                <w:lang w:val="en-US" w:eastAsia="en-US"/>
              </w:rPr>
            </w:pPr>
            <w:r w:rsidRPr="00985390">
              <w:rPr>
                <w:rFonts w:eastAsia="Times New Roman" w:cs="Arial"/>
                <w:lang w:val="en-US" w:eastAsia="en-US"/>
              </w:rPr>
              <w:t xml:space="preserve">Tags in the </w:t>
            </w:r>
            <w:r w:rsidRPr="00985390">
              <w:rPr>
                <w:rFonts w:eastAsia="Times New Roman" w:cs="Arial"/>
                <w:i/>
                <w:color w:val="008000"/>
                <w:lang w:val="en-US" w:eastAsia="en-US"/>
              </w:rPr>
              <w:t>Entit</w:t>
            </w:r>
            <w:r w:rsidR="00F1239E">
              <w:rPr>
                <w:rFonts w:eastAsia="Times New Roman" w:cs="Arial"/>
                <w:i/>
                <w:color w:val="008000"/>
                <w:lang w:val="en-US" w:eastAsia="en-US"/>
              </w:rPr>
              <w:t>y Information</w:t>
            </w:r>
            <w:r w:rsidRPr="00985390">
              <w:rPr>
                <w:rFonts w:eastAsia="Times New Roman" w:cs="Arial"/>
                <w:lang w:val="en-US" w:eastAsia="en-US"/>
              </w:rPr>
              <w:t xml:space="preserve"> and </w:t>
            </w:r>
            <w:r w:rsidRPr="00985390">
              <w:rPr>
                <w:rFonts w:eastAsia="Times New Roman" w:cs="Arial"/>
                <w:i/>
                <w:color w:val="008000"/>
                <w:lang w:val="en-US" w:eastAsia="en-US"/>
              </w:rPr>
              <w:t>Business Repor</w:t>
            </w:r>
            <w:r w:rsidR="00F1239E">
              <w:rPr>
                <w:rFonts w:eastAsia="Times New Roman" w:cs="Arial"/>
                <w:i/>
                <w:color w:val="008000"/>
                <w:lang w:val="en-US" w:eastAsia="en-US"/>
              </w:rPr>
              <w:t>t Information</w:t>
            </w:r>
            <w:r w:rsidRPr="00985390">
              <w:rPr>
                <w:rFonts w:eastAsia="Times New Roman" w:cs="Arial"/>
                <w:lang w:val="en-US" w:eastAsia="en-US"/>
              </w:rPr>
              <w:t xml:space="preserve"> sections of the taxonomy should be used if (a) they relate to information explicitly reported in a financial statement or (b) they are in the list of mandatory tags required by HMRC and Companies House.  Tags such as '</w:t>
            </w:r>
            <w:r w:rsidRPr="00985390">
              <w:rPr>
                <w:rFonts w:eastAsia="Times New Roman" w:cs="Arial"/>
                <w:i/>
                <w:color w:val="FF0000"/>
                <w:lang w:val="en-US" w:eastAsia="en-US"/>
              </w:rPr>
              <w:t>Description of period covered by report</w:t>
            </w:r>
            <w:r w:rsidRPr="00985390">
              <w:rPr>
                <w:rFonts w:eastAsia="Times New Roman" w:cs="Arial"/>
                <w:lang w:val="en-US" w:eastAsia="en-US"/>
              </w:rPr>
              <w:t xml:space="preserve">' do not have to be used at this stage.  Guidelines for any future use will be issued in due course and substantial notice will be given of required use.  </w:t>
            </w:r>
          </w:p>
        </w:tc>
      </w:tr>
      <w:tr w:rsidR="004F51A7" w:rsidRPr="00985390" w:rsidTr="00FD6681">
        <w:trPr>
          <w:trHeight w:val="79"/>
        </w:trPr>
        <w:tc>
          <w:tcPr>
            <w:tcW w:w="495" w:type="dxa"/>
            <w:tcBorders>
              <w:top w:val="nil"/>
              <w:left w:val="single" w:sz="4" w:space="0" w:color="auto"/>
              <w:bottom w:val="single" w:sz="4" w:space="0" w:color="auto"/>
              <w:right w:val="single" w:sz="4" w:space="0" w:color="auto"/>
            </w:tcBorders>
            <w:shd w:val="clear" w:color="auto" w:fill="auto"/>
            <w:noWrap/>
            <w:vAlign w:val="center"/>
          </w:tcPr>
          <w:p w:rsidR="004F51A7" w:rsidRPr="00985390" w:rsidRDefault="004F51A7" w:rsidP="00985390">
            <w:pPr>
              <w:spacing w:before="60" w:after="60"/>
              <w:jc w:val="left"/>
              <w:rPr>
                <w:rFonts w:eastAsia="Times New Roman" w:cs="Arial"/>
                <w:lang w:val="en-US" w:eastAsia="en-US"/>
              </w:rPr>
            </w:pPr>
            <w:r w:rsidRPr="00985390">
              <w:rPr>
                <w:rFonts w:eastAsia="Times New Roman" w:cs="Arial"/>
                <w:lang w:val="en-US" w:eastAsia="en-US"/>
              </w:rPr>
              <w:t>3.4</w:t>
            </w:r>
          </w:p>
        </w:tc>
        <w:tc>
          <w:tcPr>
            <w:tcW w:w="1728" w:type="dxa"/>
            <w:tcBorders>
              <w:top w:val="nil"/>
              <w:left w:val="nil"/>
              <w:bottom w:val="single" w:sz="4" w:space="0" w:color="auto"/>
              <w:right w:val="single" w:sz="4" w:space="0" w:color="auto"/>
            </w:tcBorders>
            <w:shd w:val="clear" w:color="auto" w:fill="auto"/>
            <w:vAlign w:val="center"/>
          </w:tcPr>
          <w:p w:rsidR="004F51A7" w:rsidRPr="00985390" w:rsidRDefault="004F51A7" w:rsidP="00985390">
            <w:pPr>
              <w:spacing w:before="60" w:after="60"/>
              <w:jc w:val="left"/>
              <w:rPr>
                <w:rFonts w:eastAsia="Times New Roman" w:cs="Arial"/>
                <w:lang w:val="en-US" w:eastAsia="en-US"/>
              </w:rPr>
            </w:pPr>
            <w:r w:rsidRPr="00985390">
              <w:rPr>
                <w:rFonts w:eastAsia="Times New Roman" w:cs="Arial"/>
                <w:lang w:val="en-US" w:eastAsia="en-US"/>
              </w:rPr>
              <w:t>Trading and dormant tags</w:t>
            </w:r>
          </w:p>
        </w:tc>
        <w:tc>
          <w:tcPr>
            <w:tcW w:w="7008" w:type="dxa"/>
            <w:tcBorders>
              <w:top w:val="nil"/>
              <w:left w:val="nil"/>
              <w:bottom w:val="single" w:sz="4" w:space="0" w:color="auto"/>
              <w:right w:val="single" w:sz="4" w:space="0" w:color="auto"/>
            </w:tcBorders>
            <w:shd w:val="clear" w:color="auto" w:fill="auto"/>
            <w:vAlign w:val="center"/>
          </w:tcPr>
          <w:p w:rsidR="004F51A7" w:rsidRPr="00985390" w:rsidRDefault="004F51A7" w:rsidP="00985390">
            <w:pPr>
              <w:spacing w:before="60" w:after="60"/>
              <w:jc w:val="left"/>
              <w:rPr>
                <w:rFonts w:eastAsia="Times New Roman" w:cs="Arial"/>
                <w:lang w:val="en-US" w:eastAsia="en-US"/>
              </w:rPr>
            </w:pPr>
            <w:r w:rsidRPr="00985390">
              <w:rPr>
                <w:rFonts w:eastAsia="Times New Roman" w:cs="Arial"/>
                <w:lang w:val="en-US" w:eastAsia="en-US"/>
              </w:rPr>
              <w:t xml:space="preserve">The trading and dormant declarations should only be tagged for the current period.  </w:t>
            </w:r>
          </w:p>
        </w:tc>
      </w:tr>
      <w:tr w:rsidR="004F51A7" w:rsidRPr="00985390" w:rsidTr="00FD6681">
        <w:trPr>
          <w:trHeight w:val="1098"/>
        </w:trPr>
        <w:tc>
          <w:tcPr>
            <w:tcW w:w="495" w:type="dxa"/>
            <w:tcBorders>
              <w:top w:val="nil"/>
              <w:left w:val="single" w:sz="4" w:space="0" w:color="auto"/>
              <w:bottom w:val="single" w:sz="4" w:space="0" w:color="auto"/>
              <w:right w:val="single" w:sz="4" w:space="0" w:color="auto"/>
            </w:tcBorders>
            <w:shd w:val="clear" w:color="auto" w:fill="auto"/>
            <w:noWrap/>
            <w:vAlign w:val="center"/>
          </w:tcPr>
          <w:p w:rsidR="004F51A7" w:rsidRPr="00985390" w:rsidRDefault="004F51A7" w:rsidP="00985390">
            <w:pPr>
              <w:spacing w:before="60" w:after="60"/>
              <w:jc w:val="left"/>
              <w:rPr>
                <w:rFonts w:eastAsia="Times New Roman" w:cs="Arial"/>
                <w:lang w:val="en-US" w:eastAsia="en-US"/>
              </w:rPr>
            </w:pPr>
            <w:r w:rsidRPr="00985390">
              <w:rPr>
                <w:rFonts w:eastAsia="Times New Roman" w:cs="Arial"/>
                <w:lang w:val="en-US" w:eastAsia="en-US"/>
              </w:rPr>
              <w:t>3.5</w:t>
            </w:r>
          </w:p>
        </w:tc>
        <w:tc>
          <w:tcPr>
            <w:tcW w:w="1728" w:type="dxa"/>
            <w:tcBorders>
              <w:top w:val="nil"/>
              <w:left w:val="nil"/>
              <w:bottom w:val="single" w:sz="4" w:space="0" w:color="auto"/>
              <w:right w:val="single" w:sz="4" w:space="0" w:color="auto"/>
            </w:tcBorders>
            <w:shd w:val="clear" w:color="auto" w:fill="auto"/>
            <w:vAlign w:val="center"/>
          </w:tcPr>
          <w:p w:rsidR="004F51A7" w:rsidRPr="00985390" w:rsidRDefault="004F51A7" w:rsidP="00985390">
            <w:pPr>
              <w:spacing w:before="60" w:after="60"/>
              <w:jc w:val="left"/>
              <w:rPr>
                <w:rFonts w:eastAsia="Times New Roman" w:cs="Arial"/>
                <w:lang w:val="en-US" w:eastAsia="en-US"/>
              </w:rPr>
            </w:pPr>
            <w:r w:rsidRPr="00985390">
              <w:rPr>
                <w:rFonts w:eastAsia="Times New Roman" w:cs="Arial"/>
                <w:lang w:val="en-US" w:eastAsia="en-US"/>
              </w:rPr>
              <w:t>Legal form of entity</w:t>
            </w:r>
          </w:p>
        </w:tc>
        <w:tc>
          <w:tcPr>
            <w:tcW w:w="7008" w:type="dxa"/>
            <w:tcBorders>
              <w:top w:val="nil"/>
              <w:left w:val="nil"/>
              <w:bottom w:val="single" w:sz="4" w:space="0" w:color="auto"/>
              <w:right w:val="single" w:sz="4" w:space="0" w:color="auto"/>
            </w:tcBorders>
            <w:shd w:val="clear" w:color="auto" w:fill="auto"/>
            <w:vAlign w:val="center"/>
          </w:tcPr>
          <w:p w:rsidR="004F51A7" w:rsidRPr="00985390" w:rsidRDefault="004F51A7" w:rsidP="00985390">
            <w:pPr>
              <w:spacing w:before="60" w:after="60"/>
              <w:jc w:val="left"/>
              <w:rPr>
                <w:rFonts w:eastAsia="Times New Roman" w:cs="Arial"/>
                <w:lang w:val="en-US" w:eastAsia="en-US"/>
              </w:rPr>
            </w:pPr>
            <w:r w:rsidRPr="00985390">
              <w:rPr>
                <w:rFonts w:eastAsia="Times New Roman" w:cs="Arial"/>
                <w:lang w:val="en-US" w:eastAsia="en-US"/>
              </w:rPr>
              <w:t>If the '</w:t>
            </w:r>
            <w:r w:rsidRPr="00985390">
              <w:rPr>
                <w:rFonts w:eastAsia="Times New Roman" w:cs="Arial"/>
                <w:i/>
                <w:color w:val="FF0000"/>
                <w:lang w:val="en-US" w:eastAsia="en-US"/>
              </w:rPr>
              <w:t>Legal form of entity</w:t>
            </w:r>
            <w:r w:rsidRPr="00985390">
              <w:rPr>
                <w:rFonts w:eastAsia="Times New Roman" w:cs="Arial"/>
                <w:lang w:val="en-US" w:eastAsia="en-US"/>
              </w:rPr>
              <w:t xml:space="preserve">' tag is used, it should represent the status of the company under the UK Companies Act.  If a company does not fall under the definitions of this act (for example, if it is incorporated elsewhere), then it should be classified as 'Other'.  </w:t>
            </w:r>
            <w:r>
              <w:rPr>
                <w:rFonts w:eastAsia="Times New Roman" w:cs="Arial"/>
                <w:lang w:val="en-US" w:eastAsia="en-US"/>
              </w:rPr>
              <w:t xml:space="preserve">Note that this tag is a predefined value tag, as described in </w:t>
            </w:r>
            <w:hyperlink w:anchor="XR_PredefValues" w:history="1">
              <w:r w:rsidR="00A045C0" w:rsidRPr="00A045C0">
                <w:rPr>
                  <w:rStyle w:val="Hyperlink"/>
                  <w:rFonts w:eastAsia="Times New Roman" w:cs="Arial"/>
                  <w:lang w:val="en-US" w:eastAsia="en-US"/>
                </w:rPr>
                <w:t>item</w:t>
              </w:r>
              <w:r w:rsidRPr="00A045C0">
                <w:rPr>
                  <w:rStyle w:val="Hyperlink"/>
                  <w:rFonts w:eastAsia="Times New Roman" w:cs="Arial"/>
                  <w:lang w:val="en-US" w:eastAsia="en-US"/>
                </w:rPr>
                <w:t xml:space="preserve"> 4.24</w:t>
              </w:r>
            </w:hyperlink>
            <w:r>
              <w:rPr>
                <w:rFonts w:eastAsia="Times New Roman" w:cs="Arial"/>
                <w:lang w:val="en-US" w:eastAsia="en-US"/>
              </w:rPr>
              <w:t xml:space="preserve"> below.</w:t>
            </w:r>
          </w:p>
        </w:tc>
      </w:tr>
    </w:tbl>
    <w:p w:rsidR="00172A9B" w:rsidRDefault="00172A9B">
      <w:pPr>
        <w:rPr>
          <w:rFonts w:cs="Arial"/>
        </w:rPr>
      </w:pPr>
    </w:p>
    <w:p w:rsidR="00DA5C5B" w:rsidRPr="00AC0404" w:rsidRDefault="00C34177" w:rsidP="00AC0404">
      <w:pPr>
        <w:pStyle w:val="Heading1"/>
      </w:pPr>
      <w:r>
        <w:br w:type="page"/>
      </w:r>
      <w:bookmarkStart w:id="4" w:name="_Toc292036821"/>
      <w:r w:rsidR="00AC0404" w:rsidRPr="00AC0404">
        <w:lastRenderedPageBreak/>
        <w:t>4</w:t>
      </w:r>
      <w:r w:rsidR="00AC0404" w:rsidRPr="00AC0404">
        <w:tab/>
        <w:t xml:space="preserve">General tagging </w:t>
      </w:r>
      <w:r w:rsidR="007C2E56">
        <w:t>points</w:t>
      </w:r>
      <w:bookmarkEnd w:id="4"/>
    </w:p>
    <w:p w:rsidR="00AC0404" w:rsidRDefault="00AC0404">
      <w:pPr>
        <w:rPr>
          <w:rFonts w:cs="Arial"/>
        </w:rPr>
      </w:pPr>
    </w:p>
    <w:tbl>
      <w:tblPr>
        <w:tblW w:w="9231" w:type="dxa"/>
        <w:tblInd w:w="91" w:type="dxa"/>
        <w:tblLook w:val="0000"/>
      </w:tblPr>
      <w:tblGrid>
        <w:gridCol w:w="606"/>
        <w:gridCol w:w="1718"/>
        <w:gridCol w:w="6907"/>
      </w:tblGrid>
      <w:tr w:rsidR="00FD6681" w:rsidRPr="00D50F7D" w:rsidTr="00FD6681">
        <w:trPr>
          <w:cantSplit/>
          <w:trHeight w:val="240"/>
          <w:tblHeader/>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6681" w:rsidRPr="00D87AA9" w:rsidRDefault="00FD6681" w:rsidP="00C34177">
            <w:pPr>
              <w:spacing w:before="60" w:after="60"/>
              <w:jc w:val="left"/>
              <w:rPr>
                <w:rFonts w:eastAsia="Times New Roman" w:cs="Arial"/>
                <w:b/>
                <w:bCs/>
                <w:lang w:val="en-US" w:eastAsia="en-US"/>
              </w:rPr>
            </w:pPr>
            <w:r w:rsidRPr="00D87AA9">
              <w:rPr>
                <w:rFonts w:eastAsia="Times New Roman" w:cs="Arial"/>
                <w:b/>
                <w:bCs/>
                <w:lang w:val="en-US" w:eastAsia="en-US"/>
              </w:rPr>
              <w:t>ID</w:t>
            </w:r>
          </w:p>
        </w:tc>
        <w:tc>
          <w:tcPr>
            <w:tcW w:w="1718" w:type="dxa"/>
            <w:tcBorders>
              <w:top w:val="single" w:sz="4" w:space="0" w:color="auto"/>
              <w:left w:val="nil"/>
              <w:bottom w:val="single" w:sz="4" w:space="0" w:color="auto"/>
              <w:right w:val="single" w:sz="4" w:space="0" w:color="auto"/>
            </w:tcBorders>
            <w:shd w:val="clear" w:color="auto" w:fill="auto"/>
            <w:vAlign w:val="center"/>
          </w:tcPr>
          <w:p w:rsidR="00FD6681" w:rsidRPr="00D87AA9" w:rsidRDefault="00FD6681" w:rsidP="00C34177">
            <w:pPr>
              <w:spacing w:before="60" w:after="60"/>
              <w:jc w:val="left"/>
              <w:rPr>
                <w:rFonts w:eastAsia="Times New Roman" w:cs="Arial"/>
                <w:b/>
                <w:bCs/>
                <w:lang w:val="en-US" w:eastAsia="en-US"/>
              </w:rPr>
            </w:pPr>
            <w:r w:rsidRPr="00D87AA9">
              <w:rPr>
                <w:rFonts w:eastAsia="Times New Roman" w:cs="Arial"/>
                <w:b/>
                <w:bCs/>
                <w:lang w:val="en-US" w:eastAsia="en-US"/>
              </w:rPr>
              <w:t>Item</w:t>
            </w:r>
          </w:p>
        </w:tc>
        <w:tc>
          <w:tcPr>
            <w:tcW w:w="6907" w:type="dxa"/>
            <w:tcBorders>
              <w:top w:val="single" w:sz="4" w:space="0" w:color="auto"/>
              <w:left w:val="nil"/>
              <w:bottom w:val="single" w:sz="4" w:space="0" w:color="auto"/>
              <w:right w:val="single" w:sz="4" w:space="0" w:color="auto"/>
            </w:tcBorders>
            <w:shd w:val="clear" w:color="auto" w:fill="auto"/>
            <w:vAlign w:val="center"/>
          </w:tcPr>
          <w:p w:rsidR="00FD6681" w:rsidRPr="00D87AA9" w:rsidRDefault="00FD6681" w:rsidP="00C34177">
            <w:pPr>
              <w:spacing w:before="60" w:after="60"/>
              <w:jc w:val="left"/>
              <w:rPr>
                <w:rFonts w:eastAsia="Times New Roman" w:cs="Arial"/>
                <w:b/>
                <w:bCs/>
                <w:lang w:val="en-US" w:eastAsia="en-US"/>
              </w:rPr>
            </w:pPr>
            <w:r w:rsidRPr="00D87AA9">
              <w:rPr>
                <w:rFonts w:eastAsia="Times New Roman" w:cs="Arial"/>
                <w:b/>
                <w:bCs/>
                <w:lang w:val="en-US" w:eastAsia="en-US"/>
              </w:rPr>
              <w:t>Description</w:t>
            </w:r>
          </w:p>
        </w:tc>
      </w:tr>
      <w:tr w:rsidR="00FD6681" w:rsidRPr="00C34177" w:rsidTr="00FD6681">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4.1</w:t>
            </w:r>
          </w:p>
        </w:tc>
        <w:tc>
          <w:tcPr>
            <w:tcW w:w="1718" w:type="dxa"/>
            <w:tcBorders>
              <w:top w:val="single" w:sz="4" w:space="0" w:color="auto"/>
              <w:left w:val="nil"/>
              <w:bottom w:val="single" w:sz="4" w:space="0" w:color="auto"/>
              <w:right w:val="single" w:sz="4" w:space="0" w:color="auto"/>
            </w:tcBorders>
            <w:shd w:val="clear" w:color="auto" w:fill="auto"/>
            <w:vAlign w:val="center"/>
          </w:tcPr>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Choice of tags</w:t>
            </w:r>
          </w:p>
        </w:tc>
        <w:tc>
          <w:tcPr>
            <w:tcW w:w="6907" w:type="dxa"/>
            <w:tcBorders>
              <w:top w:val="single" w:sz="4" w:space="0" w:color="auto"/>
              <w:left w:val="nil"/>
              <w:bottom w:val="single" w:sz="4" w:space="0" w:color="auto"/>
              <w:right w:val="single" w:sz="4" w:space="0" w:color="auto"/>
            </w:tcBorders>
            <w:shd w:val="clear" w:color="auto" w:fill="auto"/>
            <w:vAlign w:val="center"/>
          </w:tcPr>
          <w:p w:rsidR="00C045CA" w:rsidRDefault="00FD6681" w:rsidP="00C34177">
            <w:pPr>
              <w:spacing w:before="60" w:after="60"/>
              <w:jc w:val="left"/>
              <w:rPr>
                <w:rFonts w:eastAsia="Times New Roman" w:cs="Arial"/>
                <w:lang w:val="en-US" w:eastAsia="en-US"/>
              </w:rPr>
            </w:pPr>
            <w:r w:rsidRPr="00C34177">
              <w:rPr>
                <w:rFonts w:eastAsia="Times New Roman" w:cs="Arial"/>
                <w:lang w:val="en-US" w:eastAsia="en-US"/>
              </w:rPr>
              <w:t xml:space="preserve">As stated in Section 4.3 of the </w:t>
            </w:r>
            <w:hyperlink w:anchor="PDGuide" w:history="1">
              <w:r w:rsidR="00F47E7B" w:rsidRPr="00D87AA9">
                <w:rPr>
                  <w:rStyle w:val="Hyperlink"/>
                  <w:rFonts w:eastAsia="Times New Roman" w:cs="Arial"/>
                  <w:lang w:val="en-US" w:eastAsia="en-US"/>
                </w:rPr>
                <w:t>Preparers &amp; Developers Guide</w:t>
              </w:r>
            </w:hyperlink>
            <w:r w:rsidRPr="00C34177">
              <w:rPr>
                <w:rFonts w:eastAsia="Times New Roman" w:cs="Arial"/>
                <w:lang w:val="en-US" w:eastAsia="en-US"/>
              </w:rPr>
              <w:t xml:space="preserve">, the position of a tag in the presentation view of a taxonomy is a strong clue to its meaning.  However, the structure of tags in a taxonomy is unlikely exactly to match that of any individual set of accounts.  Preparers should match line items to tags which carry the same meaning, even if the positioning of a tag in the taxonomy does not match the positioning of a line item in accounts.  (For example, a tag in a primary statement may be suitable for a line item in the notes and vice versa.)  </w:t>
            </w:r>
          </w:p>
          <w:p w:rsidR="00725546" w:rsidRDefault="00725546" w:rsidP="00C34177">
            <w:pPr>
              <w:spacing w:before="60" w:after="60"/>
              <w:jc w:val="left"/>
              <w:rPr>
                <w:rFonts w:eastAsia="Times New Roman" w:cs="Arial"/>
                <w:lang w:val="en-US" w:eastAsia="en-US"/>
              </w:rPr>
            </w:pPr>
            <w:r>
              <w:rPr>
                <w:rFonts w:eastAsia="Times New Roman" w:cs="Arial"/>
                <w:lang w:val="en-US" w:eastAsia="en-US"/>
              </w:rPr>
              <w:t xml:space="preserve">The positioning of tags does </w:t>
            </w:r>
            <w:r w:rsidRPr="00725546">
              <w:rPr>
                <w:rFonts w:eastAsia="Times New Roman" w:cs="Arial"/>
                <w:b/>
                <w:lang w:val="en-US" w:eastAsia="en-US"/>
              </w:rPr>
              <w:t>not</w:t>
            </w:r>
            <w:r>
              <w:rPr>
                <w:rFonts w:eastAsia="Times New Roman" w:cs="Arial"/>
                <w:lang w:val="en-US" w:eastAsia="en-US"/>
              </w:rPr>
              <w:t xml:space="preserve"> necessarily reflect how they may be aggregated, or calculation relationships, in particular company accounts.</w:t>
            </w:r>
          </w:p>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 xml:space="preserve">Preparers can also use positioning of tags to identify items which do </w:t>
            </w:r>
            <w:r w:rsidRPr="00C34177">
              <w:rPr>
                <w:rFonts w:eastAsia="Times New Roman" w:cs="Arial"/>
                <w:b/>
                <w:bCs/>
                <w:lang w:val="en-US" w:eastAsia="en-US"/>
              </w:rPr>
              <w:t>not</w:t>
            </w:r>
            <w:r w:rsidRPr="00C34177">
              <w:rPr>
                <w:rFonts w:eastAsia="Times New Roman" w:cs="Arial"/>
                <w:lang w:val="en-US" w:eastAsia="en-US"/>
              </w:rPr>
              <w:t xml:space="preserve"> match.  Positioning may reveal that items with similar descriptions are not the same.  For example, an item in a tax reconciliation may have similar description to an item positioned in another note, but will be a different concept and have a different value.   Accounting knowledge may be required to identify such cases.  </w:t>
            </w:r>
          </w:p>
        </w:tc>
      </w:tr>
      <w:tr w:rsidR="00FD6681" w:rsidRPr="00C34177" w:rsidTr="00FD6681">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4.2</w:t>
            </w:r>
          </w:p>
        </w:tc>
        <w:tc>
          <w:tcPr>
            <w:tcW w:w="1718" w:type="dxa"/>
            <w:tcBorders>
              <w:top w:val="single" w:sz="4" w:space="0" w:color="auto"/>
              <w:left w:val="nil"/>
              <w:bottom w:val="single" w:sz="4" w:space="0" w:color="auto"/>
              <w:right w:val="single" w:sz="4" w:space="0" w:color="auto"/>
            </w:tcBorders>
            <w:shd w:val="clear" w:color="auto" w:fill="auto"/>
            <w:vAlign w:val="center"/>
          </w:tcPr>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Accuracy in identifying tags</w:t>
            </w:r>
          </w:p>
        </w:tc>
        <w:tc>
          <w:tcPr>
            <w:tcW w:w="6907" w:type="dxa"/>
            <w:tcBorders>
              <w:top w:val="single" w:sz="4" w:space="0" w:color="auto"/>
              <w:left w:val="nil"/>
              <w:bottom w:val="single" w:sz="4" w:space="0" w:color="auto"/>
              <w:right w:val="single" w:sz="4" w:space="0" w:color="auto"/>
            </w:tcBorders>
            <w:shd w:val="clear" w:color="auto" w:fill="auto"/>
            <w:vAlign w:val="center"/>
          </w:tcPr>
          <w:p w:rsidR="00C045CA" w:rsidRDefault="00FD6681" w:rsidP="00C34177">
            <w:pPr>
              <w:spacing w:before="60" w:after="60"/>
              <w:jc w:val="left"/>
              <w:rPr>
                <w:rFonts w:eastAsia="Times New Roman" w:cs="Arial"/>
                <w:lang w:val="en-US" w:eastAsia="en-US"/>
              </w:rPr>
            </w:pPr>
            <w:r w:rsidRPr="00C34177">
              <w:rPr>
                <w:rFonts w:eastAsia="Times New Roman" w:cs="Arial"/>
                <w:lang w:val="en-US" w:eastAsia="en-US"/>
              </w:rPr>
              <w:t xml:space="preserve">Preparers should pay close attention to both the </w:t>
            </w:r>
            <w:r w:rsidRPr="00C34177">
              <w:rPr>
                <w:rFonts w:eastAsia="Times New Roman" w:cs="Arial"/>
                <w:b/>
                <w:bCs/>
                <w:lang w:val="en-US" w:eastAsia="en-US"/>
              </w:rPr>
              <w:t>labels</w:t>
            </w:r>
            <w:r w:rsidRPr="00C34177">
              <w:rPr>
                <w:rFonts w:eastAsia="Times New Roman" w:cs="Arial"/>
                <w:lang w:val="en-US" w:eastAsia="en-US"/>
              </w:rPr>
              <w:t xml:space="preserve"> and </w:t>
            </w:r>
            <w:r w:rsidRPr="00C34177">
              <w:rPr>
                <w:rFonts w:eastAsia="Times New Roman" w:cs="Arial"/>
                <w:b/>
                <w:bCs/>
                <w:lang w:val="en-US" w:eastAsia="en-US"/>
              </w:rPr>
              <w:t>availability of tags</w:t>
            </w:r>
            <w:r w:rsidRPr="00C34177">
              <w:rPr>
                <w:rFonts w:eastAsia="Times New Roman" w:cs="Arial"/>
                <w:lang w:val="en-US" w:eastAsia="en-US"/>
              </w:rPr>
              <w:t xml:space="preserve"> in identifying the correct tag for a particular data item.  To take a specific example</w:t>
            </w:r>
            <w:r w:rsidR="00392AFE">
              <w:rPr>
                <w:rFonts w:eastAsia="Times New Roman" w:cs="Arial"/>
                <w:lang w:val="en-US" w:eastAsia="en-US"/>
              </w:rPr>
              <w:t xml:space="preserve"> from the notes to GAAP accounts</w:t>
            </w:r>
            <w:r w:rsidRPr="00C34177">
              <w:rPr>
                <w:rFonts w:eastAsia="Times New Roman" w:cs="Arial"/>
                <w:lang w:val="en-US" w:eastAsia="en-US"/>
              </w:rPr>
              <w:t>, the correct tag for depreciation and impairment of tangible assets is '</w:t>
            </w:r>
            <w:r w:rsidRPr="006B4477">
              <w:rPr>
                <w:rFonts w:eastAsia="Times New Roman" w:cs="Arial"/>
                <w:i/>
                <w:color w:val="FF0000"/>
                <w:lang w:val="en-US" w:eastAsia="en-US"/>
              </w:rPr>
              <w:t>Depreciation and impairment (reversal) of tangible fixed assets</w:t>
            </w:r>
            <w:r w:rsidRPr="00C34177">
              <w:rPr>
                <w:rFonts w:eastAsia="Times New Roman" w:cs="Arial"/>
                <w:lang w:val="en-US" w:eastAsia="en-US"/>
              </w:rPr>
              <w:t xml:space="preserve">', </w:t>
            </w:r>
            <w:r w:rsidRPr="00C34177">
              <w:rPr>
                <w:rFonts w:eastAsia="Times New Roman" w:cs="Arial"/>
                <w:b/>
                <w:bCs/>
                <w:lang w:val="en-US" w:eastAsia="en-US"/>
              </w:rPr>
              <w:t>not</w:t>
            </w:r>
            <w:r w:rsidRPr="00C34177">
              <w:rPr>
                <w:rFonts w:eastAsia="Times New Roman" w:cs="Arial"/>
                <w:lang w:val="en-US" w:eastAsia="en-US"/>
              </w:rPr>
              <w:t xml:space="preserve"> '</w:t>
            </w:r>
            <w:r w:rsidRPr="006B4477">
              <w:rPr>
                <w:rFonts w:eastAsia="Times New Roman" w:cs="Arial"/>
                <w:i/>
                <w:color w:val="FF0000"/>
                <w:lang w:val="en-US" w:eastAsia="en-US"/>
              </w:rPr>
              <w:t>Depreciation and other amounts written off tangible and intangible fixed assets</w:t>
            </w:r>
            <w:r w:rsidRPr="00C34177">
              <w:rPr>
                <w:rFonts w:eastAsia="Times New Roman" w:cs="Arial"/>
                <w:lang w:val="en-US" w:eastAsia="en-US"/>
              </w:rPr>
              <w:t xml:space="preserve">', which covers both tangible and intangible assets.  </w:t>
            </w:r>
            <w:r w:rsidR="00044654">
              <w:rPr>
                <w:rFonts w:eastAsia="Times New Roman" w:cs="Arial"/>
                <w:lang w:val="en-US" w:eastAsia="en-US"/>
              </w:rPr>
              <w:t xml:space="preserve">(The label and the availability of a more precise tag indicate that the second tag is not the correct choice </w:t>
            </w:r>
            <w:r w:rsidR="00392AFE">
              <w:rPr>
                <w:rFonts w:eastAsia="Times New Roman" w:cs="Arial"/>
                <w:lang w:val="en-US" w:eastAsia="en-US"/>
              </w:rPr>
              <w:t>in this case.)</w:t>
            </w:r>
            <w:r w:rsidR="00044654">
              <w:rPr>
                <w:rFonts w:eastAsia="Times New Roman" w:cs="Arial"/>
                <w:lang w:val="en-US" w:eastAsia="en-US"/>
              </w:rPr>
              <w:t xml:space="preserve">  </w:t>
            </w:r>
            <w:r w:rsidRPr="00C34177">
              <w:rPr>
                <w:rFonts w:eastAsia="Times New Roman" w:cs="Arial"/>
                <w:lang w:val="en-US" w:eastAsia="en-US"/>
              </w:rPr>
              <w:t xml:space="preserve">Many other similar examples could be advanced under both GAAP and IFRS.  </w:t>
            </w:r>
          </w:p>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 xml:space="preserve">Preparers should also look carefully at the intended meaning of line items in accounts, rather than tagging on the basis of superficial similarities in line item descriptions and tag labels.  </w:t>
            </w:r>
          </w:p>
        </w:tc>
      </w:tr>
      <w:tr w:rsidR="00FD6681" w:rsidRPr="00C34177" w:rsidTr="00FD6681">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4.3</w:t>
            </w:r>
          </w:p>
        </w:tc>
        <w:tc>
          <w:tcPr>
            <w:tcW w:w="1718" w:type="dxa"/>
            <w:tcBorders>
              <w:top w:val="single" w:sz="4" w:space="0" w:color="auto"/>
              <w:left w:val="nil"/>
              <w:bottom w:val="single" w:sz="4" w:space="0" w:color="auto"/>
              <w:right w:val="single" w:sz="4" w:space="0" w:color="auto"/>
            </w:tcBorders>
            <w:shd w:val="clear" w:color="auto" w:fill="auto"/>
            <w:vAlign w:val="center"/>
          </w:tcPr>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Choice between alternative tags</w:t>
            </w:r>
          </w:p>
        </w:tc>
        <w:tc>
          <w:tcPr>
            <w:tcW w:w="6907" w:type="dxa"/>
            <w:tcBorders>
              <w:top w:val="single" w:sz="4" w:space="0" w:color="auto"/>
              <w:left w:val="nil"/>
              <w:bottom w:val="single" w:sz="4" w:space="0" w:color="auto"/>
              <w:right w:val="single" w:sz="4" w:space="0" w:color="auto"/>
            </w:tcBorders>
            <w:shd w:val="clear" w:color="auto" w:fill="auto"/>
            <w:vAlign w:val="center"/>
          </w:tcPr>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 xml:space="preserve">When alternative tags of different levels of granularity appear to match a data item in accounts, preparers should follow the rules set out in Section 4.7 of the </w:t>
            </w:r>
            <w:hyperlink w:anchor="PDGuide" w:history="1">
              <w:r w:rsidR="00F47E7B" w:rsidRPr="00D87AA9">
                <w:rPr>
                  <w:rStyle w:val="Hyperlink"/>
                  <w:rFonts w:eastAsia="Times New Roman" w:cs="Arial"/>
                  <w:lang w:val="en-US" w:eastAsia="en-US"/>
                </w:rPr>
                <w:t>Preparers &amp; Developers Guide</w:t>
              </w:r>
            </w:hyperlink>
            <w:r w:rsidRPr="00C34177">
              <w:rPr>
                <w:rFonts w:eastAsia="Times New Roman" w:cs="Arial"/>
                <w:lang w:val="en-US" w:eastAsia="en-US"/>
              </w:rPr>
              <w:t xml:space="preserve">.  In the simplest terms, total or more general tags are expected to be used in primary statements, while granular, detailed tags are expected to be used in the notes to accounts.  (Note that these rules in Section 4.7 only apply when </w:t>
            </w:r>
            <w:r w:rsidRPr="00C34177">
              <w:rPr>
                <w:rFonts w:eastAsia="Times New Roman" w:cs="Arial"/>
                <w:b/>
                <w:bCs/>
                <w:lang w:val="en-US" w:eastAsia="en-US"/>
              </w:rPr>
              <w:t>alternative tags</w:t>
            </w:r>
            <w:r w:rsidRPr="00C34177">
              <w:rPr>
                <w:rFonts w:eastAsia="Times New Roman" w:cs="Arial"/>
                <w:lang w:val="en-US" w:eastAsia="en-US"/>
              </w:rPr>
              <w:t xml:space="preserve"> have already been identified as suitable for a data item.  They do not override the main rule on choice of tags in Section 4.3.)   </w:t>
            </w:r>
          </w:p>
        </w:tc>
      </w:tr>
      <w:tr w:rsidR="00FD6681" w:rsidRPr="00C34177" w:rsidTr="00FD6681">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lastRenderedPageBreak/>
              <w:t>4.4</w:t>
            </w:r>
          </w:p>
        </w:tc>
        <w:tc>
          <w:tcPr>
            <w:tcW w:w="1718" w:type="dxa"/>
            <w:tcBorders>
              <w:top w:val="single" w:sz="4" w:space="0" w:color="auto"/>
              <w:left w:val="nil"/>
              <w:bottom w:val="single" w:sz="4" w:space="0" w:color="auto"/>
              <w:right w:val="single" w:sz="4" w:space="0" w:color="auto"/>
            </w:tcBorders>
            <w:shd w:val="clear" w:color="auto" w:fill="auto"/>
            <w:vAlign w:val="center"/>
          </w:tcPr>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Tagging choices under minimum tagging</w:t>
            </w:r>
          </w:p>
        </w:tc>
        <w:tc>
          <w:tcPr>
            <w:tcW w:w="6907" w:type="dxa"/>
            <w:tcBorders>
              <w:top w:val="single" w:sz="4" w:space="0" w:color="auto"/>
              <w:left w:val="nil"/>
              <w:bottom w:val="single" w:sz="4" w:space="0" w:color="auto"/>
              <w:right w:val="single" w:sz="4" w:space="0" w:color="auto"/>
            </w:tcBorders>
            <w:shd w:val="clear" w:color="auto" w:fill="auto"/>
            <w:vAlign w:val="center"/>
          </w:tcPr>
          <w:p w:rsidR="00C045CA" w:rsidRDefault="00FD6681" w:rsidP="00C34177">
            <w:pPr>
              <w:spacing w:before="60" w:after="60"/>
              <w:jc w:val="left"/>
              <w:rPr>
                <w:rFonts w:eastAsia="Times New Roman" w:cs="Arial"/>
                <w:lang w:val="en-US" w:eastAsia="en-US"/>
              </w:rPr>
            </w:pPr>
            <w:r w:rsidRPr="00C34177">
              <w:rPr>
                <w:rFonts w:eastAsia="Times New Roman" w:cs="Arial"/>
                <w:lang w:val="en-US" w:eastAsia="en-US"/>
              </w:rPr>
              <w:t xml:space="preserve">The use of minimum tagging should NOT be allowed to distort the choice of tags for particular data items.  In other words, if a preparer is following minimum rather than full tagging, this should NOT lead to a different tag being chosen for an item under minimum tagging than would be chosen under full tagging.  </w:t>
            </w:r>
          </w:p>
          <w:p w:rsidR="00C045CA" w:rsidRDefault="00FD6681" w:rsidP="00C34177">
            <w:pPr>
              <w:spacing w:before="60" w:after="60"/>
              <w:jc w:val="left"/>
              <w:rPr>
                <w:rFonts w:eastAsia="Times New Roman" w:cs="Arial"/>
                <w:lang w:val="en-US" w:eastAsia="en-US"/>
              </w:rPr>
            </w:pPr>
            <w:r w:rsidRPr="00C34177">
              <w:rPr>
                <w:rFonts w:eastAsia="Times New Roman" w:cs="Arial"/>
                <w:lang w:val="en-US" w:eastAsia="en-US"/>
              </w:rPr>
              <w:t xml:space="preserve">For example, if a preparer following minimum tagging believes tag X is the correct tag for a particular item under full tagging, but tag X is not in the minimum tagging list, then the preparer may leave the item untagged.  The preparer should not choose tag Y which is in the minimum list but is </w:t>
            </w:r>
            <w:r w:rsidRPr="00C34177">
              <w:rPr>
                <w:rFonts w:eastAsia="Times New Roman" w:cs="Arial"/>
                <w:b/>
                <w:bCs/>
                <w:lang w:val="en-US" w:eastAsia="en-US"/>
              </w:rPr>
              <w:t>less</w:t>
            </w:r>
            <w:r w:rsidRPr="00C34177">
              <w:rPr>
                <w:rFonts w:eastAsia="Times New Roman" w:cs="Arial"/>
                <w:lang w:val="en-US" w:eastAsia="en-US"/>
              </w:rPr>
              <w:t xml:space="preserve"> appropriate for the data item, just to try to achieve tagging.   (Clearly, if tag Y is equally appropriate, then it may be chosen.)</w:t>
            </w:r>
          </w:p>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 xml:space="preserve">Preparers following minimum tagging MUST make their tagging choices when viewing the full taxonomy.  Viewing the minimum tagging list in isolation from the full taxonomy is likely to lead to misunderstandings over the meaning of tags.  </w:t>
            </w:r>
          </w:p>
        </w:tc>
      </w:tr>
      <w:tr w:rsidR="00FD6681" w:rsidRPr="00C34177" w:rsidTr="00FD6681">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4.5</w:t>
            </w:r>
          </w:p>
        </w:tc>
        <w:tc>
          <w:tcPr>
            <w:tcW w:w="1718" w:type="dxa"/>
            <w:tcBorders>
              <w:top w:val="single" w:sz="4" w:space="0" w:color="auto"/>
              <w:left w:val="nil"/>
              <w:bottom w:val="single" w:sz="4" w:space="0" w:color="auto"/>
              <w:right w:val="single" w:sz="4" w:space="0" w:color="auto"/>
            </w:tcBorders>
            <w:shd w:val="clear" w:color="auto" w:fill="auto"/>
            <w:vAlign w:val="center"/>
          </w:tcPr>
          <w:p w:rsidR="00FD6681" w:rsidRPr="00C34177" w:rsidRDefault="00FD6681" w:rsidP="00C34177">
            <w:pPr>
              <w:spacing w:before="60" w:after="60"/>
              <w:jc w:val="left"/>
              <w:rPr>
                <w:rFonts w:eastAsia="Times New Roman" w:cs="Arial"/>
                <w:lang w:val="en-US" w:eastAsia="en-US"/>
              </w:rPr>
            </w:pPr>
            <w:bookmarkStart w:id="5" w:name="XR_Dims1"/>
            <w:r w:rsidRPr="00C34177">
              <w:rPr>
                <w:rFonts w:eastAsia="Times New Roman" w:cs="Arial"/>
                <w:lang w:val="en-US" w:eastAsia="en-US"/>
              </w:rPr>
              <w:t>Dimension tags representing classes of information</w:t>
            </w:r>
            <w:bookmarkEnd w:id="5"/>
          </w:p>
        </w:tc>
        <w:tc>
          <w:tcPr>
            <w:tcW w:w="6907" w:type="dxa"/>
            <w:tcBorders>
              <w:top w:val="single" w:sz="4" w:space="0" w:color="auto"/>
              <w:left w:val="nil"/>
              <w:bottom w:val="single" w:sz="4" w:space="0" w:color="auto"/>
              <w:right w:val="single" w:sz="4" w:space="0" w:color="auto"/>
            </w:tcBorders>
            <w:shd w:val="clear" w:color="auto" w:fill="auto"/>
            <w:vAlign w:val="center"/>
          </w:tcPr>
          <w:p w:rsidR="00FD6681" w:rsidRPr="00C34177" w:rsidRDefault="00FD6681" w:rsidP="00C34177">
            <w:pPr>
              <w:spacing w:before="60" w:after="60"/>
              <w:jc w:val="left"/>
              <w:rPr>
                <w:rFonts w:eastAsia="Times New Roman" w:cs="Arial"/>
                <w:lang w:val="en-US" w:eastAsia="en-US"/>
              </w:rPr>
            </w:pPr>
            <w:r w:rsidRPr="009A0865">
              <w:rPr>
                <w:rFonts w:eastAsia="Times New Roman" w:cs="Arial"/>
                <w:lang w:eastAsia="en-US"/>
              </w:rPr>
              <w:t xml:space="preserve">A range of dimensions represent classes of information, such as classes </w:t>
            </w:r>
            <w:r w:rsidR="009A0865" w:rsidRPr="009A0865">
              <w:rPr>
                <w:rFonts w:eastAsia="Times New Roman" w:cs="Arial"/>
                <w:lang w:eastAsia="en-US"/>
              </w:rPr>
              <w:t>of tangible</w:t>
            </w:r>
            <w:r w:rsidRPr="009A0865">
              <w:rPr>
                <w:rFonts w:eastAsia="Times New Roman" w:cs="Arial"/>
                <w:lang w:eastAsia="en-US"/>
              </w:rPr>
              <w:t xml:space="preserve"> </w:t>
            </w:r>
            <w:r w:rsidR="009A0865" w:rsidRPr="009A0865">
              <w:rPr>
                <w:rFonts w:eastAsia="Times New Roman" w:cs="Arial"/>
                <w:lang w:eastAsia="en-US"/>
              </w:rPr>
              <w:t>and intangible</w:t>
            </w:r>
            <w:r w:rsidRPr="009A0865">
              <w:rPr>
                <w:rFonts w:eastAsia="Times New Roman" w:cs="Arial"/>
                <w:lang w:eastAsia="en-US"/>
              </w:rPr>
              <w:t xml:space="preserve"> assets.  </w:t>
            </w:r>
            <w:r w:rsidRPr="00C34177">
              <w:rPr>
                <w:rFonts w:eastAsia="Times New Roman" w:cs="Arial"/>
                <w:lang w:val="en-US" w:eastAsia="en-US"/>
              </w:rPr>
              <w:t xml:space="preserve">Preparers should select the dimension tag which most closely matches the class defined in the accounts.  If use of the closest available tag would materially distort the meaning of </w:t>
            </w:r>
            <w:r w:rsidR="004F0A9B">
              <w:rPr>
                <w:rFonts w:eastAsia="Times New Roman" w:cs="Arial"/>
                <w:lang w:val="en-US" w:eastAsia="en-US"/>
              </w:rPr>
              <w:t>a class of data</w:t>
            </w:r>
            <w:r w:rsidRPr="00C34177">
              <w:rPr>
                <w:rFonts w:eastAsia="Times New Roman" w:cs="Arial"/>
                <w:lang w:val="en-US" w:eastAsia="en-US"/>
              </w:rPr>
              <w:t xml:space="preserve">, then that </w:t>
            </w:r>
            <w:r w:rsidR="004F0A9B">
              <w:rPr>
                <w:rFonts w:eastAsia="Times New Roman" w:cs="Arial"/>
                <w:lang w:val="en-US" w:eastAsia="en-US"/>
              </w:rPr>
              <w:t xml:space="preserve">particular </w:t>
            </w:r>
            <w:r w:rsidRPr="00C34177">
              <w:rPr>
                <w:rFonts w:eastAsia="Times New Roman" w:cs="Arial"/>
                <w:lang w:val="en-US" w:eastAsia="en-US"/>
              </w:rPr>
              <w:t xml:space="preserve">class should be left untagged.  </w:t>
            </w:r>
            <w:r w:rsidR="004F0A9B">
              <w:rPr>
                <w:rFonts w:eastAsia="Times New Roman" w:cs="Arial"/>
                <w:lang w:val="en-US" w:eastAsia="en-US"/>
              </w:rPr>
              <w:t>Other classes of data in th</w:t>
            </w:r>
            <w:r w:rsidR="004F5785">
              <w:rPr>
                <w:rFonts w:eastAsia="Times New Roman" w:cs="Arial"/>
                <w:lang w:val="en-US" w:eastAsia="en-US"/>
              </w:rPr>
              <w:t>e same</w:t>
            </w:r>
            <w:r w:rsidR="004F0A9B">
              <w:rPr>
                <w:rFonts w:eastAsia="Times New Roman" w:cs="Arial"/>
                <w:lang w:val="en-US" w:eastAsia="en-US"/>
              </w:rPr>
              <w:t xml:space="preserve"> set of information must still be tagged.  </w:t>
            </w:r>
          </w:p>
        </w:tc>
      </w:tr>
      <w:tr w:rsidR="00FD6681" w:rsidRPr="00C34177" w:rsidTr="00FD6681">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4.6</w:t>
            </w:r>
          </w:p>
        </w:tc>
        <w:tc>
          <w:tcPr>
            <w:tcW w:w="1718" w:type="dxa"/>
            <w:tcBorders>
              <w:top w:val="single" w:sz="4" w:space="0" w:color="auto"/>
              <w:left w:val="nil"/>
              <w:bottom w:val="single" w:sz="4" w:space="0" w:color="auto"/>
              <w:right w:val="single" w:sz="4" w:space="0" w:color="auto"/>
            </w:tcBorders>
            <w:shd w:val="clear" w:color="auto" w:fill="auto"/>
            <w:vAlign w:val="center"/>
          </w:tcPr>
          <w:p w:rsidR="00FD6681" w:rsidRPr="00C34177" w:rsidRDefault="00FD6681" w:rsidP="00C34177">
            <w:pPr>
              <w:spacing w:before="60" w:after="60"/>
              <w:jc w:val="left"/>
              <w:rPr>
                <w:rFonts w:eastAsia="Times New Roman" w:cs="Arial"/>
                <w:lang w:val="en-US" w:eastAsia="en-US"/>
              </w:rPr>
            </w:pPr>
            <w:bookmarkStart w:id="6" w:name="XR_Dims2"/>
            <w:r w:rsidRPr="00C34177">
              <w:rPr>
                <w:rFonts w:eastAsia="Times New Roman" w:cs="Arial"/>
                <w:lang w:val="en-US" w:eastAsia="en-US"/>
              </w:rPr>
              <w:t>Generic dimension tags</w:t>
            </w:r>
            <w:bookmarkEnd w:id="6"/>
          </w:p>
        </w:tc>
        <w:tc>
          <w:tcPr>
            <w:tcW w:w="6907" w:type="dxa"/>
            <w:tcBorders>
              <w:top w:val="single" w:sz="4" w:space="0" w:color="auto"/>
              <w:left w:val="nil"/>
              <w:bottom w:val="single" w:sz="4" w:space="0" w:color="auto"/>
              <w:right w:val="single" w:sz="4" w:space="0" w:color="auto"/>
            </w:tcBorders>
            <w:shd w:val="clear" w:color="auto" w:fill="auto"/>
            <w:vAlign w:val="center"/>
          </w:tcPr>
          <w:p w:rsidR="00C045CA" w:rsidRDefault="00FD6681" w:rsidP="00C34177">
            <w:pPr>
              <w:spacing w:before="60" w:after="60"/>
              <w:jc w:val="left"/>
              <w:rPr>
                <w:rFonts w:eastAsia="Times New Roman" w:cs="Arial"/>
                <w:lang w:val="en-US" w:eastAsia="en-US"/>
              </w:rPr>
            </w:pPr>
            <w:r w:rsidRPr="00C34177">
              <w:rPr>
                <w:rFonts w:eastAsia="Times New Roman" w:cs="Arial"/>
                <w:lang w:val="en-US" w:eastAsia="en-US"/>
              </w:rPr>
              <w:t xml:space="preserve">As explained in section 4.12 of the </w:t>
            </w:r>
            <w:hyperlink w:anchor="PDGuide" w:history="1">
              <w:r w:rsidR="00F47E7B" w:rsidRPr="00D87AA9">
                <w:rPr>
                  <w:rStyle w:val="Hyperlink"/>
                  <w:rFonts w:eastAsia="Times New Roman" w:cs="Arial"/>
                  <w:lang w:val="en-US" w:eastAsia="en-US"/>
                </w:rPr>
                <w:t>Preparers &amp; Developers Guide</w:t>
              </w:r>
            </w:hyperlink>
            <w:r w:rsidRPr="00C34177">
              <w:rPr>
                <w:rFonts w:eastAsia="Times New Roman" w:cs="Arial"/>
                <w:lang w:val="en-US" w:eastAsia="en-US"/>
              </w:rPr>
              <w:t>, each generic dimension tag, such as</w:t>
            </w:r>
            <w:r w:rsidR="006B4477">
              <w:rPr>
                <w:rFonts w:eastAsia="Times New Roman" w:cs="Arial"/>
                <w:lang w:val="en-US" w:eastAsia="en-US"/>
              </w:rPr>
              <w:t xml:space="preserve"> ‘</w:t>
            </w:r>
            <w:r w:rsidRPr="006B4477">
              <w:rPr>
                <w:rFonts w:eastAsia="Times New Roman" w:cs="Arial"/>
                <w:i/>
                <w:color w:val="FF0000"/>
                <w:lang w:val="en-US" w:eastAsia="en-US"/>
              </w:rPr>
              <w:t>Director 1</w:t>
            </w:r>
            <w:r w:rsidR="006B4477">
              <w:rPr>
                <w:rFonts w:eastAsia="Times New Roman" w:cs="Arial"/>
                <w:lang w:val="en-US" w:eastAsia="en-US"/>
              </w:rPr>
              <w:t>’, ‘</w:t>
            </w:r>
            <w:r w:rsidRPr="006B4477">
              <w:rPr>
                <w:rFonts w:eastAsia="Times New Roman" w:cs="Arial"/>
                <w:i/>
                <w:color w:val="FF0000"/>
                <w:lang w:val="en-US" w:eastAsia="en-US"/>
              </w:rPr>
              <w:t>Subsidiary 1</w:t>
            </w:r>
            <w:r w:rsidR="006B4477">
              <w:rPr>
                <w:rFonts w:eastAsia="Times New Roman" w:cs="Arial"/>
                <w:lang w:val="en-US" w:eastAsia="en-US"/>
              </w:rPr>
              <w:t xml:space="preserve">‘ </w:t>
            </w:r>
            <w:r w:rsidRPr="00C34177">
              <w:rPr>
                <w:rFonts w:eastAsia="Times New Roman" w:cs="Arial"/>
                <w:lang w:val="en-US" w:eastAsia="en-US"/>
              </w:rPr>
              <w:t xml:space="preserve">and the like, </w:t>
            </w:r>
            <w:r w:rsidRPr="00C34177">
              <w:rPr>
                <w:rFonts w:eastAsia="Times New Roman" w:cs="Arial"/>
                <w:b/>
                <w:bCs/>
                <w:lang w:val="en-US" w:eastAsia="en-US"/>
              </w:rPr>
              <w:t>must</w:t>
            </w:r>
            <w:r w:rsidRPr="00C34177">
              <w:rPr>
                <w:rFonts w:eastAsia="Times New Roman" w:cs="Arial"/>
                <w:lang w:val="en-US" w:eastAsia="en-US"/>
              </w:rPr>
              <w:t xml:space="preserve"> be used with an associated name or description tag in order to identify its particular use in a report.  The name or description to which a particular generic dimension tag is being applied should only be tagged </w:t>
            </w:r>
            <w:r w:rsidRPr="00C34177">
              <w:rPr>
                <w:rFonts w:eastAsia="Times New Roman" w:cs="Arial"/>
                <w:b/>
                <w:bCs/>
                <w:lang w:val="en-US" w:eastAsia="en-US"/>
              </w:rPr>
              <w:t>once</w:t>
            </w:r>
            <w:r w:rsidRPr="00C34177">
              <w:rPr>
                <w:rFonts w:eastAsia="Times New Roman" w:cs="Arial"/>
                <w:lang w:val="en-US" w:eastAsia="en-US"/>
              </w:rPr>
              <w:t xml:space="preserve"> in a set of accounts.  (Repeated occurrences of a name or description should not be tagged:  minor textual variations in the name or description will cause validation problems.)  The generic dimension tag </w:t>
            </w:r>
            <w:r w:rsidRPr="00C34177">
              <w:rPr>
                <w:rFonts w:eastAsia="Times New Roman" w:cs="Arial"/>
                <w:b/>
                <w:bCs/>
                <w:lang w:val="en-US" w:eastAsia="en-US"/>
              </w:rPr>
              <w:t>must</w:t>
            </w:r>
            <w:r w:rsidRPr="00C34177">
              <w:rPr>
                <w:rFonts w:eastAsia="Times New Roman" w:cs="Arial"/>
                <w:lang w:val="en-US" w:eastAsia="en-US"/>
              </w:rPr>
              <w:t xml:space="preserve"> then be used consistently throughout a set of accounts only to apply to that class of data.  </w:t>
            </w:r>
          </w:p>
          <w:p w:rsidR="00C045CA" w:rsidRDefault="00FD6681" w:rsidP="00C34177">
            <w:pPr>
              <w:spacing w:before="60" w:after="60"/>
              <w:jc w:val="left"/>
              <w:rPr>
                <w:rFonts w:eastAsia="Times New Roman" w:cs="Arial"/>
                <w:lang w:val="en-US" w:eastAsia="en-US"/>
              </w:rPr>
            </w:pPr>
            <w:r w:rsidRPr="00C34177">
              <w:rPr>
                <w:rFonts w:eastAsia="Times New Roman" w:cs="Arial"/>
                <w:lang w:val="en-US" w:eastAsia="en-US"/>
              </w:rPr>
              <w:t xml:space="preserve">In general, the name or description tag associated with a generic dimension will be found in the principal taxonomy section to which the generic dimension applies.  The GAAP and IFRS sections of this document give further information on the location of some particular generic name and description tags.  </w:t>
            </w:r>
          </w:p>
          <w:p w:rsidR="00FD6681" w:rsidRDefault="00FD6681" w:rsidP="00C34177">
            <w:pPr>
              <w:spacing w:before="60" w:after="60"/>
              <w:jc w:val="left"/>
              <w:rPr>
                <w:rFonts w:eastAsia="Times New Roman" w:cs="Arial"/>
                <w:lang w:val="en-US" w:eastAsia="en-US"/>
              </w:rPr>
            </w:pPr>
            <w:r w:rsidRPr="00C34177">
              <w:rPr>
                <w:rFonts w:eastAsia="Times New Roman" w:cs="Arial"/>
                <w:lang w:val="en-US" w:eastAsia="en-US"/>
              </w:rPr>
              <w:t xml:space="preserve">In general, a single numbered tag can only apply to </w:t>
            </w:r>
            <w:r w:rsidRPr="00C34177">
              <w:rPr>
                <w:rFonts w:eastAsia="Times New Roman" w:cs="Arial"/>
                <w:b/>
                <w:bCs/>
                <w:lang w:val="en-US" w:eastAsia="en-US"/>
              </w:rPr>
              <w:t>one</w:t>
            </w:r>
            <w:r w:rsidRPr="00C34177">
              <w:rPr>
                <w:rFonts w:eastAsia="Times New Roman" w:cs="Arial"/>
                <w:lang w:val="en-US" w:eastAsia="en-US"/>
              </w:rPr>
              <w:t xml:space="preserve"> type of data - for example, data related to a specific director.  The only exception to this is the tags in the </w:t>
            </w:r>
            <w:r w:rsidRPr="00DD397E">
              <w:rPr>
                <w:rFonts w:eastAsia="Times New Roman" w:cs="Arial"/>
                <w:i/>
                <w:lang w:val="en-US" w:eastAsia="en-US"/>
              </w:rPr>
              <w:t>Third party agent status</w:t>
            </w:r>
            <w:r w:rsidRPr="00C34177">
              <w:rPr>
                <w:rFonts w:eastAsia="Times New Roman" w:cs="Arial"/>
                <w:lang w:val="en-US" w:eastAsia="en-US"/>
              </w:rPr>
              <w:t xml:space="preserve"> dimension, containing tags such as '</w:t>
            </w:r>
            <w:r w:rsidRPr="00DD397E">
              <w:rPr>
                <w:rFonts w:eastAsia="Times New Roman" w:cs="Arial"/>
                <w:i/>
                <w:color w:val="FF0000"/>
                <w:lang w:val="en-US" w:eastAsia="en-US"/>
              </w:rPr>
              <w:t>Joint agent 1</w:t>
            </w:r>
            <w:r w:rsidRPr="00C34177">
              <w:rPr>
                <w:rFonts w:eastAsia="Times New Roman" w:cs="Arial"/>
                <w:lang w:val="en-US" w:eastAsia="en-US"/>
              </w:rPr>
              <w:t>'.  This must b</w:t>
            </w:r>
            <w:r w:rsidR="00DD397E">
              <w:rPr>
                <w:rFonts w:eastAsia="Times New Roman" w:cs="Arial"/>
                <w:lang w:val="en-US" w:eastAsia="en-US"/>
              </w:rPr>
              <w:t xml:space="preserve">e used in combination with the </w:t>
            </w:r>
            <w:r w:rsidRPr="00DD397E">
              <w:rPr>
                <w:rFonts w:eastAsia="Times New Roman" w:cs="Arial"/>
                <w:i/>
                <w:lang w:val="en-US" w:eastAsia="en-US"/>
              </w:rPr>
              <w:t>Third party agent type</w:t>
            </w:r>
            <w:r w:rsidRPr="00C34177">
              <w:rPr>
                <w:rFonts w:eastAsia="Times New Roman" w:cs="Arial"/>
                <w:lang w:val="en-US" w:eastAsia="en-US"/>
              </w:rPr>
              <w:t xml:space="preserve"> dimension, so the requirement in this case is that each combination of type of agent and numbered agent tag is unique.  (For example, '</w:t>
            </w:r>
            <w:r w:rsidRPr="00DD397E">
              <w:rPr>
                <w:rFonts w:eastAsia="Times New Roman" w:cs="Arial"/>
                <w:i/>
                <w:color w:val="FF0000"/>
                <w:lang w:val="en-US" w:eastAsia="en-US"/>
              </w:rPr>
              <w:t>Joint agent 1</w:t>
            </w:r>
            <w:r w:rsidRPr="00C34177">
              <w:rPr>
                <w:rFonts w:eastAsia="Times New Roman" w:cs="Arial"/>
                <w:lang w:val="en-US" w:eastAsia="en-US"/>
              </w:rPr>
              <w:t>' can be used to identify both a specific auditor and specific lawyer, by being used in combination with the appropriate 'type of agent' dimension tag.)</w:t>
            </w:r>
          </w:p>
          <w:p w:rsidR="00C045CA" w:rsidRPr="00C34177" w:rsidRDefault="00317B22" w:rsidP="00C34177">
            <w:pPr>
              <w:spacing w:before="60" w:after="60"/>
              <w:jc w:val="left"/>
              <w:rPr>
                <w:rFonts w:eastAsia="Times New Roman" w:cs="Arial"/>
                <w:lang w:val="en-US" w:eastAsia="en-US"/>
              </w:rPr>
            </w:pPr>
            <w:r>
              <w:rPr>
                <w:rFonts w:eastAsia="Times New Roman" w:cs="Arial"/>
                <w:lang w:val="en-US" w:eastAsia="en-US"/>
              </w:rPr>
              <w:t xml:space="preserve">(The </w:t>
            </w:r>
            <w:hyperlink w:anchor="GenericRules" w:history="1">
              <w:r w:rsidRPr="00B6573F">
                <w:rPr>
                  <w:rStyle w:val="Hyperlink"/>
                  <w:rFonts w:eastAsia="Times New Roman" w:cs="Arial"/>
                  <w:lang w:val="en-US" w:eastAsia="en-US"/>
                </w:rPr>
                <w:t>HMRC Generic Dimensions Validation</w:t>
              </w:r>
            </w:hyperlink>
            <w:r>
              <w:rPr>
                <w:rFonts w:eastAsia="Times New Roman" w:cs="Arial"/>
                <w:lang w:val="en-US" w:eastAsia="en-US"/>
              </w:rPr>
              <w:t xml:space="preserve"> document lists the specific name / description tag which must be used with each generic dimension.  </w:t>
            </w:r>
            <w:r w:rsidR="00B6573F">
              <w:rPr>
                <w:rFonts w:eastAsia="Times New Roman" w:cs="Arial"/>
                <w:lang w:val="en-US" w:eastAsia="en-US"/>
              </w:rPr>
              <w:t xml:space="preserve">Software should enforce the use of these tags.) </w:t>
            </w:r>
          </w:p>
        </w:tc>
      </w:tr>
      <w:tr w:rsidR="00FD6681" w:rsidRPr="00C34177" w:rsidTr="00FD6681">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lastRenderedPageBreak/>
              <w:t>4.7</w:t>
            </w:r>
          </w:p>
        </w:tc>
        <w:tc>
          <w:tcPr>
            <w:tcW w:w="1718" w:type="dxa"/>
            <w:tcBorders>
              <w:top w:val="single" w:sz="4" w:space="0" w:color="auto"/>
              <w:left w:val="nil"/>
              <w:bottom w:val="single" w:sz="4" w:space="0" w:color="auto"/>
              <w:right w:val="single" w:sz="4" w:space="0" w:color="auto"/>
            </w:tcBorders>
            <w:shd w:val="clear" w:color="auto" w:fill="auto"/>
            <w:vAlign w:val="center"/>
          </w:tcPr>
          <w:p w:rsidR="00FD6681" w:rsidRPr="00C34177" w:rsidRDefault="00FD6681" w:rsidP="00C34177">
            <w:pPr>
              <w:spacing w:before="60" w:after="60"/>
              <w:jc w:val="left"/>
              <w:rPr>
                <w:rFonts w:eastAsia="Times New Roman" w:cs="Arial"/>
                <w:lang w:val="en-US" w:eastAsia="en-US"/>
              </w:rPr>
            </w:pPr>
            <w:bookmarkStart w:id="7" w:name="XR_Dims3"/>
            <w:r w:rsidRPr="00C34177">
              <w:rPr>
                <w:rFonts w:eastAsia="Times New Roman" w:cs="Arial"/>
                <w:lang w:val="en-US" w:eastAsia="en-US"/>
              </w:rPr>
              <w:t>Insufficient generic dimension tags</w:t>
            </w:r>
            <w:bookmarkEnd w:id="7"/>
          </w:p>
        </w:tc>
        <w:tc>
          <w:tcPr>
            <w:tcW w:w="6907" w:type="dxa"/>
            <w:tcBorders>
              <w:top w:val="single" w:sz="4" w:space="0" w:color="auto"/>
              <w:left w:val="nil"/>
              <w:bottom w:val="single" w:sz="4" w:space="0" w:color="auto"/>
              <w:right w:val="single" w:sz="4" w:space="0" w:color="auto"/>
            </w:tcBorders>
            <w:shd w:val="clear" w:color="auto" w:fill="auto"/>
            <w:vAlign w:val="center"/>
          </w:tcPr>
          <w:p w:rsidR="0043483A" w:rsidRDefault="00FD6681" w:rsidP="00C34177">
            <w:pPr>
              <w:spacing w:before="60" w:after="60"/>
              <w:jc w:val="left"/>
              <w:rPr>
                <w:rFonts w:eastAsia="Times New Roman" w:cs="Arial"/>
                <w:lang w:val="en-US" w:eastAsia="en-US"/>
              </w:rPr>
            </w:pPr>
            <w:r w:rsidRPr="00C34177">
              <w:rPr>
                <w:rFonts w:eastAsia="Times New Roman" w:cs="Arial"/>
                <w:lang w:val="en-US" w:eastAsia="en-US"/>
              </w:rPr>
              <w:t>In some unusual cases, there may be insufficient tags in a generic dimension to cover a company's requirements.  For example, a company may have more subsidiaries than are available in the Subsidiaries generic dimension (GAAP contains '</w:t>
            </w:r>
            <w:r w:rsidRPr="00FD04B7">
              <w:rPr>
                <w:rFonts w:eastAsia="Times New Roman" w:cs="Arial"/>
                <w:i/>
                <w:color w:val="FF0000"/>
                <w:lang w:val="en-US" w:eastAsia="en-US"/>
              </w:rPr>
              <w:t>Subsidiary 1</w:t>
            </w:r>
            <w:r w:rsidRPr="00C34177">
              <w:rPr>
                <w:rFonts w:eastAsia="Times New Roman" w:cs="Arial"/>
                <w:lang w:val="en-US" w:eastAsia="en-US"/>
              </w:rPr>
              <w:t>' to '</w:t>
            </w:r>
            <w:r w:rsidRPr="00FD04B7">
              <w:rPr>
                <w:rFonts w:eastAsia="Times New Roman" w:cs="Arial"/>
                <w:i/>
                <w:color w:val="FF0000"/>
                <w:lang w:val="en-US" w:eastAsia="en-US"/>
              </w:rPr>
              <w:t>Subsidiary 30</w:t>
            </w:r>
            <w:r w:rsidRPr="00C34177">
              <w:rPr>
                <w:rFonts w:eastAsia="Times New Roman" w:cs="Arial"/>
                <w:lang w:val="en-US" w:eastAsia="en-US"/>
              </w:rPr>
              <w:t>', while IFRS contains '</w:t>
            </w:r>
            <w:r w:rsidRPr="00FD04B7">
              <w:rPr>
                <w:rFonts w:eastAsia="Times New Roman" w:cs="Arial"/>
                <w:i/>
                <w:color w:val="FF0000"/>
                <w:lang w:val="en-US" w:eastAsia="en-US"/>
              </w:rPr>
              <w:t>Subsidiary 1</w:t>
            </w:r>
            <w:r w:rsidRPr="00C34177">
              <w:rPr>
                <w:rFonts w:eastAsia="Times New Roman" w:cs="Arial"/>
                <w:lang w:val="en-US" w:eastAsia="en-US"/>
              </w:rPr>
              <w:t>' to '</w:t>
            </w:r>
            <w:r w:rsidRPr="00FD04B7">
              <w:rPr>
                <w:rFonts w:eastAsia="Times New Roman" w:cs="Arial"/>
                <w:i/>
                <w:color w:val="FF0000"/>
                <w:lang w:val="en-US" w:eastAsia="en-US"/>
              </w:rPr>
              <w:t>Subsidiary 50</w:t>
            </w:r>
            <w:r w:rsidRPr="00C34177">
              <w:rPr>
                <w:rFonts w:eastAsia="Times New Roman" w:cs="Arial"/>
                <w:lang w:val="en-US" w:eastAsia="en-US"/>
              </w:rPr>
              <w:t xml:space="preserve">').  </w:t>
            </w:r>
          </w:p>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 xml:space="preserve">In such cases, preparers should tag up to the maximum available generic dimension tags and leave other data untagged.  As far as possible, they should try to ensure the </w:t>
            </w:r>
            <w:r w:rsidRPr="00C34177">
              <w:rPr>
                <w:rFonts w:eastAsia="Times New Roman" w:cs="Arial"/>
                <w:b/>
                <w:bCs/>
                <w:lang w:val="en-US" w:eastAsia="en-US"/>
              </w:rPr>
              <w:t>most important data</w:t>
            </w:r>
            <w:r w:rsidRPr="00C34177">
              <w:rPr>
                <w:rFonts w:eastAsia="Times New Roman" w:cs="Arial"/>
                <w:lang w:val="en-US" w:eastAsia="en-US"/>
              </w:rPr>
              <w:t xml:space="preserve"> is covered by generic dimension tags.   For example, if a company has 11 pension schemes, but only 10 generic pension tags are available (as under IFRS), it should tag the 10 largest or most important schemes, leaving the least significant untagged.  </w:t>
            </w:r>
          </w:p>
        </w:tc>
      </w:tr>
      <w:tr w:rsidR="00FD6681" w:rsidRPr="00C34177" w:rsidTr="00FD6681">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4.8</w:t>
            </w:r>
          </w:p>
        </w:tc>
        <w:tc>
          <w:tcPr>
            <w:tcW w:w="1718" w:type="dxa"/>
            <w:tcBorders>
              <w:top w:val="single" w:sz="4" w:space="0" w:color="auto"/>
              <w:left w:val="nil"/>
              <w:bottom w:val="single" w:sz="4" w:space="0" w:color="auto"/>
              <w:right w:val="single" w:sz="4" w:space="0" w:color="auto"/>
            </w:tcBorders>
            <w:shd w:val="clear" w:color="auto" w:fill="auto"/>
            <w:vAlign w:val="center"/>
          </w:tcPr>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Net and gross</w:t>
            </w:r>
          </w:p>
        </w:tc>
        <w:tc>
          <w:tcPr>
            <w:tcW w:w="6907" w:type="dxa"/>
            <w:tcBorders>
              <w:top w:val="single" w:sz="4" w:space="0" w:color="auto"/>
              <w:left w:val="nil"/>
              <w:bottom w:val="single" w:sz="4" w:space="0" w:color="auto"/>
              <w:right w:val="single" w:sz="4" w:space="0" w:color="auto"/>
            </w:tcBorders>
            <w:shd w:val="clear" w:color="auto" w:fill="auto"/>
            <w:vAlign w:val="center"/>
          </w:tcPr>
          <w:p w:rsidR="0043483A" w:rsidRDefault="00FD6681" w:rsidP="00C34177">
            <w:pPr>
              <w:spacing w:before="60" w:after="60"/>
              <w:jc w:val="left"/>
              <w:rPr>
                <w:rFonts w:eastAsia="Times New Roman" w:cs="Arial"/>
                <w:lang w:val="en-US" w:eastAsia="en-US"/>
              </w:rPr>
            </w:pPr>
            <w:r w:rsidRPr="00C34177">
              <w:rPr>
                <w:rFonts w:eastAsia="Times New Roman" w:cs="Arial"/>
                <w:lang w:val="en-US" w:eastAsia="en-US"/>
              </w:rPr>
              <w:t xml:space="preserve">Preparers must pay close attention to whether a line item is being reported net or gross in a financial statement and apply the appropriate tag from the taxonomy.   The meaning of line items in accounts will not always be obvious - for example, the line item 'finance income' may appear gross at first sight but actually mean 'net finance income'.  </w:t>
            </w:r>
          </w:p>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In the taxonomy, net tags may be identified by their positioning in the taxonomy and / or the inclusion of terms in brackets, indicating they may be reported as positive or negative.  For example, '</w:t>
            </w:r>
            <w:r w:rsidRPr="00FD04B7">
              <w:rPr>
                <w:rFonts w:eastAsia="Times New Roman" w:cs="Arial"/>
                <w:i/>
                <w:color w:val="FF0000"/>
                <w:lang w:val="en-US" w:eastAsia="en-US"/>
              </w:rPr>
              <w:t>Impairment loss (reversal)</w:t>
            </w:r>
            <w:r w:rsidRPr="00C34177">
              <w:rPr>
                <w:rFonts w:eastAsia="Times New Roman" w:cs="Arial"/>
                <w:lang w:val="en-US" w:eastAsia="en-US"/>
              </w:rPr>
              <w:t>' is clearly a net tag, while its taxonomy children '</w:t>
            </w:r>
            <w:r w:rsidRPr="00FD04B7">
              <w:rPr>
                <w:rFonts w:eastAsia="Times New Roman" w:cs="Arial"/>
                <w:i/>
                <w:color w:val="FF0000"/>
                <w:lang w:val="en-US" w:eastAsia="en-US"/>
              </w:rPr>
              <w:t>Impairment loss</w:t>
            </w:r>
            <w:r w:rsidRPr="00C34177">
              <w:rPr>
                <w:rFonts w:eastAsia="Times New Roman" w:cs="Arial"/>
                <w:lang w:val="en-US" w:eastAsia="en-US"/>
              </w:rPr>
              <w:t>' and '</w:t>
            </w:r>
            <w:r w:rsidRPr="00FD04B7">
              <w:rPr>
                <w:rFonts w:eastAsia="Times New Roman" w:cs="Arial"/>
                <w:i/>
                <w:color w:val="FF0000"/>
                <w:lang w:val="en-US" w:eastAsia="en-US"/>
              </w:rPr>
              <w:t>Impairment reversal</w:t>
            </w:r>
            <w:r w:rsidRPr="00C34177">
              <w:rPr>
                <w:rFonts w:eastAsia="Times New Roman" w:cs="Arial"/>
                <w:lang w:val="en-US" w:eastAsia="en-US"/>
              </w:rPr>
              <w:t xml:space="preserve">' are clearly gross.  Similarly in cash flow, tags representing gross items such as receipts and payments are clearly identified by their label.  </w:t>
            </w:r>
          </w:p>
        </w:tc>
      </w:tr>
      <w:tr w:rsidR="00FD6681" w:rsidRPr="00C34177" w:rsidTr="00FD6681">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4.9</w:t>
            </w:r>
          </w:p>
        </w:tc>
        <w:tc>
          <w:tcPr>
            <w:tcW w:w="1718" w:type="dxa"/>
            <w:tcBorders>
              <w:top w:val="single" w:sz="4" w:space="0" w:color="auto"/>
              <w:left w:val="nil"/>
              <w:bottom w:val="single" w:sz="4" w:space="0" w:color="auto"/>
              <w:right w:val="single" w:sz="4" w:space="0" w:color="auto"/>
            </w:tcBorders>
            <w:shd w:val="clear" w:color="auto" w:fill="auto"/>
            <w:vAlign w:val="center"/>
          </w:tcPr>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Continuing operations</w:t>
            </w:r>
          </w:p>
        </w:tc>
        <w:tc>
          <w:tcPr>
            <w:tcW w:w="6907" w:type="dxa"/>
            <w:tcBorders>
              <w:top w:val="single" w:sz="4" w:space="0" w:color="auto"/>
              <w:left w:val="nil"/>
              <w:bottom w:val="single" w:sz="4" w:space="0" w:color="auto"/>
              <w:right w:val="single" w:sz="4" w:space="0" w:color="auto"/>
            </w:tcBorders>
            <w:shd w:val="clear" w:color="auto" w:fill="auto"/>
            <w:vAlign w:val="center"/>
          </w:tcPr>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The use of the continuing operations dimension</w:t>
            </w:r>
            <w:r w:rsidR="00E117FB">
              <w:rPr>
                <w:rFonts w:eastAsia="Times New Roman" w:cs="Arial"/>
                <w:lang w:val="en-US" w:eastAsia="en-US"/>
              </w:rPr>
              <w:t xml:space="preserve"> tag</w:t>
            </w:r>
            <w:r w:rsidRPr="00C34177">
              <w:rPr>
                <w:rFonts w:eastAsia="Times New Roman" w:cs="Arial"/>
                <w:lang w:val="en-US" w:eastAsia="en-US"/>
              </w:rPr>
              <w:t xml:space="preserve">s is </w:t>
            </w:r>
            <w:r w:rsidRPr="00C34177">
              <w:rPr>
                <w:rFonts w:eastAsia="Times New Roman" w:cs="Arial"/>
                <w:b/>
                <w:bCs/>
                <w:lang w:val="en-US" w:eastAsia="en-US"/>
              </w:rPr>
              <w:t>not</w:t>
            </w:r>
            <w:r w:rsidRPr="00C34177">
              <w:rPr>
                <w:rFonts w:eastAsia="Times New Roman" w:cs="Arial"/>
                <w:lang w:val="en-US" w:eastAsia="en-US"/>
              </w:rPr>
              <w:t xml:space="preserve"> required when all operations are continuing and no distinction is made between continuing and discontinued operations data in a particular statement or note.  </w:t>
            </w:r>
          </w:p>
        </w:tc>
      </w:tr>
      <w:tr w:rsidR="00FD6681" w:rsidRPr="00C34177" w:rsidTr="00FD6681">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4.10</w:t>
            </w:r>
          </w:p>
        </w:tc>
        <w:tc>
          <w:tcPr>
            <w:tcW w:w="1718" w:type="dxa"/>
            <w:tcBorders>
              <w:top w:val="single" w:sz="4" w:space="0" w:color="auto"/>
              <w:left w:val="nil"/>
              <w:bottom w:val="single" w:sz="4" w:space="0" w:color="auto"/>
              <w:right w:val="single" w:sz="4" w:space="0" w:color="auto"/>
            </w:tcBorders>
            <w:shd w:val="clear" w:color="auto" w:fill="auto"/>
            <w:vAlign w:val="center"/>
          </w:tcPr>
          <w:p w:rsidR="00FD6681" w:rsidRPr="00C34177" w:rsidRDefault="00FD6681" w:rsidP="00C34177">
            <w:pPr>
              <w:spacing w:before="60" w:after="60"/>
              <w:jc w:val="left"/>
              <w:rPr>
                <w:rFonts w:eastAsia="Times New Roman" w:cs="Arial"/>
                <w:lang w:val="en-US" w:eastAsia="en-US"/>
              </w:rPr>
            </w:pPr>
            <w:bookmarkStart w:id="8" w:name="XR_Restated"/>
            <w:r w:rsidRPr="00C34177">
              <w:rPr>
                <w:rFonts w:eastAsia="Times New Roman" w:cs="Arial"/>
                <w:lang w:val="en-US" w:eastAsia="en-US"/>
              </w:rPr>
              <w:t>Use of 'Restated' tag</w:t>
            </w:r>
            <w:bookmarkEnd w:id="8"/>
          </w:p>
        </w:tc>
        <w:tc>
          <w:tcPr>
            <w:tcW w:w="6907" w:type="dxa"/>
            <w:tcBorders>
              <w:top w:val="single" w:sz="4" w:space="0" w:color="auto"/>
              <w:left w:val="nil"/>
              <w:bottom w:val="single" w:sz="4" w:space="0" w:color="auto"/>
              <w:right w:val="single" w:sz="4" w:space="0" w:color="auto"/>
            </w:tcBorders>
            <w:shd w:val="clear" w:color="auto" w:fill="auto"/>
            <w:vAlign w:val="center"/>
          </w:tcPr>
          <w:p w:rsidR="0043483A" w:rsidRDefault="00FD6681" w:rsidP="00C34177">
            <w:pPr>
              <w:spacing w:before="60" w:after="60"/>
              <w:jc w:val="left"/>
              <w:rPr>
                <w:rFonts w:eastAsia="Times New Roman" w:cs="Arial"/>
                <w:lang w:val="en-US" w:eastAsia="en-US"/>
              </w:rPr>
            </w:pPr>
            <w:r w:rsidRPr="00C34177">
              <w:rPr>
                <w:rFonts w:eastAsia="Times New Roman" w:cs="Arial"/>
                <w:lang w:val="en-US" w:eastAsia="en-US"/>
              </w:rPr>
              <w:t>The '</w:t>
            </w:r>
            <w:r w:rsidR="00E76197" w:rsidRPr="00E76197">
              <w:rPr>
                <w:rFonts w:eastAsia="Times New Roman" w:cs="Arial"/>
                <w:i/>
                <w:color w:val="FF0000"/>
                <w:lang w:val="en-US" w:eastAsia="en-US"/>
              </w:rPr>
              <w:t>R</w:t>
            </w:r>
            <w:r w:rsidRPr="00E76197">
              <w:rPr>
                <w:rFonts w:eastAsia="Times New Roman" w:cs="Arial"/>
                <w:i/>
                <w:color w:val="FF0000"/>
                <w:lang w:val="en-US" w:eastAsia="en-US"/>
              </w:rPr>
              <w:t>estated</w:t>
            </w:r>
            <w:r w:rsidRPr="00C34177">
              <w:rPr>
                <w:rFonts w:eastAsia="Times New Roman" w:cs="Arial"/>
                <w:lang w:val="en-US" w:eastAsia="en-US"/>
              </w:rPr>
              <w:t xml:space="preserve">' </w:t>
            </w:r>
            <w:r w:rsidR="00E76197">
              <w:rPr>
                <w:rFonts w:eastAsia="Times New Roman" w:cs="Arial"/>
                <w:lang w:val="en-US" w:eastAsia="en-US"/>
              </w:rPr>
              <w:t xml:space="preserve">dimension </w:t>
            </w:r>
            <w:r w:rsidRPr="00C34177">
              <w:rPr>
                <w:rFonts w:eastAsia="Times New Roman" w:cs="Arial"/>
                <w:lang w:val="en-US" w:eastAsia="en-US"/>
              </w:rPr>
              <w:t xml:space="preserve">tag should only be applied to items which are explicitly shown as restated in accounts.  It should not be applied to items which represent totals that include restated items but which are not explicitly declared in the accounts as restated.   The object of tagging is in general to reflect what is stated in the accounts.  </w:t>
            </w:r>
          </w:p>
          <w:p w:rsidR="00FD6681" w:rsidRPr="00C34177" w:rsidRDefault="001B77DE" w:rsidP="00C34177">
            <w:pPr>
              <w:spacing w:before="60" w:after="60"/>
              <w:jc w:val="left"/>
              <w:rPr>
                <w:rFonts w:eastAsia="Times New Roman" w:cs="Arial"/>
                <w:lang w:val="en-US" w:eastAsia="en-US"/>
              </w:rPr>
            </w:pPr>
            <w:r>
              <w:rPr>
                <w:rFonts w:eastAsia="Times New Roman" w:cs="Arial"/>
                <w:lang w:val="en-US" w:eastAsia="en-US"/>
              </w:rPr>
              <w:t xml:space="preserve">Restated tagged items should </w:t>
            </w:r>
            <w:r w:rsidR="00E76197">
              <w:rPr>
                <w:rFonts w:eastAsia="Times New Roman" w:cs="Arial"/>
                <w:lang w:val="en-US" w:eastAsia="en-US"/>
              </w:rPr>
              <w:t>take</w:t>
            </w:r>
            <w:r>
              <w:rPr>
                <w:rFonts w:eastAsia="Times New Roman" w:cs="Arial"/>
                <w:lang w:val="en-US" w:eastAsia="en-US"/>
              </w:rPr>
              <w:t xml:space="preserve"> the same period context </w:t>
            </w:r>
            <w:r w:rsidR="00E76197">
              <w:rPr>
                <w:rFonts w:eastAsia="Times New Roman" w:cs="Arial"/>
                <w:lang w:val="en-US" w:eastAsia="en-US"/>
              </w:rPr>
              <w:t xml:space="preserve">as the original item.  </w:t>
            </w:r>
            <w:r>
              <w:rPr>
                <w:rFonts w:eastAsia="Times New Roman" w:cs="Arial"/>
                <w:lang w:val="en-US" w:eastAsia="en-US"/>
              </w:rPr>
              <w:t xml:space="preserve"> </w:t>
            </w:r>
          </w:p>
        </w:tc>
      </w:tr>
      <w:tr w:rsidR="00FD6681" w:rsidRPr="00C34177" w:rsidTr="00FD6681">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4.11</w:t>
            </w:r>
          </w:p>
        </w:tc>
        <w:tc>
          <w:tcPr>
            <w:tcW w:w="1718" w:type="dxa"/>
            <w:tcBorders>
              <w:top w:val="single" w:sz="4" w:space="0" w:color="auto"/>
              <w:left w:val="nil"/>
              <w:bottom w:val="single" w:sz="4" w:space="0" w:color="auto"/>
              <w:right w:val="single" w:sz="4" w:space="0" w:color="auto"/>
            </w:tcBorders>
            <w:shd w:val="clear" w:color="auto" w:fill="auto"/>
            <w:vAlign w:val="center"/>
          </w:tcPr>
          <w:p w:rsidR="00FD6681" w:rsidRPr="00C34177" w:rsidRDefault="00FD6681" w:rsidP="00C34177">
            <w:pPr>
              <w:spacing w:before="60" w:after="60"/>
              <w:jc w:val="left"/>
              <w:rPr>
                <w:rFonts w:eastAsia="Times New Roman" w:cs="Arial"/>
                <w:lang w:val="en-US" w:eastAsia="en-US"/>
              </w:rPr>
            </w:pPr>
            <w:bookmarkStart w:id="9" w:name="XR_PriorPeriod"/>
            <w:r w:rsidRPr="00C34177">
              <w:rPr>
                <w:rFonts w:eastAsia="Times New Roman" w:cs="Arial"/>
                <w:lang w:val="en-US" w:eastAsia="en-US"/>
              </w:rPr>
              <w:t>Prior period adjustments</w:t>
            </w:r>
            <w:bookmarkEnd w:id="9"/>
          </w:p>
        </w:tc>
        <w:tc>
          <w:tcPr>
            <w:tcW w:w="6907" w:type="dxa"/>
            <w:tcBorders>
              <w:top w:val="single" w:sz="4" w:space="0" w:color="auto"/>
              <w:left w:val="nil"/>
              <w:bottom w:val="single" w:sz="4" w:space="0" w:color="auto"/>
              <w:right w:val="single" w:sz="4" w:space="0" w:color="auto"/>
            </w:tcBorders>
            <w:shd w:val="clear" w:color="auto" w:fill="auto"/>
            <w:vAlign w:val="center"/>
          </w:tcPr>
          <w:p w:rsidR="0043483A" w:rsidRDefault="00FD6681" w:rsidP="00C34177">
            <w:pPr>
              <w:spacing w:before="60" w:after="60"/>
              <w:jc w:val="left"/>
              <w:rPr>
                <w:rFonts w:eastAsia="Times New Roman" w:cs="Arial"/>
                <w:lang w:val="en-US" w:eastAsia="en-US"/>
              </w:rPr>
            </w:pPr>
            <w:r w:rsidRPr="00C34177">
              <w:rPr>
                <w:rFonts w:eastAsia="Times New Roman" w:cs="Arial"/>
                <w:lang w:val="en-US" w:eastAsia="en-US"/>
              </w:rPr>
              <w:t xml:space="preserve">In general, prior period adjustments are tagged by using the appropriate prior period adjustment tags in the </w:t>
            </w:r>
            <w:r w:rsidRPr="00E76197">
              <w:rPr>
                <w:rFonts w:eastAsia="Times New Roman" w:cs="Arial"/>
                <w:i/>
                <w:lang w:val="en-US" w:eastAsia="en-US"/>
              </w:rPr>
              <w:t>Restatements</w:t>
            </w:r>
            <w:r w:rsidRPr="00C34177">
              <w:rPr>
                <w:rFonts w:eastAsia="Times New Roman" w:cs="Arial"/>
                <w:lang w:val="en-US" w:eastAsia="en-US"/>
              </w:rPr>
              <w:t xml:space="preserve"> dimension.  Such tagged values should take </w:t>
            </w:r>
            <w:r w:rsidR="001B77DE">
              <w:rPr>
                <w:rFonts w:eastAsia="Times New Roman" w:cs="Arial"/>
                <w:lang w:val="en-US" w:eastAsia="en-US"/>
              </w:rPr>
              <w:t>the</w:t>
            </w:r>
            <w:r w:rsidR="00E76197">
              <w:rPr>
                <w:rFonts w:eastAsia="Times New Roman" w:cs="Arial"/>
                <w:lang w:val="en-US" w:eastAsia="en-US"/>
              </w:rPr>
              <w:t xml:space="preserve"> same</w:t>
            </w:r>
            <w:r w:rsidR="001B77DE">
              <w:rPr>
                <w:rFonts w:eastAsia="Times New Roman" w:cs="Arial"/>
                <w:lang w:val="en-US" w:eastAsia="en-US"/>
              </w:rPr>
              <w:t xml:space="preserve"> </w:t>
            </w:r>
            <w:r w:rsidRPr="00C34177">
              <w:rPr>
                <w:rFonts w:eastAsia="Times New Roman" w:cs="Arial"/>
                <w:lang w:val="en-US" w:eastAsia="en-US"/>
              </w:rPr>
              <w:t>prior period contexts</w:t>
            </w:r>
            <w:r w:rsidR="001B77DE">
              <w:rPr>
                <w:rFonts w:eastAsia="Times New Roman" w:cs="Arial"/>
                <w:lang w:val="en-US" w:eastAsia="en-US"/>
              </w:rPr>
              <w:t xml:space="preserve"> </w:t>
            </w:r>
            <w:r w:rsidR="00E76197">
              <w:rPr>
                <w:rFonts w:eastAsia="Times New Roman" w:cs="Arial"/>
                <w:lang w:val="en-US" w:eastAsia="en-US"/>
              </w:rPr>
              <w:t>as</w:t>
            </w:r>
            <w:r w:rsidR="001B77DE">
              <w:rPr>
                <w:rFonts w:eastAsia="Times New Roman" w:cs="Arial"/>
                <w:lang w:val="en-US" w:eastAsia="en-US"/>
              </w:rPr>
              <w:t xml:space="preserve"> the item being adjusted</w:t>
            </w:r>
            <w:r w:rsidRPr="00C34177">
              <w:rPr>
                <w:rFonts w:eastAsia="Times New Roman" w:cs="Arial"/>
                <w:lang w:val="en-US" w:eastAsia="en-US"/>
              </w:rPr>
              <w:t xml:space="preserve">.  </w:t>
            </w:r>
          </w:p>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 xml:space="preserve">However, adjustments to tax related to prior periods are handled by the specific line item tags shown in the tax sections.  This is because such adjustments do not involve restatements as such.  They reflect adjustments made in the current period and should take current period contexts.  </w:t>
            </w:r>
          </w:p>
        </w:tc>
      </w:tr>
      <w:tr w:rsidR="00FD6681" w:rsidRPr="00C34177" w:rsidTr="00FD6681">
        <w:trPr>
          <w:cantSplit/>
          <w:trHeight w:val="240"/>
        </w:trPr>
        <w:tc>
          <w:tcPr>
            <w:tcW w:w="606" w:type="dxa"/>
            <w:tcBorders>
              <w:top w:val="single" w:sz="4" w:space="0" w:color="auto"/>
              <w:left w:val="single" w:sz="4" w:space="0" w:color="auto"/>
              <w:bottom w:val="single" w:sz="4" w:space="0" w:color="auto"/>
              <w:right w:val="single" w:sz="4" w:space="0" w:color="auto"/>
            </w:tcBorders>
            <w:noWrap/>
            <w:vAlign w:val="center"/>
          </w:tcPr>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lastRenderedPageBreak/>
              <w:t>4.12</w:t>
            </w:r>
          </w:p>
        </w:tc>
        <w:tc>
          <w:tcPr>
            <w:tcW w:w="1718" w:type="dxa"/>
            <w:tcBorders>
              <w:top w:val="single" w:sz="4" w:space="0" w:color="auto"/>
              <w:left w:val="nil"/>
              <w:bottom w:val="single" w:sz="4" w:space="0" w:color="auto"/>
              <w:right w:val="single" w:sz="4" w:space="0" w:color="auto"/>
            </w:tcBorders>
            <w:shd w:val="clear" w:color="auto" w:fill="auto"/>
            <w:vAlign w:val="center"/>
          </w:tcPr>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Movement analyses</w:t>
            </w:r>
          </w:p>
        </w:tc>
        <w:tc>
          <w:tcPr>
            <w:tcW w:w="6907" w:type="dxa"/>
            <w:tcBorders>
              <w:top w:val="single" w:sz="4" w:space="0" w:color="auto"/>
              <w:left w:val="nil"/>
              <w:bottom w:val="single" w:sz="4" w:space="0" w:color="auto"/>
              <w:right w:val="single" w:sz="4" w:space="0" w:color="auto"/>
            </w:tcBorders>
            <w:shd w:val="clear" w:color="auto" w:fill="auto"/>
            <w:vAlign w:val="center"/>
          </w:tcPr>
          <w:p w:rsidR="0043483A" w:rsidRDefault="00FD6681" w:rsidP="00C34177">
            <w:pPr>
              <w:spacing w:before="60" w:after="60"/>
              <w:jc w:val="left"/>
              <w:rPr>
                <w:rFonts w:eastAsia="Times New Roman" w:cs="Arial"/>
                <w:lang w:val="en-US" w:eastAsia="en-US"/>
              </w:rPr>
            </w:pPr>
            <w:r w:rsidRPr="00C34177">
              <w:rPr>
                <w:rFonts w:eastAsia="Times New Roman" w:cs="Arial"/>
                <w:lang w:val="en-US" w:eastAsia="en-US"/>
              </w:rPr>
              <w:t xml:space="preserve">Start and end period items in movement analyses should have the same tagging.  They are distinguished by appropriate date contexts, representing start and end period respectively.  </w:t>
            </w:r>
          </w:p>
          <w:p w:rsidR="0043483A" w:rsidRDefault="00FD6681" w:rsidP="00C34177">
            <w:pPr>
              <w:spacing w:before="60" w:after="60"/>
              <w:jc w:val="left"/>
              <w:rPr>
                <w:rFonts w:eastAsia="Times New Roman" w:cs="Arial"/>
                <w:lang w:val="en-US" w:eastAsia="en-US"/>
              </w:rPr>
            </w:pPr>
            <w:r w:rsidRPr="00C34177">
              <w:rPr>
                <w:rFonts w:eastAsia="Times New Roman" w:cs="Arial"/>
                <w:lang w:val="en-US" w:eastAsia="en-US"/>
              </w:rPr>
              <w:t>Some movement analyses in the taxonomies include different labels to represent start and end period items:  for example '</w:t>
            </w:r>
            <w:r w:rsidRPr="00A55CD0">
              <w:rPr>
                <w:rFonts w:eastAsia="Times New Roman" w:cs="Arial"/>
                <w:i/>
                <w:color w:val="FF0000"/>
                <w:lang w:val="en-US" w:eastAsia="en-US"/>
              </w:rPr>
              <w:t>Advances and credits, directors, start of period</w:t>
            </w:r>
            <w:r w:rsidRPr="00C34177">
              <w:rPr>
                <w:rFonts w:eastAsia="Times New Roman" w:cs="Arial"/>
                <w:lang w:val="en-US" w:eastAsia="en-US"/>
              </w:rPr>
              <w:t>' and '</w:t>
            </w:r>
            <w:r w:rsidRPr="00A55CD0">
              <w:rPr>
                <w:rFonts w:eastAsia="Times New Roman" w:cs="Arial"/>
                <w:i/>
                <w:color w:val="FF0000"/>
                <w:lang w:val="en-US" w:eastAsia="en-US"/>
              </w:rPr>
              <w:t>Advances and credits, directors, end of period</w:t>
            </w:r>
            <w:r w:rsidRPr="00C34177">
              <w:rPr>
                <w:rFonts w:eastAsia="Times New Roman" w:cs="Arial"/>
                <w:lang w:val="en-US" w:eastAsia="en-US"/>
              </w:rPr>
              <w:t xml:space="preserve">'.  These different labels represent the </w:t>
            </w:r>
            <w:r w:rsidRPr="00C34177">
              <w:rPr>
                <w:rFonts w:eastAsia="Times New Roman" w:cs="Arial"/>
                <w:b/>
                <w:bCs/>
                <w:lang w:val="en-US" w:eastAsia="en-US"/>
              </w:rPr>
              <w:t>same</w:t>
            </w:r>
            <w:r w:rsidRPr="00C34177">
              <w:rPr>
                <w:rFonts w:eastAsia="Times New Roman" w:cs="Arial"/>
                <w:lang w:val="en-US" w:eastAsia="en-US"/>
              </w:rPr>
              <w:t xml:space="preserve"> underlying tag.  The presence of the two labels simply indicates to a preparer that both start and end period values should be tagged.  </w:t>
            </w:r>
          </w:p>
          <w:p w:rsidR="0043483A" w:rsidRDefault="00FD6681" w:rsidP="00C34177">
            <w:pPr>
              <w:spacing w:before="60" w:after="60"/>
              <w:jc w:val="left"/>
              <w:rPr>
                <w:rFonts w:eastAsia="Times New Roman" w:cs="Arial"/>
                <w:lang w:val="en-US" w:eastAsia="en-US"/>
              </w:rPr>
            </w:pPr>
            <w:r w:rsidRPr="00C34177">
              <w:rPr>
                <w:rFonts w:eastAsia="Times New Roman" w:cs="Arial"/>
                <w:lang w:val="en-US" w:eastAsia="en-US"/>
              </w:rPr>
              <w:t xml:space="preserve">Not all movement analyses are presented in this way.  Some do not include start and end period labels.  Clearly, this does not alter the required tagging.  It is purely an alternative taxonomy presentation.  The tags representing the start / end period concepts should be identified easily by their label and the fact that they are 'instant' period type.  </w:t>
            </w:r>
          </w:p>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 xml:space="preserve">Prior period adjustments and restatements within movement analyses are covered in </w:t>
            </w:r>
            <w:hyperlink w:anchor="XR_RestatementCtxt" w:history="1">
              <w:r w:rsidR="00A045C0">
                <w:rPr>
                  <w:rStyle w:val="Hyperlink"/>
                  <w:rFonts w:eastAsia="Times New Roman" w:cs="Arial"/>
                  <w:lang w:val="en-US" w:eastAsia="en-US"/>
                </w:rPr>
                <w:t>item</w:t>
              </w:r>
              <w:r w:rsidRPr="00901D2D">
                <w:rPr>
                  <w:rStyle w:val="Hyperlink"/>
                  <w:rFonts w:eastAsia="Times New Roman" w:cs="Arial"/>
                  <w:lang w:val="en-US" w:eastAsia="en-US"/>
                </w:rPr>
                <w:t xml:space="preserve"> </w:t>
              </w:r>
              <w:r w:rsidR="00901D2D" w:rsidRPr="00901D2D">
                <w:rPr>
                  <w:rStyle w:val="Hyperlink"/>
                  <w:rFonts w:eastAsia="Times New Roman" w:cs="Arial"/>
                  <w:lang w:val="en-US" w:eastAsia="en-US"/>
                </w:rPr>
                <w:t>5.6</w:t>
              </w:r>
            </w:hyperlink>
            <w:r w:rsidRPr="00C34177">
              <w:rPr>
                <w:rFonts w:eastAsia="Times New Roman" w:cs="Arial"/>
                <w:lang w:val="en-US" w:eastAsia="en-US"/>
              </w:rPr>
              <w:t xml:space="preserve">. </w:t>
            </w:r>
          </w:p>
        </w:tc>
      </w:tr>
      <w:tr w:rsidR="00594C67" w:rsidRPr="00C34177" w:rsidTr="00B65489">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594C67" w:rsidRPr="00C34177" w:rsidRDefault="00594C67" w:rsidP="00B65489">
            <w:pPr>
              <w:spacing w:before="60" w:after="60"/>
              <w:jc w:val="left"/>
              <w:rPr>
                <w:rFonts w:eastAsia="Times New Roman" w:cs="Arial"/>
                <w:lang w:val="en-US" w:eastAsia="en-US"/>
              </w:rPr>
            </w:pPr>
            <w:r>
              <w:rPr>
                <w:rFonts w:eastAsia="Times New Roman" w:cs="Arial"/>
                <w:lang w:val="en-US" w:eastAsia="en-US"/>
              </w:rPr>
              <w:t>4.13</w:t>
            </w:r>
          </w:p>
        </w:tc>
        <w:tc>
          <w:tcPr>
            <w:tcW w:w="1718" w:type="dxa"/>
            <w:tcBorders>
              <w:top w:val="single" w:sz="4" w:space="0" w:color="auto"/>
              <w:left w:val="nil"/>
              <w:bottom w:val="single" w:sz="4" w:space="0" w:color="auto"/>
              <w:right w:val="single" w:sz="4" w:space="0" w:color="auto"/>
            </w:tcBorders>
            <w:shd w:val="clear" w:color="auto" w:fill="auto"/>
            <w:vAlign w:val="center"/>
          </w:tcPr>
          <w:p w:rsidR="00594C67" w:rsidRPr="00C34177" w:rsidRDefault="00594C67" w:rsidP="00B65489">
            <w:pPr>
              <w:spacing w:before="60" w:after="60"/>
              <w:jc w:val="left"/>
              <w:rPr>
                <w:rFonts w:eastAsia="Times New Roman" w:cs="Arial"/>
                <w:lang w:val="en-US" w:eastAsia="en-US"/>
              </w:rPr>
            </w:pPr>
            <w:r w:rsidRPr="00C34177">
              <w:rPr>
                <w:rFonts w:eastAsia="Times New Roman" w:cs="Arial"/>
                <w:lang w:val="en-US" w:eastAsia="en-US"/>
              </w:rPr>
              <w:t>Use of 'Other…' tags</w:t>
            </w:r>
          </w:p>
        </w:tc>
        <w:tc>
          <w:tcPr>
            <w:tcW w:w="6907" w:type="dxa"/>
            <w:tcBorders>
              <w:top w:val="single" w:sz="4" w:space="0" w:color="auto"/>
              <w:left w:val="nil"/>
              <w:bottom w:val="single" w:sz="4" w:space="0" w:color="auto"/>
              <w:right w:val="single" w:sz="4" w:space="0" w:color="auto"/>
            </w:tcBorders>
            <w:shd w:val="clear" w:color="auto" w:fill="auto"/>
            <w:vAlign w:val="center"/>
          </w:tcPr>
          <w:p w:rsidR="00594C67" w:rsidRPr="00C34177" w:rsidRDefault="00594C67" w:rsidP="00B65489">
            <w:pPr>
              <w:spacing w:before="60" w:after="60"/>
              <w:jc w:val="left"/>
              <w:rPr>
                <w:rFonts w:eastAsia="Times New Roman" w:cs="Arial"/>
                <w:lang w:val="en-US" w:eastAsia="en-US"/>
              </w:rPr>
            </w:pPr>
            <w:r w:rsidRPr="00C34177">
              <w:rPr>
                <w:rFonts w:eastAsia="Times New Roman" w:cs="Arial"/>
                <w:lang w:val="en-US" w:eastAsia="en-US"/>
              </w:rPr>
              <w:t>Care should be taken on the use of tags for '</w:t>
            </w:r>
            <w:r w:rsidRPr="00A55CD0">
              <w:rPr>
                <w:rFonts w:eastAsia="Times New Roman" w:cs="Arial"/>
                <w:i/>
                <w:color w:val="FF0000"/>
                <w:lang w:val="en-US" w:eastAsia="en-US"/>
              </w:rPr>
              <w:t>Other…</w:t>
            </w:r>
            <w:r w:rsidRPr="00C34177">
              <w:rPr>
                <w:rFonts w:eastAsia="Times New Roman" w:cs="Arial"/>
                <w:lang w:val="en-US" w:eastAsia="en-US"/>
              </w:rPr>
              <w:t xml:space="preserve">' data.  As stated in section 4.15 of the </w:t>
            </w:r>
            <w:hyperlink w:anchor="PDGuide" w:history="1">
              <w:r w:rsidRPr="00D87AA9">
                <w:rPr>
                  <w:rStyle w:val="Hyperlink"/>
                  <w:rFonts w:eastAsia="Times New Roman" w:cs="Arial"/>
                  <w:lang w:val="en-US" w:eastAsia="en-US"/>
                </w:rPr>
                <w:t>Preparers &amp; Developers Guide</w:t>
              </w:r>
            </w:hyperlink>
            <w:r w:rsidRPr="00C34177">
              <w:rPr>
                <w:rFonts w:eastAsia="Times New Roman" w:cs="Arial"/>
                <w:lang w:val="en-US" w:eastAsia="en-US"/>
              </w:rPr>
              <w:t>, these tags are intended to represent a residual amount from a list of items.  The same '</w:t>
            </w:r>
            <w:r w:rsidRPr="00A55CD0">
              <w:rPr>
                <w:rFonts w:eastAsia="Times New Roman" w:cs="Arial"/>
                <w:i/>
                <w:color w:val="FF0000"/>
                <w:lang w:val="en-US" w:eastAsia="en-US"/>
              </w:rPr>
              <w:t>Other…</w:t>
            </w:r>
            <w:r w:rsidRPr="00C34177">
              <w:rPr>
                <w:rFonts w:eastAsia="Times New Roman" w:cs="Arial"/>
                <w:lang w:val="en-US" w:eastAsia="en-US"/>
              </w:rPr>
              <w:t xml:space="preserve">' tag must not be used for different items in different notes.  This will lead to invalid filings because different values will carry the same tag and context.  </w:t>
            </w:r>
          </w:p>
        </w:tc>
      </w:tr>
      <w:tr w:rsidR="00FD6681" w:rsidRPr="00C34177" w:rsidTr="00FD6681">
        <w:trPr>
          <w:cantSplit/>
          <w:trHeight w:val="240"/>
        </w:trPr>
        <w:tc>
          <w:tcPr>
            <w:tcW w:w="606" w:type="dxa"/>
            <w:tcBorders>
              <w:top w:val="single" w:sz="4" w:space="0" w:color="auto"/>
              <w:left w:val="single" w:sz="4" w:space="0" w:color="auto"/>
              <w:bottom w:val="single" w:sz="4" w:space="0" w:color="auto"/>
              <w:right w:val="single" w:sz="4" w:space="0" w:color="auto"/>
            </w:tcBorders>
            <w:noWrap/>
            <w:vAlign w:val="center"/>
          </w:tcPr>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4.1</w:t>
            </w:r>
            <w:r w:rsidR="00594C67">
              <w:rPr>
                <w:rFonts w:eastAsia="Times New Roman" w:cs="Arial"/>
                <w:lang w:val="en-US" w:eastAsia="en-US"/>
              </w:rPr>
              <w:t>4</w:t>
            </w:r>
          </w:p>
        </w:tc>
        <w:tc>
          <w:tcPr>
            <w:tcW w:w="1718" w:type="dxa"/>
            <w:tcBorders>
              <w:top w:val="single" w:sz="4" w:space="0" w:color="auto"/>
              <w:left w:val="nil"/>
              <w:bottom w:val="single" w:sz="4" w:space="0" w:color="auto"/>
              <w:right w:val="single" w:sz="4" w:space="0" w:color="auto"/>
            </w:tcBorders>
            <w:shd w:val="clear" w:color="auto" w:fill="auto"/>
            <w:vAlign w:val="center"/>
          </w:tcPr>
          <w:p w:rsidR="00FD6681" w:rsidRPr="00C34177" w:rsidRDefault="00FD6681" w:rsidP="00C34177">
            <w:pPr>
              <w:spacing w:before="60" w:after="60"/>
              <w:jc w:val="left"/>
              <w:rPr>
                <w:rFonts w:eastAsia="Times New Roman" w:cs="Arial"/>
                <w:lang w:val="en-US" w:eastAsia="en-US"/>
              </w:rPr>
            </w:pPr>
            <w:bookmarkStart w:id="10" w:name="XR_Tuples"/>
            <w:r w:rsidRPr="00C34177">
              <w:rPr>
                <w:rFonts w:eastAsia="Times New Roman" w:cs="Arial"/>
                <w:lang w:val="en-US" w:eastAsia="en-US"/>
              </w:rPr>
              <w:t>Use of 'groupings'  (tuples)</w:t>
            </w:r>
            <w:bookmarkEnd w:id="10"/>
          </w:p>
        </w:tc>
        <w:tc>
          <w:tcPr>
            <w:tcW w:w="6907" w:type="dxa"/>
            <w:tcBorders>
              <w:top w:val="single" w:sz="4" w:space="0" w:color="auto"/>
              <w:left w:val="nil"/>
              <w:bottom w:val="single" w:sz="4" w:space="0" w:color="auto"/>
              <w:right w:val="single" w:sz="4" w:space="0" w:color="auto"/>
            </w:tcBorders>
            <w:shd w:val="clear" w:color="auto" w:fill="auto"/>
            <w:vAlign w:val="center"/>
          </w:tcPr>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 xml:space="preserve">Different occurrences of groupings (tuples) </w:t>
            </w:r>
            <w:r w:rsidRPr="00C34177">
              <w:rPr>
                <w:rFonts w:eastAsia="Times New Roman" w:cs="Arial"/>
                <w:b/>
                <w:bCs/>
                <w:lang w:val="en-US" w:eastAsia="en-US"/>
              </w:rPr>
              <w:t>must</w:t>
            </w:r>
            <w:r w:rsidRPr="00C34177">
              <w:rPr>
                <w:rFonts w:eastAsia="Times New Roman" w:cs="Arial"/>
                <w:lang w:val="en-US" w:eastAsia="en-US"/>
              </w:rPr>
              <w:t xml:space="preserve"> be used to tag current and previous period data.  In general, each tag within a grouping can only be used </w:t>
            </w:r>
            <w:r w:rsidRPr="00C34177">
              <w:rPr>
                <w:rFonts w:eastAsia="Times New Roman" w:cs="Arial"/>
                <w:b/>
                <w:bCs/>
                <w:lang w:val="en-US" w:eastAsia="en-US"/>
              </w:rPr>
              <w:t>once</w:t>
            </w:r>
            <w:r w:rsidRPr="00C34177">
              <w:rPr>
                <w:rFonts w:eastAsia="Times New Roman" w:cs="Arial"/>
                <w:lang w:val="en-US" w:eastAsia="en-US"/>
              </w:rPr>
              <w:t xml:space="preserve"> within each occurrence of the grouping.  Tagging of multiple data items is achieved by repeating the whole grouping.  A separate occurrence is thus required for current period data and for previous period data.   A separate section</w:t>
            </w:r>
            <w:r w:rsidR="003C014A">
              <w:rPr>
                <w:rFonts w:eastAsia="Times New Roman" w:cs="Arial"/>
                <w:lang w:val="en-US" w:eastAsia="en-US"/>
              </w:rPr>
              <w:t xml:space="preserve"> in this document, </w:t>
            </w:r>
            <w:hyperlink w:anchor="_13_Groupings_/" w:history="1">
              <w:r w:rsidR="003C014A" w:rsidRPr="003C014A">
                <w:rPr>
                  <w:rStyle w:val="Hyperlink"/>
                  <w:rFonts w:eastAsia="Times New Roman" w:cs="Arial"/>
                  <w:lang w:val="en-US" w:eastAsia="en-US"/>
                </w:rPr>
                <w:t>section 13</w:t>
              </w:r>
            </w:hyperlink>
            <w:r w:rsidR="003C014A">
              <w:rPr>
                <w:rFonts w:eastAsia="Times New Roman" w:cs="Arial"/>
                <w:lang w:val="en-US" w:eastAsia="en-US"/>
              </w:rPr>
              <w:t xml:space="preserve">, </w:t>
            </w:r>
            <w:r w:rsidRPr="00C34177">
              <w:rPr>
                <w:rFonts w:eastAsia="Times New Roman" w:cs="Arial"/>
                <w:lang w:val="en-US" w:eastAsia="en-US"/>
              </w:rPr>
              <w:t xml:space="preserve">gives some further explanation on this and other aspects of groupings.  Groupings are also covered in sections 3.5, 4.9 and 7.5 in the </w:t>
            </w:r>
            <w:hyperlink w:anchor="PDGuide" w:history="1">
              <w:r w:rsidR="0065411F" w:rsidRPr="00BC0311">
                <w:rPr>
                  <w:rStyle w:val="Hyperlink"/>
                  <w:rFonts w:eastAsia="Times New Roman" w:cs="Arial"/>
                  <w:lang w:val="en-US" w:eastAsia="en-US"/>
                </w:rPr>
                <w:t>Preparers &amp; Developers Guide</w:t>
              </w:r>
            </w:hyperlink>
            <w:r w:rsidRPr="00C34177">
              <w:rPr>
                <w:rFonts w:eastAsia="Times New Roman" w:cs="Arial"/>
                <w:lang w:val="en-US" w:eastAsia="en-US"/>
              </w:rPr>
              <w:t xml:space="preserve">. </w:t>
            </w:r>
          </w:p>
        </w:tc>
      </w:tr>
      <w:tr w:rsidR="00FD6681" w:rsidRPr="00C34177" w:rsidTr="00FD6681">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4.15</w:t>
            </w:r>
          </w:p>
        </w:tc>
        <w:tc>
          <w:tcPr>
            <w:tcW w:w="1718" w:type="dxa"/>
            <w:tcBorders>
              <w:top w:val="single" w:sz="4" w:space="0" w:color="auto"/>
              <w:left w:val="nil"/>
              <w:bottom w:val="single" w:sz="4" w:space="0" w:color="auto"/>
              <w:right w:val="single" w:sz="4" w:space="0" w:color="auto"/>
            </w:tcBorders>
            <w:shd w:val="clear" w:color="auto" w:fill="auto"/>
            <w:vAlign w:val="center"/>
          </w:tcPr>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Multiple tagging</w:t>
            </w:r>
          </w:p>
        </w:tc>
        <w:tc>
          <w:tcPr>
            <w:tcW w:w="6907" w:type="dxa"/>
            <w:tcBorders>
              <w:top w:val="single" w:sz="4" w:space="0" w:color="auto"/>
              <w:left w:val="nil"/>
              <w:bottom w:val="single" w:sz="4" w:space="0" w:color="auto"/>
              <w:right w:val="single" w:sz="4" w:space="0" w:color="auto"/>
            </w:tcBorders>
            <w:shd w:val="clear" w:color="auto" w:fill="auto"/>
            <w:vAlign w:val="center"/>
          </w:tcPr>
          <w:p w:rsidR="0043483A" w:rsidRDefault="00FD6681" w:rsidP="00C34177">
            <w:pPr>
              <w:spacing w:before="60" w:after="60"/>
              <w:jc w:val="left"/>
              <w:rPr>
                <w:rFonts w:eastAsia="Times New Roman" w:cs="Arial"/>
                <w:lang w:val="en-US" w:eastAsia="en-US"/>
              </w:rPr>
            </w:pPr>
            <w:r w:rsidRPr="00C34177">
              <w:rPr>
                <w:rFonts w:eastAsia="Times New Roman" w:cs="Arial"/>
                <w:lang w:val="en-US" w:eastAsia="en-US"/>
              </w:rPr>
              <w:t xml:space="preserve">Multiple tags will sometimes have to be applied to a data item which appears just once in a set of accounts.  </w:t>
            </w:r>
          </w:p>
          <w:p w:rsidR="0043483A" w:rsidRDefault="00FD6681" w:rsidP="00C34177">
            <w:pPr>
              <w:spacing w:before="60" w:after="60"/>
              <w:jc w:val="left"/>
              <w:rPr>
                <w:rFonts w:eastAsia="Times New Roman" w:cs="Arial"/>
                <w:lang w:val="en-US" w:eastAsia="en-US"/>
              </w:rPr>
            </w:pPr>
            <w:r w:rsidRPr="00686066">
              <w:rPr>
                <w:rFonts w:eastAsia="Times New Roman" w:cs="Arial"/>
                <w:lang w:eastAsia="en-US"/>
              </w:rPr>
              <w:t>For example</w:t>
            </w:r>
            <w:r w:rsidR="00686066" w:rsidRPr="00686066">
              <w:rPr>
                <w:rFonts w:eastAsia="Times New Roman" w:cs="Arial"/>
                <w:lang w:eastAsia="en-US"/>
              </w:rPr>
              <w:t>, the</w:t>
            </w:r>
            <w:r w:rsidRPr="00686066">
              <w:rPr>
                <w:rFonts w:eastAsia="Times New Roman" w:cs="Arial"/>
                <w:lang w:eastAsia="en-US"/>
              </w:rPr>
              <w:t xml:space="preserve"> name of a related party engaged in multiple transactions may occur only once in accounts, but under UK GAAP the name must be tagged in each related party grouping for each transaction.  </w:t>
            </w:r>
            <w:r w:rsidRPr="00C34177">
              <w:rPr>
                <w:rFonts w:eastAsia="Times New Roman" w:cs="Arial"/>
                <w:lang w:val="en-US" w:eastAsia="en-US"/>
              </w:rPr>
              <w:t xml:space="preserve">Similarly, a company may list 20 subsidiaries and include a single line saying "we own 100% of these subsidiaries".  The 100% figure must be tagged 20 times as the percentage ownership for each subsidiary.  </w:t>
            </w:r>
          </w:p>
          <w:p w:rsidR="0043483A" w:rsidRDefault="00FD6681" w:rsidP="00C34177">
            <w:pPr>
              <w:spacing w:before="60" w:after="60"/>
              <w:jc w:val="left"/>
              <w:rPr>
                <w:rFonts w:eastAsia="Times New Roman" w:cs="Arial"/>
                <w:lang w:val="en-US" w:eastAsia="en-US"/>
              </w:rPr>
            </w:pPr>
            <w:r w:rsidRPr="00C34177">
              <w:rPr>
                <w:rFonts w:eastAsia="Times New Roman" w:cs="Arial"/>
                <w:lang w:val="en-US" w:eastAsia="en-US"/>
              </w:rPr>
              <w:t xml:space="preserve">In some of these cases, it may be convenient to modify the format of accounts so that a figure appears multiple times rather than having multiple tags.  However, in other cases, this may not be appropriate and preparers will have to apply multiple tags to an individual data item.   </w:t>
            </w:r>
          </w:p>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 xml:space="preserve">The </w:t>
            </w:r>
            <w:hyperlink w:anchor="InlineGuide" w:history="1">
              <w:r w:rsidRPr="007C52E6">
                <w:rPr>
                  <w:rStyle w:val="Hyperlink"/>
                  <w:rFonts w:eastAsia="Times New Roman" w:cs="Arial"/>
                  <w:lang w:val="en-US" w:eastAsia="en-US"/>
                </w:rPr>
                <w:t>HMRC Inline XBRL Style Guide</w:t>
              </w:r>
            </w:hyperlink>
            <w:r w:rsidRPr="00C34177">
              <w:rPr>
                <w:rFonts w:eastAsia="Times New Roman" w:cs="Arial"/>
                <w:lang w:val="en-US" w:eastAsia="en-US"/>
              </w:rPr>
              <w:t xml:space="preserve"> gives further technical information on the way that software should handle multiple tagging.  (Multiple tags of numeric items may go in the hidden section, so that they do not disrupt t</w:t>
            </w:r>
            <w:r w:rsidR="00F62C4B">
              <w:rPr>
                <w:rFonts w:eastAsia="Times New Roman" w:cs="Arial"/>
                <w:lang w:val="en-US" w:eastAsia="en-US"/>
              </w:rPr>
              <w:t>he physical display of accounts.  Multiple text tags may be nested.  The next item, 4.16, covers nesting of tags.</w:t>
            </w:r>
            <w:r w:rsidRPr="00C34177">
              <w:rPr>
                <w:rFonts w:eastAsia="Times New Roman" w:cs="Arial"/>
                <w:lang w:val="en-US" w:eastAsia="en-US"/>
              </w:rPr>
              <w:t xml:space="preserve">)  </w:t>
            </w:r>
          </w:p>
        </w:tc>
      </w:tr>
      <w:tr w:rsidR="00FD6681" w:rsidRPr="00C34177" w:rsidTr="00FD6681">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lastRenderedPageBreak/>
              <w:t>4.16</w:t>
            </w:r>
          </w:p>
        </w:tc>
        <w:tc>
          <w:tcPr>
            <w:tcW w:w="1718" w:type="dxa"/>
            <w:tcBorders>
              <w:top w:val="single" w:sz="4" w:space="0" w:color="auto"/>
              <w:left w:val="nil"/>
              <w:bottom w:val="single" w:sz="4" w:space="0" w:color="auto"/>
              <w:right w:val="single" w:sz="4" w:space="0" w:color="auto"/>
            </w:tcBorders>
            <w:shd w:val="clear" w:color="auto" w:fill="auto"/>
            <w:vAlign w:val="center"/>
          </w:tcPr>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Nested tagging</w:t>
            </w:r>
          </w:p>
        </w:tc>
        <w:tc>
          <w:tcPr>
            <w:tcW w:w="6907" w:type="dxa"/>
            <w:tcBorders>
              <w:top w:val="single" w:sz="4" w:space="0" w:color="auto"/>
              <w:left w:val="nil"/>
              <w:bottom w:val="single" w:sz="4" w:space="0" w:color="auto"/>
              <w:right w:val="single" w:sz="4" w:space="0" w:color="auto"/>
            </w:tcBorders>
            <w:shd w:val="clear" w:color="auto" w:fill="auto"/>
            <w:vAlign w:val="center"/>
          </w:tcPr>
          <w:p w:rsidR="0043483A" w:rsidRDefault="00FD6681" w:rsidP="00C34177">
            <w:pPr>
              <w:spacing w:before="60" w:after="60"/>
              <w:jc w:val="left"/>
              <w:rPr>
                <w:rFonts w:eastAsia="Times New Roman" w:cs="Arial"/>
                <w:lang w:val="en-US" w:eastAsia="en-US"/>
              </w:rPr>
            </w:pPr>
            <w:r w:rsidRPr="00C34177">
              <w:rPr>
                <w:rFonts w:eastAsia="Times New Roman" w:cs="Arial"/>
                <w:lang w:val="en-US" w:eastAsia="en-US"/>
              </w:rPr>
              <w:t xml:space="preserve">Nesting of tags may sometimes be required.  For example, a monetary value may sometimes have to be tagged within a block of text which should itself be tagged with a text tag.  In other cases, a text item, such as for a name, may have to be tagged within a larger block of text which also needs to be separately tagged.  </w:t>
            </w:r>
          </w:p>
          <w:p w:rsidR="00F05D3B" w:rsidRDefault="00F05D3B" w:rsidP="00C34177">
            <w:pPr>
              <w:spacing w:before="60" w:after="60"/>
              <w:jc w:val="left"/>
              <w:rPr>
                <w:rFonts w:eastAsia="Times New Roman" w:cs="Arial"/>
                <w:lang w:val="en-US" w:eastAsia="en-US"/>
              </w:rPr>
            </w:pPr>
            <w:r>
              <w:rPr>
                <w:rFonts w:eastAsia="Times New Roman" w:cs="Arial"/>
                <w:lang w:val="en-US" w:eastAsia="en-US"/>
              </w:rPr>
              <w:t xml:space="preserve">Nesting may also be required to enable a text item to be tagged multiple times, as mentioned in the previous item, 4.15.  </w:t>
            </w:r>
          </w:p>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 xml:space="preserve">The </w:t>
            </w:r>
            <w:hyperlink w:anchor="InlineGuide" w:history="1">
              <w:r w:rsidRPr="007C52E6">
                <w:rPr>
                  <w:rStyle w:val="Hyperlink"/>
                  <w:rFonts w:eastAsia="Times New Roman" w:cs="Arial"/>
                  <w:lang w:val="en-US" w:eastAsia="en-US"/>
                </w:rPr>
                <w:t>HMRC Inline XBRL Style Guide</w:t>
              </w:r>
            </w:hyperlink>
            <w:r w:rsidRPr="00C34177">
              <w:rPr>
                <w:rFonts w:eastAsia="Times New Roman" w:cs="Arial"/>
                <w:lang w:val="en-US" w:eastAsia="en-US"/>
              </w:rPr>
              <w:t xml:space="preserve"> gives further technical information on the way that software should handle nested tagging.  </w:t>
            </w:r>
          </w:p>
        </w:tc>
      </w:tr>
      <w:tr w:rsidR="00FD6681" w:rsidRPr="00C34177" w:rsidTr="00FD6681">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4.17</w:t>
            </w:r>
          </w:p>
        </w:tc>
        <w:tc>
          <w:tcPr>
            <w:tcW w:w="1718" w:type="dxa"/>
            <w:tcBorders>
              <w:top w:val="single" w:sz="4" w:space="0" w:color="auto"/>
              <w:left w:val="nil"/>
              <w:bottom w:val="single" w:sz="4" w:space="0" w:color="auto"/>
              <w:right w:val="single" w:sz="4" w:space="0" w:color="auto"/>
            </w:tcBorders>
            <w:shd w:val="clear" w:color="auto" w:fill="auto"/>
            <w:vAlign w:val="center"/>
          </w:tcPr>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Maturities information</w:t>
            </w:r>
          </w:p>
        </w:tc>
        <w:tc>
          <w:tcPr>
            <w:tcW w:w="6907" w:type="dxa"/>
            <w:tcBorders>
              <w:top w:val="single" w:sz="4" w:space="0" w:color="auto"/>
              <w:left w:val="nil"/>
              <w:bottom w:val="single" w:sz="4" w:space="0" w:color="auto"/>
              <w:right w:val="single" w:sz="4" w:space="0" w:color="auto"/>
            </w:tcBorders>
            <w:shd w:val="clear" w:color="auto" w:fill="auto"/>
            <w:vAlign w:val="center"/>
          </w:tcPr>
          <w:p w:rsidR="0066672F" w:rsidRDefault="00FD6681" w:rsidP="00C34177">
            <w:pPr>
              <w:spacing w:before="60" w:after="60"/>
              <w:jc w:val="left"/>
              <w:rPr>
                <w:rFonts w:eastAsia="Times New Roman" w:cs="Arial"/>
                <w:lang w:val="en-US" w:eastAsia="en-US"/>
              </w:rPr>
            </w:pPr>
            <w:r w:rsidRPr="00C34177">
              <w:rPr>
                <w:rFonts w:eastAsia="Times New Roman" w:cs="Arial"/>
                <w:lang w:val="en-US" w:eastAsia="en-US"/>
              </w:rPr>
              <w:t xml:space="preserve">Tags representing maturities, whether line item tags or tags in the </w:t>
            </w:r>
            <w:r w:rsidR="00A60AC0" w:rsidRPr="00A60AC0">
              <w:rPr>
                <w:rFonts w:eastAsia="Times New Roman" w:cs="Arial"/>
                <w:i/>
                <w:lang w:val="en-US" w:eastAsia="en-US"/>
              </w:rPr>
              <w:t>M</w:t>
            </w:r>
            <w:r w:rsidRPr="00A60AC0">
              <w:rPr>
                <w:rFonts w:eastAsia="Times New Roman" w:cs="Arial"/>
                <w:i/>
                <w:lang w:val="en-US" w:eastAsia="en-US"/>
              </w:rPr>
              <w:t>aturities</w:t>
            </w:r>
            <w:r w:rsidRPr="00C34177">
              <w:rPr>
                <w:rFonts w:eastAsia="Times New Roman" w:cs="Arial"/>
                <w:lang w:val="en-US" w:eastAsia="en-US"/>
              </w:rPr>
              <w:t xml:space="preserve"> dimension, may be interpreted reasonably flexibly.  For example, a period of 60-89 days may be tagged with the '</w:t>
            </w:r>
            <w:r w:rsidR="00A60AC0" w:rsidRPr="00A60AC0">
              <w:rPr>
                <w:rFonts w:eastAsia="Times New Roman" w:cs="Arial"/>
                <w:i/>
                <w:color w:val="FF0000"/>
                <w:lang w:val="en-US" w:eastAsia="en-US"/>
              </w:rPr>
              <w:t>F</w:t>
            </w:r>
            <w:r w:rsidRPr="00A60AC0">
              <w:rPr>
                <w:rFonts w:eastAsia="Times New Roman" w:cs="Arial"/>
                <w:i/>
                <w:color w:val="FF0000"/>
                <w:lang w:val="en-US" w:eastAsia="en-US"/>
              </w:rPr>
              <w:t>rom 60 to 9</w:t>
            </w:r>
            <w:r w:rsidR="00A60AC0">
              <w:rPr>
                <w:rFonts w:eastAsia="Times New Roman" w:cs="Arial"/>
                <w:i/>
                <w:color w:val="FF0000"/>
                <w:lang w:val="en-US" w:eastAsia="en-US"/>
              </w:rPr>
              <w:t>0 days</w:t>
            </w:r>
            <w:r w:rsidRPr="00C34177">
              <w:rPr>
                <w:rFonts w:eastAsia="Times New Roman" w:cs="Arial"/>
                <w:lang w:val="en-US" w:eastAsia="en-US"/>
              </w:rPr>
              <w:t>' maturities dimension</w:t>
            </w:r>
            <w:r w:rsidR="00A60AC0">
              <w:rPr>
                <w:rFonts w:eastAsia="Times New Roman" w:cs="Arial"/>
                <w:lang w:val="en-US" w:eastAsia="en-US"/>
              </w:rPr>
              <w:t xml:space="preserve"> tag</w:t>
            </w:r>
            <w:r w:rsidRPr="00C34177">
              <w:rPr>
                <w:rFonts w:eastAsia="Times New Roman" w:cs="Arial"/>
                <w:lang w:val="en-US" w:eastAsia="en-US"/>
              </w:rPr>
              <w:t xml:space="preserve">.  </w:t>
            </w:r>
          </w:p>
          <w:p w:rsidR="00FD6681" w:rsidRPr="00C34177" w:rsidRDefault="0066672F" w:rsidP="00C34177">
            <w:pPr>
              <w:spacing w:before="60" w:after="60"/>
              <w:jc w:val="left"/>
              <w:rPr>
                <w:rFonts w:eastAsia="Times New Roman" w:cs="Arial"/>
                <w:lang w:val="en-US" w:eastAsia="en-US"/>
              </w:rPr>
            </w:pPr>
            <w:r>
              <w:rPr>
                <w:rFonts w:eastAsia="Times New Roman" w:cs="Arial"/>
                <w:lang w:val="en-US" w:eastAsia="en-US"/>
              </w:rPr>
              <w:t xml:space="preserve">Some accounts may include maturity periods which cannot sensibly be matched against the existing </w:t>
            </w:r>
            <w:r w:rsidRPr="0066672F">
              <w:rPr>
                <w:rFonts w:eastAsia="Times New Roman" w:cs="Arial"/>
                <w:i/>
                <w:lang w:val="en-US" w:eastAsia="en-US"/>
              </w:rPr>
              <w:t>Maturities</w:t>
            </w:r>
            <w:r>
              <w:rPr>
                <w:rFonts w:eastAsia="Times New Roman" w:cs="Arial"/>
                <w:lang w:val="en-US" w:eastAsia="en-US"/>
              </w:rPr>
              <w:t xml:space="preserve"> dimension tags.  In that case, the particularly maturity periods concerned will be untagged, but other periods should still be tagged.  </w:t>
            </w:r>
          </w:p>
        </w:tc>
      </w:tr>
      <w:tr w:rsidR="00FD6681" w:rsidRPr="00C34177" w:rsidTr="00FD6681">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4.18</w:t>
            </w:r>
          </w:p>
        </w:tc>
        <w:tc>
          <w:tcPr>
            <w:tcW w:w="1718" w:type="dxa"/>
            <w:tcBorders>
              <w:top w:val="single" w:sz="4" w:space="0" w:color="auto"/>
              <w:left w:val="nil"/>
              <w:bottom w:val="single" w:sz="4" w:space="0" w:color="auto"/>
              <w:right w:val="single" w:sz="4" w:space="0" w:color="auto"/>
            </w:tcBorders>
            <w:shd w:val="clear" w:color="auto" w:fill="auto"/>
            <w:vAlign w:val="center"/>
          </w:tcPr>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Reversal of the meaning of a concept by + / - sign flip</w:t>
            </w:r>
          </w:p>
        </w:tc>
        <w:tc>
          <w:tcPr>
            <w:tcW w:w="6907" w:type="dxa"/>
            <w:tcBorders>
              <w:top w:val="single" w:sz="4" w:space="0" w:color="auto"/>
              <w:left w:val="nil"/>
              <w:bottom w:val="single" w:sz="4" w:space="0" w:color="auto"/>
              <w:right w:val="single" w:sz="4" w:space="0" w:color="auto"/>
            </w:tcBorders>
            <w:shd w:val="clear" w:color="auto" w:fill="auto"/>
            <w:vAlign w:val="center"/>
          </w:tcPr>
          <w:p w:rsidR="0043483A" w:rsidRDefault="00FD6681" w:rsidP="00C34177">
            <w:pPr>
              <w:spacing w:before="60" w:after="60"/>
              <w:jc w:val="left"/>
              <w:rPr>
                <w:rFonts w:eastAsia="Times New Roman" w:cs="Arial"/>
                <w:lang w:val="en-US" w:eastAsia="en-US"/>
              </w:rPr>
            </w:pPr>
            <w:r w:rsidRPr="00C34177">
              <w:rPr>
                <w:rFonts w:eastAsia="Times New Roman" w:cs="Arial"/>
                <w:lang w:val="en-US" w:eastAsia="en-US"/>
              </w:rPr>
              <w:t xml:space="preserve">The introduction of a negative sign MUST NOT be used to switch the meaning of a concept representing a gross amount.  For example, a 'debtor' line item must not be tagged by the use of a 'creditor' tag in combination with the application of a negative sign.  The debtor item must be tagged with a suitable debtor tag if one is available, or left untagged if not.  The same point applies to other gross asset and liability line items.    </w:t>
            </w:r>
          </w:p>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By contrast, net items may obviously take a positive or negative sign.  Clearly '</w:t>
            </w:r>
            <w:r w:rsidRPr="00A55CD0">
              <w:rPr>
                <w:rFonts w:eastAsia="Times New Roman" w:cs="Arial"/>
                <w:i/>
                <w:color w:val="FF0000"/>
                <w:lang w:val="en-US" w:eastAsia="en-US"/>
              </w:rPr>
              <w:t>Net assets (liabilities)</w:t>
            </w:r>
            <w:r w:rsidRPr="00C34177">
              <w:rPr>
                <w:rFonts w:eastAsia="Times New Roman" w:cs="Arial"/>
                <w:lang w:val="en-US" w:eastAsia="en-US"/>
              </w:rPr>
              <w:t>', may be either positive or negative, representing assets or liabilities respectively.  Similarly, under cash flow, net debt and funds items can be switched by the application of a sign.  Many labels make this clear, such as '</w:t>
            </w:r>
            <w:r w:rsidRPr="00A55CD0">
              <w:rPr>
                <w:rFonts w:eastAsia="Times New Roman" w:cs="Arial"/>
                <w:i/>
                <w:color w:val="FF0000"/>
                <w:lang w:val="en-US" w:eastAsia="en-US"/>
              </w:rPr>
              <w:t>Net debt (funds)</w:t>
            </w:r>
            <w:r w:rsidRPr="00C34177">
              <w:rPr>
                <w:rFonts w:eastAsia="Times New Roman" w:cs="Arial"/>
                <w:lang w:val="en-US" w:eastAsia="en-US"/>
              </w:rPr>
              <w:t xml:space="preserve">' in UK GAAP.  </w:t>
            </w:r>
          </w:p>
        </w:tc>
      </w:tr>
      <w:tr w:rsidR="00FD6681" w:rsidRPr="00C34177" w:rsidTr="00FD6681">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4.19</w:t>
            </w:r>
          </w:p>
        </w:tc>
        <w:tc>
          <w:tcPr>
            <w:tcW w:w="1718" w:type="dxa"/>
            <w:tcBorders>
              <w:top w:val="single" w:sz="4" w:space="0" w:color="auto"/>
              <w:left w:val="nil"/>
              <w:bottom w:val="single" w:sz="4" w:space="0" w:color="auto"/>
              <w:right w:val="single" w:sz="4" w:space="0" w:color="auto"/>
            </w:tcBorders>
            <w:shd w:val="clear" w:color="auto" w:fill="auto"/>
            <w:vAlign w:val="center"/>
          </w:tcPr>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Address country</w:t>
            </w:r>
          </w:p>
        </w:tc>
        <w:tc>
          <w:tcPr>
            <w:tcW w:w="6907" w:type="dxa"/>
            <w:tcBorders>
              <w:top w:val="single" w:sz="4" w:space="0" w:color="auto"/>
              <w:left w:val="nil"/>
              <w:bottom w:val="single" w:sz="4" w:space="0" w:color="auto"/>
              <w:right w:val="single" w:sz="4" w:space="0" w:color="auto"/>
            </w:tcBorders>
            <w:shd w:val="clear" w:color="auto" w:fill="auto"/>
            <w:vAlign w:val="center"/>
          </w:tcPr>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 xml:space="preserve">Address country is identified by applying the country dimension tag to all lines of the address.  If no country is identified in an address, then the </w:t>
            </w:r>
            <w:smartTag w:uri="urn:schemas-microsoft-com:office:smarttags" w:element="place">
              <w:smartTag w:uri="urn:schemas-microsoft-com:office:smarttags" w:element="country-region">
                <w:r w:rsidRPr="00C34177">
                  <w:rPr>
                    <w:rFonts w:eastAsia="Times New Roman" w:cs="Arial"/>
                    <w:lang w:val="en-US" w:eastAsia="en-US"/>
                  </w:rPr>
                  <w:t>UK</w:t>
                </w:r>
              </w:smartTag>
            </w:smartTag>
            <w:r w:rsidRPr="00C34177">
              <w:rPr>
                <w:rFonts w:eastAsia="Times New Roman" w:cs="Arial"/>
                <w:lang w:val="en-US" w:eastAsia="en-US"/>
              </w:rPr>
              <w:t xml:space="preserve"> will be assumed.</w:t>
            </w:r>
          </w:p>
        </w:tc>
      </w:tr>
      <w:tr w:rsidR="00FD6681" w:rsidRPr="00C34177" w:rsidTr="00FD6681">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4.20</w:t>
            </w:r>
          </w:p>
        </w:tc>
        <w:tc>
          <w:tcPr>
            <w:tcW w:w="1718" w:type="dxa"/>
            <w:tcBorders>
              <w:top w:val="single" w:sz="4" w:space="0" w:color="auto"/>
              <w:left w:val="nil"/>
              <w:bottom w:val="single" w:sz="4" w:space="0" w:color="auto"/>
              <w:right w:val="single" w:sz="4" w:space="0" w:color="auto"/>
            </w:tcBorders>
            <w:shd w:val="clear" w:color="auto" w:fill="auto"/>
            <w:vAlign w:val="center"/>
          </w:tcPr>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w:t>
            </w:r>
            <w:smartTag w:uri="urn:schemas-microsoft-com:office:smarttags" w:element="country-region">
              <w:r w:rsidRPr="00C34177">
                <w:rPr>
                  <w:rFonts w:eastAsia="Times New Roman" w:cs="Arial"/>
                  <w:lang w:val="en-US" w:eastAsia="en-US"/>
                </w:rPr>
                <w:t>England</w:t>
              </w:r>
            </w:smartTag>
            <w:r w:rsidRPr="00C34177">
              <w:rPr>
                <w:rFonts w:eastAsia="Times New Roman" w:cs="Arial"/>
                <w:lang w:val="en-US" w:eastAsia="en-US"/>
              </w:rPr>
              <w:t xml:space="preserve"> &amp; </w:t>
            </w:r>
            <w:smartTag w:uri="urn:schemas-microsoft-com:office:smarttags" w:element="place">
              <w:smartTag w:uri="urn:schemas-microsoft-com:office:smarttags" w:element="country-region">
                <w:r w:rsidRPr="00C34177">
                  <w:rPr>
                    <w:rFonts w:eastAsia="Times New Roman" w:cs="Arial"/>
                    <w:lang w:val="en-US" w:eastAsia="en-US"/>
                  </w:rPr>
                  <w:t>Wales</w:t>
                </w:r>
              </w:smartTag>
            </w:smartTag>
            <w:r w:rsidRPr="00C34177">
              <w:rPr>
                <w:rFonts w:eastAsia="Times New Roman" w:cs="Arial"/>
                <w:lang w:val="en-US" w:eastAsia="en-US"/>
              </w:rPr>
              <w:t>'</w:t>
            </w:r>
          </w:p>
        </w:tc>
        <w:tc>
          <w:tcPr>
            <w:tcW w:w="6907" w:type="dxa"/>
            <w:tcBorders>
              <w:top w:val="single" w:sz="4" w:space="0" w:color="auto"/>
              <w:left w:val="nil"/>
              <w:bottom w:val="single" w:sz="4" w:space="0" w:color="auto"/>
              <w:right w:val="single" w:sz="4" w:space="0" w:color="auto"/>
            </w:tcBorders>
            <w:shd w:val="clear" w:color="auto" w:fill="auto"/>
            <w:vAlign w:val="center"/>
          </w:tcPr>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There is no regional tag to represent the '</w:t>
            </w:r>
            <w:smartTag w:uri="urn:schemas-microsoft-com:office:smarttags" w:element="country-region">
              <w:r w:rsidRPr="00C34177">
                <w:rPr>
                  <w:rFonts w:eastAsia="Times New Roman" w:cs="Arial"/>
                  <w:lang w:val="en-US" w:eastAsia="en-US"/>
                </w:rPr>
                <w:t>England</w:t>
              </w:r>
            </w:smartTag>
            <w:r w:rsidRPr="00C34177">
              <w:rPr>
                <w:rFonts w:eastAsia="Times New Roman" w:cs="Arial"/>
                <w:lang w:val="en-US" w:eastAsia="en-US"/>
              </w:rPr>
              <w:t xml:space="preserve"> &amp; </w:t>
            </w:r>
            <w:smartTag w:uri="urn:schemas-microsoft-com:office:smarttags" w:element="place">
              <w:smartTag w:uri="urn:schemas-microsoft-com:office:smarttags" w:element="country-region">
                <w:r w:rsidRPr="00C34177">
                  <w:rPr>
                    <w:rFonts w:eastAsia="Times New Roman" w:cs="Arial"/>
                    <w:lang w:val="en-US" w:eastAsia="en-US"/>
                  </w:rPr>
                  <w:t>Wales</w:t>
                </w:r>
              </w:smartTag>
            </w:smartTag>
            <w:r w:rsidRPr="00C34177">
              <w:rPr>
                <w:rFonts w:eastAsia="Times New Roman" w:cs="Arial"/>
                <w:lang w:val="en-US" w:eastAsia="en-US"/>
              </w:rPr>
              <w:t xml:space="preserve">' grouping of countries.  </w:t>
            </w:r>
            <w:r w:rsidR="00A30368" w:rsidRPr="00C34177">
              <w:rPr>
                <w:rFonts w:eastAsia="Times New Roman" w:cs="Arial"/>
                <w:lang w:val="en-US" w:eastAsia="en-US"/>
              </w:rPr>
              <w:t>When a preparer needs to represent this region, for example when tagging country of incorporation, then either the '</w:t>
            </w:r>
            <w:smartTag w:uri="urn:schemas-microsoft-com:office:smarttags" w:element="country-region">
              <w:r w:rsidR="00A30368" w:rsidRPr="00A55CD0">
                <w:rPr>
                  <w:rFonts w:eastAsia="Times New Roman" w:cs="Arial"/>
                  <w:i/>
                  <w:color w:val="FF0000"/>
                  <w:lang w:val="en-US" w:eastAsia="en-US"/>
                </w:rPr>
                <w:t>England</w:t>
              </w:r>
            </w:smartTag>
            <w:r w:rsidR="00A30368">
              <w:rPr>
                <w:rFonts w:eastAsia="Times New Roman" w:cs="Arial"/>
                <w:lang w:val="en-US" w:eastAsia="en-US"/>
              </w:rPr>
              <w:t xml:space="preserve">' </w:t>
            </w:r>
            <w:r w:rsidR="00A30368" w:rsidRPr="00C34177">
              <w:rPr>
                <w:rFonts w:eastAsia="Times New Roman" w:cs="Arial"/>
                <w:lang w:val="en-US" w:eastAsia="en-US"/>
              </w:rPr>
              <w:t>or '</w:t>
            </w:r>
            <w:smartTag w:uri="urn:schemas-microsoft-com:office:smarttags" w:element="place">
              <w:smartTag w:uri="urn:schemas-microsoft-com:office:smarttags" w:element="country-region">
                <w:r w:rsidR="00A30368" w:rsidRPr="00A55CD0">
                  <w:rPr>
                    <w:rFonts w:eastAsia="Times New Roman" w:cs="Arial"/>
                    <w:i/>
                    <w:color w:val="FF0000"/>
                    <w:lang w:val="en-US" w:eastAsia="en-US"/>
                  </w:rPr>
                  <w:t>Wales</w:t>
                </w:r>
              </w:smartTag>
            </w:smartTag>
            <w:r w:rsidR="00A30368" w:rsidRPr="00C34177">
              <w:rPr>
                <w:rFonts w:eastAsia="Times New Roman" w:cs="Arial"/>
                <w:lang w:val="en-US" w:eastAsia="en-US"/>
              </w:rPr>
              <w:t xml:space="preserve">' country tag should be used.  </w:t>
            </w:r>
          </w:p>
        </w:tc>
      </w:tr>
      <w:tr w:rsidR="00FD6681" w:rsidRPr="00C34177" w:rsidTr="00FD6681">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4.21</w:t>
            </w:r>
          </w:p>
        </w:tc>
        <w:tc>
          <w:tcPr>
            <w:tcW w:w="1718" w:type="dxa"/>
            <w:tcBorders>
              <w:top w:val="single" w:sz="4" w:space="0" w:color="auto"/>
              <w:left w:val="nil"/>
              <w:bottom w:val="single" w:sz="4" w:space="0" w:color="auto"/>
              <w:right w:val="single" w:sz="4" w:space="0" w:color="auto"/>
            </w:tcBorders>
            <w:shd w:val="clear" w:color="auto" w:fill="auto"/>
            <w:vAlign w:val="center"/>
          </w:tcPr>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Third party agents:  auditors, lawyers, bankers</w:t>
            </w:r>
          </w:p>
        </w:tc>
        <w:tc>
          <w:tcPr>
            <w:tcW w:w="6907" w:type="dxa"/>
            <w:tcBorders>
              <w:top w:val="single" w:sz="4" w:space="0" w:color="auto"/>
              <w:left w:val="nil"/>
              <w:bottom w:val="single" w:sz="4" w:space="0" w:color="auto"/>
              <w:right w:val="single" w:sz="4" w:space="0" w:color="auto"/>
            </w:tcBorders>
            <w:shd w:val="clear" w:color="auto" w:fill="auto"/>
            <w:vAlign w:val="center"/>
          </w:tcPr>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 xml:space="preserve">If a company reports multiple agents in a particular category, such as multiple lawyers, these </w:t>
            </w:r>
            <w:r w:rsidR="00B06C76">
              <w:rPr>
                <w:rFonts w:eastAsia="Times New Roman" w:cs="Arial"/>
                <w:lang w:val="en-US" w:eastAsia="en-US"/>
              </w:rPr>
              <w:t xml:space="preserve">may be distinguished using the </w:t>
            </w:r>
            <w:r w:rsidRPr="00B06C76">
              <w:rPr>
                <w:rFonts w:eastAsia="Times New Roman" w:cs="Arial"/>
                <w:i/>
                <w:lang w:val="en-US" w:eastAsia="en-US"/>
              </w:rPr>
              <w:t>Third party agent status</w:t>
            </w:r>
            <w:r w:rsidRPr="00C34177">
              <w:rPr>
                <w:rFonts w:eastAsia="Times New Roman" w:cs="Arial"/>
                <w:lang w:val="en-US" w:eastAsia="en-US"/>
              </w:rPr>
              <w:t xml:space="preserve"> dimension, which allows distinction of a principal agent and up</w:t>
            </w:r>
            <w:r w:rsidR="00EB23EA">
              <w:rPr>
                <w:rFonts w:eastAsia="Times New Roman" w:cs="Arial"/>
                <w:lang w:val="en-US" w:eastAsia="en-US"/>
              </w:rPr>
              <w:t xml:space="preserve"> </w:t>
            </w:r>
            <w:r w:rsidRPr="00C34177">
              <w:rPr>
                <w:rFonts w:eastAsia="Times New Roman" w:cs="Arial"/>
                <w:lang w:val="en-US" w:eastAsia="en-US"/>
              </w:rPr>
              <w:t>to three joint agents.  The name of each agent must be tagged with the '</w:t>
            </w:r>
            <w:r w:rsidRPr="00B06C76">
              <w:rPr>
                <w:rFonts w:eastAsia="Times New Roman" w:cs="Arial"/>
                <w:i/>
                <w:color w:val="FF0000"/>
                <w:lang w:val="en-US" w:eastAsia="en-US"/>
              </w:rPr>
              <w:t>Name of third party agent</w:t>
            </w:r>
            <w:r w:rsidRPr="00C34177">
              <w:rPr>
                <w:rFonts w:eastAsia="Times New Roman" w:cs="Arial"/>
                <w:lang w:val="en-US" w:eastAsia="en-US"/>
              </w:rPr>
              <w:t xml:space="preserve">' tag in these circumstances.  </w:t>
            </w:r>
          </w:p>
        </w:tc>
      </w:tr>
      <w:tr w:rsidR="00FD6681" w:rsidRPr="00C34177" w:rsidTr="00FD6681">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4.22</w:t>
            </w:r>
          </w:p>
        </w:tc>
        <w:tc>
          <w:tcPr>
            <w:tcW w:w="1718" w:type="dxa"/>
            <w:tcBorders>
              <w:top w:val="single" w:sz="4" w:space="0" w:color="auto"/>
              <w:left w:val="nil"/>
              <w:bottom w:val="single" w:sz="4" w:space="0" w:color="auto"/>
              <w:right w:val="single" w:sz="4" w:space="0" w:color="auto"/>
            </w:tcBorders>
            <w:shd w:val="clear" w:color="auto" w:fill="auto"/>
            <w:vAlign w:val="center"/>
          </w:tcPr>
          <w:p w:rsidR="00FD6681" w:rsidRPr="00C34177" w:rsidRDefault="00FD6681" w:rsidP="00C34177">
            <w:pPr>
              <w:spacing w:before="60" w:after="60"/>
              <w:jc w:val="left"/>
              <w:rPr>
                <w:rFonts w:eastAsia="Times New Roman" w:cs="Arial"/>
                <w:lang w:val="en-US" w:eastAsia="en-US"/>
              </w:rPr>
            </w:pPr>
            <w:bookmarkStart w:id="11" w:name="XR_FixedItems"/>
            <w:r w:rsidRPr="00C34177">
              <w:rPr>
                <w:rFonts w:eastAsia="Times New Roman" w:cs="Arial"/>
                <w:lang w:val="en-US" w:eastAsia="en-US"/>
              </w:rPr>
              <w:t>Fixed item tags</w:t>
            </w:r>
            <w:bookmarkEnd w:id="11"/>
          </w:p>
        </w:tc>
        <w:tc>
          <w:tcPr>
            <w:tcW w:w="6907" w:type="dxa"/>
            <w:tcBorders>
              <w:top w:val="single" w:sz="4" w:space="0" w:color="auto"/>
              <w:left w:val="nil"/>
              <w:bottom w:val="single" w:sz="4" w:space="0" w:color="auto"/>
              <w:right w:val="single" w:sz="4" w:space="0" w:color="auto"/>
            </w:tcBorders>
            <w:shd w:val="clear" w:color="auto" w:fill="auto"/>
            <w:vAlign w:val="center"/>
          </w:tcPr>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A small number of tags in the accounts taxonomies have a predefined fixed value of ‘nil’.  These 'fixed item' type tags provide information by being used in combination an appropriate dimension tag.  Examples include ‘</w:t>
            </w:r>
            <w:r w:rsidRPr="00B06C76">
              <w:rPr>
                <w:rFonts w:eastAsia="Times New Roman" w:cs="Arial"/>
                <w:i/>
                <w:color w:val="FF0000"/>
                <w:lang w:val="en-US" w:eastAsia="en-US"/>
              </w:rPr>
              <w:t>Country of formation or incorporation</w:t>
            </w:r>
            <w:r w:rsidRPr="00C34177">
              <w:rPr>
                <w:rFonts w:eastAsia="Times New Roman" w:cs="Arial"/>
                <w:lang w:val="en-US" w:eastAsia="en-US"/>
              </w:rPr>
              <w:t>’ and ‘</w:t>
            </w:r>
            <w:r w:rsidRPr="00B06C76">
              <w:rPr>
                <w:rFonts w:eastAsia="Times New Roman" w:cs="Arial"/>
                <w:i/>
                <w:color w:val="FF0000"/>
                <w:lang w:val="en-US" w:eastAsia="en-US"/>
              </w:rPr>
              <w:t>Director signing report</w:t>
            </w:r>
            <w:r w:rsidRPr="00C34177">
              <w:rPr>
                <w:rFonts w:eastAsia="Times New Roman" w:cs="Arial"/>
                <w:lang w:val="en-US" w:eastAsia="en-US"/>
              </w:rPr>
              <w:t xml:space="preserve">’ in the </w:t>
            </w:r>
            <w:r w:rsidRPr="00B06C76">
              <w:rPr>
                <w:rFonts w:eastAsia="Times New Roman" w:cs="Arial"/>
                <w:i/>
                <w:color w:val="008000"/>
                <w:lang w:val="en-US" w:eastAsia="en-US"/>
              </w:rPr>
              <w:t>Directors’ Report</w:t>
            </w:r>
            <w:r w:rsidRPr="00C34177">
              <w:rPr>
                <w:rFonts w:eastAsia="Times New Roman" w:cs="Arial"/>
                <w:lang w:val="en-US" w:eastAsia="en-US"/>
              </w:rPr>
              <w:t xml:space="preserve"> section.  These tags are not used to tag specific text in accounts.  Instead, they must be linked to an appropriate dimension tag representing the data concerned.  Section 4.13 in </w:t>
            </w:r>
            <w:r w:rsidR="00F47E7B">
              <w:rPr>
                <w:rFonts w:eastAsia="Times New Roman" w:cs="Arial"/>
                <w:lang w:val="en-US" w:eastAsia="en-US"/>
              </w:rPr>
              <w:t xml:space="preserve">the </w:t>
            </w:r>
            <w:hyperlink w:anchor="PDGuide" w:history="1">
              <w:r w:rsidR="00F47E7B" w:rsidRPr="00D87AA9">
                <w:rPr>
                  <w:rStyle w:val="Hyperlink"/>
                  <w:rFonts w:eastAsia="Times New Roman" w:cs="Arial"/>
                  <w:lang w:val="en-US" w:eastAsia="en-US"/>
                </w:rPr>
                <w:t>Preparers &amp; Developers Guide</w:t>
              </w:r>
            </w:hyperlink>
            <w:r w:rsidRPr="00C34177">
              <w:rPr>
                <w:rFonts w:eastAsia="Times New Roman" w:cs="Arial"/>
                <w:lang w:val="en-US" w:eastAsia="en-US"/>
              </w:rPr>
              <w:t xml:space="preserve"> provides further information.  </w:t>
            </w:r>
          </w:p>
        </w:tc>
      </w:tr>
      <w:tr w:rsidR="00FD6681" w:rsidRPr="00C34177" w:rsidTr="00FD6681">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lastRenderedPageBreak/>
              <w:t>4.23</w:t>
            </w:r>
          </w:p>
        </w:tc>
        <w:tc>
          <w:tcPr>
            <w:tcW w:w="1718" w:type="dxa"/>
            <w:tcBorders>
              <w:top w:val="single" w:sz="4" w:space="0" w:color="auto"/>
              <w:left w:val="nil"/>
              <w:bottom w:val="single" w:sz="4" w:space="0" w:color="auto"/>
              <w:right w:val="single" w:sz="4" w:space="0" w:color="auto"/>
            </w:tcBorders>
            <w:shd w:val="clear" w:color="auto" w:fill="auto"/>
            <w:vAlign w:val="center"/>
          </w:tcPr>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Use of 'hidden' data section</w:t>
            </w:r>
          </w:p>
        </w:tc>
        <w:tc>
          <w:tcPr>
            <w:tcW w:w="6907" w:type="dxa"/>
            <w:tcBorders>
              <w:top w:val="single" w:sz="4" w:space="0" w:color="auto"/>
              <w:left w:val="nil"/>
              <w:bottom w:val="single" w:sz="4" w:space="0" w:color="auto"/>
              <w:right w:val="single" w:sz="4" w:space="0" w:color="auto"/>
            </w:tcBorders>
            <w:shd w:val="clear" w:color="auto" w:fill="auto"/>
            <w:vAlign w:val="center"/>
          </w:tcPr>
          <w:p w:rsidR="0043483A" w:rsidRDefault="00FD6681" w:rsidP="00C34177">
            <w:pPr>
              <w:spacing w:before="60" w:after="60"/>
              <w:jc w:val="left"/>
              <w:rPr>
                <w:rFonts w:eastAsia="Times New Roman" w:cs="Arial"/>
                <w:lang w:val="en-US" w:eastAsia="en-US"/>
              </w:rPr>
            </w:pPr>
            <w:r w:rsidRPr="00C34177">
              <w:rPr>
                <w:rFonts w:eastAsia="Times New Roman" w:cs="Arial"/>
                <w:lang w:val="en-US" w:eastAsia="en-US"/>
              </w:rPr>
              <w:t xml:space="preserve">The "hidden" section in iXBRL filings contains data and tags which are required in a filing but which are not shown as part of the human-readable accounts.  </w:t>
            </w:r>
          </w:p>
          <w:p w:rsidR="0043483A" w:rsidRDefault="00FD6681" w:rsidP="00C34177">
            <w:pPr>
              <w:spacing w:before="60" w:after="60"/>
              <w:jc w:val="left"/>
              <w:rPr>
                <w:rFonts w:eastAsia="Times New Roman" w:cs="Arial"/>
                <w:lang w:val="en-US" w:eastAsia="en-US"/>
              </w:rPr>
            </w:pPr>
            <w:r w:rsidRPr="00C34177">
              <w:rPr>
                <w:rFonts w:eastAsia="Times New Roman" w:cs="Arial"/>
                <w:lang w:val="en-US" w:eastAsia="en-US"/>
              </w:rPr>
              <w:t xml:space="preserve">As far as possible, preparers </w:t>
            </w:r>
            <w:r w:rsidRPr="00C34177">
              <w:rPr>
                <w:rFonts w:eastAsia="Times New Roman" w:cs="Arial"/>
                <w:b/>
                <w:bCs/>
                <w:lang w:val="en-US" w:eastAsia="en-US"/>
              </w:rPr>
              <w:t>must</w:t>
            </w:r>
            <w:r w:rsidRPr="00C34177">
              <w:rPr>
                <w:rFonts w:eastAsia="Times New Roman" w:cs="Arial"/>
                <w:lang w:val="en-US" w:eastAsia="en-US"/>
              </w:rPr>
              <w:t xml:space="preserve"> tag data visibly in the accounts, rather than tagging and including it in the hidden section.  For example, it should generally be possible to tag both the 'period end' and 'balance sheet date' in the human-readable part of the accounts document.  </w:t>
            </w:r>
          </w:p>
          <w:p w:rsidR="0043483A" w:rsidRDefault="00FD6681" w:rsidP="00C34177">
            <w:pPr>
              <w:spacing w:before="60" w:after="60"/>
              <w:jc w:val="left"/>
              <w:rPr>
                <w:rFonts w:eastAsia="Times New Roman" w:cs="Arial"/>
                <w:lang w:val="en-US" w:eastAsia="en-US"/>
              </w:rPr>
            </w:pPr>
            <w:r w:rsidRPr="00C34177">
              <w:rPr>
                <w:rFonts w:eastAsia="Times New Roman" w:cs="Arial"/>
                <w:lang w:val="en-US" w:eastAsia="en-US"/>
              </w:rPr>
              <w:t xml:space="preserve">However, some data may inevitably have to go into ix:hidden.  This may include:  </w:t>
            </w:r>
          </w:p>
          <w:p w:rsidR="00D632D6" w:rsidRDefault="00FD6681" w:rsidP="00C34177">
            <w:pPr>
              <w:spacing w:before="60" w:after="60"/>
              <w:jc w:val="left"/>
              <w:rPr>
                <w:rFonts w:eastAsia="Times New Roman" w:cs="Arial"/>
                <w:lang w:val="en-US" w:eastAsia="en-US"/>
              </w:rPr>
            </w:pPr>
            <w:r w:rsidRPr="00C34177">
              <w:rPr>
                <w:rFonts w:eastAsia="Times New Roman" w:cs="Arial"/>
                <w:lang w:val="en-US" w:eastAsia="en-US"/>
              </w:rPr>
              <w:t>+  A small number of facts, such as 'start date of period', which must be reported and tagged but may not appear explicitly in the accounts.</w:t>
            </w:r>
          </w:p>
          <w:p w:rsidR="00D632D6" w:rsidRDefault="00FD6681" w:rsidP="00C34177">
            <w:pPr>
              <w:spacing w:before="60" w:after="60"/>
              <w:jc w:val="left"/>
              <w:rPr>
                <w:rFonts w:eastAsia="Times New Roman" w:cs="Arial"/>
                <w:lang w:val="en-US" w:eastAsia="en-US"/>
              </w:rPr>
            </w:pPr>
            <w:r w:rsidRPr="00C34177">
              <w:rPr>
                <w:rFonts w:eastAsia="Times New Roman" w:cs="Arial"/>
                <w:lang w:val="en-US" w:eastAsia="en-US"/>
              </w:rPr>
              <w:t>+  Boolean tags, such as</w:t>
            </w:r>
            <w:r w:rsidR="00B06C76">
              <w:rPr>
                <w:rFonts w:eastAsia="Times New Roman" w:cs="Arial"/>
                <w:lang w:val="en-US" w:eastAsia="en-US"/>
              </w:rPr>
              <w:t xml:space="preserve"> ‘</w:t>
            </w:r>
            <w:r w:rsidR="00B06C76">
              <w:rPr>
                <w:rFonts w:eastAsia="Times New Roman" w:cs="Arial"/>
                <w:i/>
                <w:color w:val="FF0000"/>
                <w:lang w:val="en-US" w:eastAsia="en-US"/>
              </w:rPr>
              <w:t>E</w:t>
            </w:r>
            <w:r w:rsidRPr="00B06C76">
              <w:rPr>
                <w:rFonts w:eastAsia="Times New Roman" w:cs="Arial"/>
                <w:i/>
                <w:color w:val="FF0000"/>
                <w:lang w:val="en-US" w:eastAsia="en-US"/>
              </w:rPr>
              <w:t>ntity trading</w:t>
            </w:r>
            <w:r w:rsidRPr="00C34177">
              <w:rPr>
                <w:rFonts w:eastAsia="Times New Roman" w:cs="Arial"/>
                <w:lang w:val="en-US" w:eastAsia="en-US"/>
              </w:rPr>
              <w:t xml:space="preserve">'.  </w:t>
            </w:r>
          </w:p>
          <w:p w:rsidR="00D632D6" w:rsidRDefault="00FD6681" w:rsidP="00C34177">
            <w:pPr>
              <w:spacing w:before="60" w:after="60"/>
              <w:jc w:val="left"/>
              <w:rPr>
                <w:rFonts w:eastAsia="Times New Roman" w:cs="Arial"/>
                <w:lang w:val="en-US" w:eastAsia="en-US"/>
              </w:rPr>
            </w:pPr>
            <w:r w:rsidRPr="00C34177">
              <w:rPr>
                <w:rFonts w:eastAsia="Times New Roman" w:cs="Arial"/>
                <w:lang w:val="en-US" w:eastAsia="en-US"/>
              </w:rPr>
              <w:t>+  'Fixed item' tags, which do not take a value, and 'fixed value' tags which can only take predefined values.</w:t>
            </w:r>
          </w:p>
          <w:p w:rsidR="00D632D6" w:rsidRDefault="00FD6681" w:rsidP="00C34177">
            <w:pPr>
              <w:spacing w:before="60" w:after="60"/>
              <w:jc w:val="left"/>
              <w:rPr>
                <w:rFonts w:eastAsia="Times New Roman" w:cs="Arial"/>
                <w:lang w:val="en-US" w:eastAsia="en-US"/>
              </w:rPr>
            </w:pPr>
            <w:r w:rsidRPr="00C34177">
              <w:rPr>
                <w:rFonts w:eastAsia="Times New Roman" w:cs="Arial"/>
                <w:lang w:val="en-US" w:eastAsia="en-US"/>
              </w:rPr>
              <w:t xml:space="preserve">+  Multiple tags applied to a single numeric item.  </w:t>
            </w:r>
          </w:p>
          <w:p w:rsidR="0043483A" w:rsidRDefault="00FD6681" w:rsidP="00C34177">
            <w:pPr>
              <w:spacing w:before="60" w:after="60"/>
              <w:jc w:val="left"/>
              <w:rPr>
                <w:rFonts w:eastAsia="Times New Roman" w:cs="Arial"/>
                <w:lang w:val="en-US" w:eastAsia="en-US"/>
              </w:rPr>
            </w:pPr>
            <w:r w:rsidRPr="00C34177">
              <w:rPr>
                <w:rFonts w:eastAsia="Times New Roman" w:cs="Arial"/>
                <w:lang w:val="en-US" w:eastAsia="en-US"/>
              </w:rPr>
              <w:t xml:space="preserve">+ </w:t>
            </w:r>
            <w:r w:rsidR="00D632D6">
              <w:rPr>
                <w:rFonts w:eastAsia="Times New Roman" w:cs="Arial"/>
                <w:lang w:val="en-US" w:eastAsia="en-US"/>
              </w:rPr>
              <w:t xml:space="preserve"> </w:t>
            </w:r>
            <w:r w:rsidRPr="00C34177">
              <w:rPr>
                <w:rFonts w:eastAsia="Times New Roman" w:cs="Arial"/>
                <w:lang w:val="en-US" w:eastAsia="en-US"/>
              </w:rPr>
              <w:t xml:space="preserve">Various technical items, such as tuple containers, and document creator information.  </w:t>
            </w:r>
          </w:p>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 xml:space="preserve">The </w:t>
            </w:r>
            <w:hyperlink w:anchor="InlineGuide" w:history="1">
              <w:r w:rsidR="001A57D6" w:rsidRPr="007C52E6">
                <w:rPr>
                  <w:rStyle w:val="Hyperlink"/>
                  <w:rFonts w:eastAsia="Times New Roman" w:cs="Arial"/>
                  <w:lang w:val="en-US" w:eastAsia="en-US"/>
                </w:rPr>
                <w:t>HMRC Inline XBRL Style Guide</w:t>
              </w:r>
            </w:hyperlink>
            <w:r w:rsidRPr="00C34177">
              <w:rPr>
                <w:rFonts w:eastAsia="Times New Roman" w:cs="Arial"/>
                <w:lang w:val="en-US" w:eastAsia="en-US"/>
              </w:rPr>
              <w:t xml:space="preserve"> gives further technical information on the use of the hidden section. </w:t>
            </w:r>
          </w:p>
        </w:tc>
      </w:tr>
      <w:tr w:rsidR="00FD6681" w:rsidRPr="00C34177" w:rsidTr="00FD6681">
        <w:trPr>
          <w:cantSplit/>
          <w:trHeight w:val="240"/>
        </w:trPr>
        <w:tc>
          <w:tcPr>
            <w:tcW w:w="606" w:type="dxa"/>
            <w:tcBorders>
              <w:top w:val="single" w:sz="4" w:space="0" w:color="auto"/>
              <w:left w:val="single" w:sz="4" w:space="0" w:color="auto"/>
              <w:bottom w:val="single" w:sz="4" w:space="0" w:color="auto"/>
              <w:right w:val="single" w:sz="4" w:space="0" w:color="auto"/>
            </w:tcBorders>
            <w:noWrap/>
            <w:vAlign w:val="center"/>
          </w:tcPr>
          <w:p w:rsidR="00FD6681" w:rsidRPr="00C34177" w:rsidRDefault="00FD6681" w:rsidP="00C34177">
            <w:pPr>
              <w:spacing w:before="60" w:after="60"/>
              <w:jc w:val="left"/>
              <w:rPr>
                <w:rFonts w:eastAsia="Times New Roman" w:cs="Arial"/>
                <w:lang w:val="en-US" w:eastAsia="en-US"/>
              </w:rPr>
            </w:pPr>
            <w:r w:rsidRPr="00C34177">
              <w:rPr>
                <w:rFonts w:eastAsia="Times New Roman" w:cs="Arial"/>
                <w:lang w:val="en-US" w:eastAsia="en-US"/>
              </w:rPr>
              <w:t>4.24</w:t>
            </w:r>
          </w:p>
        </w:tc>
        <w:tc>
          <w:tcPr>
            <w:tcW w:w="1718" w:type="dxa"/>
            <w:tcBorders>
              <w:top w:val="single" w:sz="4" w:space="0" w:color="auto"/>
              <w:left w:val="nil"/>
              <w:bottom w:val="single" w:sz="4" w:space="0" w:color="auto"/>
              <w:right w:val="single" w:sz="4" w:space="0" w:color="auto"/>
            </w:tcBorders>
            <w:shd w:val="clear" w:color="auto" w:fill="auto"/>
            <w:vAlign w:val="center"/>
          </w:tcPr>
          <w:p w:rsidR="00FD6681" w:rsidRPr="00C34177" w:rsidRDefault="00FD6681" w:rsidP="00C34177">
            <w:pPr>
              <w:spacing w:before="60" w:after="60"/>
              <w:jc w:val="left"/>
              <w:rPr>
                <w:rFonts w:eastAsia="Times New Roman" w:cs="Arial"/>
                <w:lang w:val="en-US" w:eastAsia="en-US"/>
              </w:rPr>
            </w:pPr>
            <w:bookmarkStart w:id="12" w:name="XR_PredefValues"/>
            <w:r w:rsidRPr="00C34177">
              <w:rPr>
                <w:rFonts w:eastAsia="Times New Roman" w:cs="Arial"/>
                <w:lang w:val="en-US" w:eastAsia="en-US"/>
              </w:rPr>
              <w:t>Tags which must be used with predefined values</w:t>
            </w:r>
            <w:bookmarkEnd w:id="12"/>
          </w:p>
        </w:tc>
        <w:tc>
          <w:tcPr>
            <w:tcW w:w="6907" w:type="dxa"/>
            <w:tcBorders>
              <w:top w:val="single" w:sz="4" w:space="0" w:color="auto"/>
              <w:left w:val="nil"/>
              <w:bottom w:val="single" w:sz="4" w:space="0" w:color="auto"/>
              <w:right w:val="single" w:sz="4" w:space="0" w:color="auto"/>
            </w:tcBorders>
            <w:shd w:val="clear" w:color="auto" w:fill="auto"/>
            <w:vAlign w:val="center"/>
          </w:tcPr>
          <w:p w:rsidR="0043483A" w:rsidRDefault="00FD6681" w:rsidP="00C34177">
            <w:pPr>
              <w:spacing w:before="60" w:after="60"/>
              <w:jc w:val="left"/>
              <w:rPr>
                <w:rFonts w:eastAsia="Times New Roman" w:cs="Arial"/>
                <w:lang w:val="en-US" w:eastAsia="en-US"/>
              </w:rPr>
            </w:pPr>
            <w:r w:rsidRPr="00C34177">
              <w:rPr>
                <w:rFonts w:eastAsia="Times New Roman" w:cs="Arial"/>
                <w:lang w:val="en-US" w:eastAsia="en-US"/>
              </w:rPr>
              <w:t>A small number of tags in the taxonomies must be used to tag predefined values.  (Such tags are identified by their data type.)  Most, such as '</w:t>
            </w:r>
            <w:r w:rsidRPr="00A94893">
              <w:rPr>
                <w:rFonts w:eastAsia="Times New Roman" w:cs="Arial"/>
                <w:i/>
                <w:color w:val="FF0000"/>
                <w:lang w:val="en-US" w:eastAsia="en-US"/>
              </w:rPr>
              <w:t>Description of period covered by report</w:t>
            </w:r>
            <w:r w:rsidRPr="00C34177">
              <w:rPr>
                <w:rFonts w:eastAsia="Times New Roman" w:cs="Arial"/>
                <w:lang w:val="en-US" w:eastAsia="en-US"/>
              </w:rPr>
              <w:t xml:space="preserve">', do </w:t>
            </w:r>
            <w:r w:rsidRPr="00C34177">
              <w:rPr>
                <w:rFonts w:eastAsia="Times New Roman" w:cs="Arial"/>
                <w:b/>
                <w:bCs/>
                <w:lang w:val="en-US" w:eastAsia="en-US"/>
              </w:rPr>
              <w:t>not</w:t>
            </w:r>
            <w:r w:rsidRPr="00C34177">
              <w:rPr>
                <w:rFonts w:eastAsia="Times New Roman" w:cs="Arial"/>
                <w:lang w:val="en-US" w:eastAsia="en-US"/>
              </w:rPr>
              <w:t xml:space="preserve"> have to be used at this stage</w:t>
            </w:r>
            <w:r w:rsidR="00F86DCF">
              <w:rPr>
                <w:rFonts w:eastAsia="Times New Roman" w:cs="Arial"/>
                <w:lang w:val="en-US" w:eastAsia="en-US"/>
              </w:rPr>
              <w:t xml:space="preserve"> of XBRL implementation</w:t>
            </w:r>
            <w:r w:rsidRPr="00C34177">
              <w:rPr>
                <w:rFonts w:eastAsia="Times New Roman" w:cs="Arial"/>
                <w:lang w:val="en-US" w:eastAsia="en-US"/>
              </w:rPr>
              <w:t>.  However, if they are used, they must be used to tag text strings which exactly</w:t>
            </w:r>
            <w:r w:rsidR="004B2BA2">
              <w:rPr>
                <w:rFonts w:eastAsia="Times New Roman" w:cs="Arial"/>
                <w:lang w:val="en-US" w:eastAsia="en-US"/>
              </w:rPr>
              <w:t xml:space="preserve"> match the predefined values.  </w:t>
            </w:r>
            <w:r w:rsidRPr="00C34177">
              <w:rPr>
                <w:rFonts w:eastAsia="Times New Roman" w:cs="Arial"/>
                <w:lang w:val="en-US" w:eastAsia="en-US"/>
              </w:rPr>
              <w:t>For example, one predefined value of the 'Description of period covered by report'</w:t>
            </w:r>
            <w:r w:rsidR="00A94893">
              <w:rPr>
                <w:rFonts w:eastAsia="Times New Roman" w:cs="Arial"/>
                <w:lang w:val="en-US" w:eastAsia="en-US"/>
              </w:rPr>
              <w:t xml:space="preserve"> tag</w:t>
            </w:r>
            <w:r w:rsidRPr="00C34177">
              <w:rPr>
                <w:rFonts w:eastAsia="Times New Roman" w:cs="Arial"/>
                <w:lang w:val="en-US" w:eastAsia="en-US"/>
              </w:rPr>
              <w:t xml:space="preserve"> is</w:t>
            </w:r>
            <w:r w:rsidR="007A51EA">
              <w:rPr>
                <w:rFonts w:eastAsia="Times New Roman" w:cs="Arial"/>
                <w:lang w:val="en-US" w:eastAsia="en-US"/>
              </w:rPr>
              <w:t xml:space="preserve"> 'FY', meaning financial year.  </w:t>
            </w:r>
            <w:r w:rsidRPr="00C34177">
              <w:rPr>
                <w:rFonts w:eastAsia="Times New Roman" w:cs="Arial"/>
                <w:lang w:val="en-US" w:eastAsia="en-US"/>
              </w:rPr>
              <w:t>If necessary, these values can be included in the ix:hidden section.  It is up to software to ensure such tags are</w:t>
            </w:r>
            <w:r w:rsidR="007A51EA">
              <w:rPr>
                <w:rFonts w:eastAsia="Times New Roman" w:cs="Arial"/>
                <w:lang w:val="en-US" w:eastAsia="en-US"/>
              </w:rPr>
              <w:t xml:space="preserve"> used correctly by preparers.  </w:t>
            </w:r>
          </w:p>
          <w:p w:rsidR="0043483A" w:rsidRDefault="00FD6681" w:rsidP="00C34177">
            <w:pPr>
              <w:spacing w:before="60" w:after="60"/>
              <w:jc w:val="left"/>
              <w:rPr>
                <w:rFonts w:eastAsia="Times New Roman" w:cs="Arial"/>
                <w:lang w:val="en-US" w:eastAsia="en-US"/>
              </w:rPr>
            </w:pPr>
            <w:r w:rsidRPr="00C34177">
              <w:rPr>
                <w:rFonts w:eastAsia="Times New Roman" w:cs="Arial"/>
                <w:lang w:val="en-US" w:eastAsia="en-US"/>
              </w:rPr>
              <w:t xml:space="preserve">One tag of this type in the IFRS taxonomy may sometimes be required in current filing.  It defines the model used to measure investment property. </w:t>
            </w:r>
            <w:r w:rsidR="00897F28">
              <w:rPr>
                <w:rFonts w:eastAsia="Times New Roman" w:cs="Arial"/>
                <w:lang w:val="en-US" w:eastAsia="en-US"/>
              </w:rPr>
              <w:t xml:space="preserve"> </w:t>
            </w:r>
            <w:r w:rsidR="00897F28" w:rsidRPr="00897F28">
              <w:rPr>
                <w:rFonts w:eastAsia="Times New Roman" w:cs="Arial"/>
                <w:lang w:val="en-US" w:eastAsia="en-US"/>
              </w:rPr>
              <w:t xml:space="preserve">Its use is described in </w:t>
            </w:r>
            <w:hyperlink w:anchor="XR_InvPropMod" w:history="1">
              <w:r w:rsidR="005C4817">
                <w:rPr>
                  <w:rStyle w:val="Hyperlink"/>
                  <w:rFonts w:eastAsia="Times New Roman" w:cs="Arial"/>
                  <w:lang w:val="en-US" w:eastAsia="en-US"/>
                </w:rPr>
                <w:t>item</w:t>
              </w:r>
              <w:r w:rsidR="00897F28" w:rsidRPr="00897F28">
                <w:rPr>
                  <w:rStyle w:val="Hyperlink"/>
                  <w:rFonts w:eastAsia="Times New Roman" w:cs="Arial"/>
                  <w:lang w:val="en-US" w:eastAsia="en-US"/>
                </w:rPr>
                <w:t xml:space="preserve"> 9.</w:t>
              </w:r>
              <w:r w:rsidR="00897F28" w:rsidRPr="00897F28">
                <w:rPr>
                  <w:rStyle w:val="Hyperlink"/>
                  <w:rFonts w:eastAsia="Times New Roman" w:cs="Arial"/>
                  <w:lang w:val="en-US" w:eastAsia="en-US"/>
                </w:rPr>
                <w:t>2</w:t>
              </w:r>
              <w:r w:rsidR="005B6247">
                <w:rPr>
                  <w:rStyle w:val="Hyperlink"/>
                  <w:rFonts w:eastAsia="Times New Roman" w:cs="Arial"/>
                  <w:lang w:val="en-US" w:eastAsia="en-US"/>
                </w:rPr>
                <w:t>8</w:t>
              </w:r>
            </w:hyperlink>
            <w:r w:rsidR="00897F28" w:rsidRPr="00897F28">
              <w:rPr>
                <w:rFonts w:eastAsia="Times New Roman" w:cs="Arial"/>
                <w:lang w:val="en-US" w:eastAsia="en-US"/>
              </w:rPr>
              <w:t xml:space="preserve"> under IFRS.</w:t>
            </w:r>
            <w:r w:rsidR="00897F28">
              <w:rPr>
                <w:rFonts w:eastAsia="Times New Roman" w:cs="Arial"/>
                <w:lang w:val="en-US" w:eastAsia="en-US"/>
              </w:rPr>
              <w:t xml:space="preserve">  </w:t>
            </w:r>
          </w:p>
          <w:p w:rsidR="00FD6681" w:rsidRPr="007A51EA" w:rsidRDefault="00BC10AB" w:rsidP="00C34177">
            <w:pPr>
              <w:spacing w:before="60" w:after="60"/>
              <w:jc w:val="left"/>
              <w:rPr>
                <w:rFonts w:eastAsia="Times New Roman" w:cs="Arial"/>
                <w:lang w:val="en-US" w:eastAsia="en-US"/>
              </w:rPr>
            </w:pPr>
            <w:hyperlink w:anchor="_14_Predefined_value" w:history="1">
              <w:r w:rsidR="007A51EA" w:rsidRPr="00BC10AB">
                <w:rPr>
                  <w:rStyle w:val="Hyperlink"/>
                  <w:rFonts w:eastAsia="Times New Roman" w:cs="Arial"/>
                  <w:lang w:val="en-US" w:eastAsia="en-US"/>
                </w:rPr>
                <w:t>Section 14</w:t>
              </w:r>
            </w:hyperlink>
            <w:r w:rsidR="007A51EA" w:rsidRPr="007A51EA">
              <w:rPr>
                <w:rFonts w:eastAsia="Times New Roman" w:cs="Arial"/>
                <w:lang w:val="en-US" w:eastAsia="en-US"/>
              </w:rPr>
              <w:t xml:space="preserve"> in this document provides further information, including a full list of tags carrying predefined values.  </w:t>
            </w:r>
          </w:p>
        </w:tc>
      </w:tr>
    </w:tbl>
    <w:p w:rsidR="00DA5C5B" w:rsidRDefault="00DA5C5B">
      <w:pPr>
        <w:rPr>
          <w:rFonts w:cs="Arial"/>
        </w:rPr>
      </w:pPr>
    </w:p>
    <w:p w:rsidR="00DA5C5B" w:rsidRPr="005044D1" w:rsidRDefault="005044D1" w:rsidP="005044D1">
      <w:pPr>
        <w:pStyle w:val="Heading1"/>
      </w:pPr>
      <w:r>
        <w:br w:type="page"/>
      </w:r>
      <w:bookmarkStart w:id="13" w:name="_Toc292036822"/>
      <w:r w:rsidRPr="005044D1">
        <w:lastRenderedPageBreak/>
        <w:t>5</w:t>
      </w:r>
      <w:r w:rsidRPr="005044D1">
        <w:tab/>
        <w:t>Data entry</w:t>
      </w:r>
      <w:bookmarkEnd w:id="13"/>
    </w:p>
    <w:p w:rsidR="00DA5C5B" w:rsidRDefault="00DA5C5B">
      <w:pPr>
        <w:rPr>
          <w:rFonts w:cs="Arial"/>
        </w:rPr>
      </w:pPr>
    </w:p>
    <w:tbl>
      <w:tblPr>
        <w:tblW w:w="9231" w:type="dxa"/>
        <w:tblInd w:w="91" w:type="dxa"/>
        <w:tblLook w:val="0000"/>
      </w:tblPr>
      <w:tblGrid>
        <w:gridCol w:w="495"/>
        <w:gridCol w:w="1728"/>
        <w:gridCol w:w="7008"/>
      </w:tblGrid>
      <w:tr w:rsidR="00FD6681" w:rsidRPr="00D50F7D" w:rsidTr="00FD6681">
        <w:trPr>
          <w:cantSplit/>
          <w:trHeight w:val="240"/>
          <w:tblHeader/>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6681" w:rsidRPr="00D87AA9" w:rsidRDefault="00FD6681" w:rsidP="007C2E56">
            <w:pPr>
              <w:spacing w:before="60" w:after="60"/>
              <w:jc w:val="left"/>
              <w:rPr>
                <w:rFonts w:eastAsia="Times New Roman" w:cs="Arial"/>
                <w:b/>
                <w:bCs/>
                <w:lang w:val="en-US" w:eastAsia="en-US"/>
              </w:rPr>
            </w:pPr>
            <w:r w:rsidRPr="00D87AA9">
              <w:rPr>
                <w:rFonts w:eastAsia="Times New Roman" w:cs="Arial"/>
                <w:b/>
                <w:bCs/>
                <w:lang w:val="en-US" w:eastAsia="en-US"/>
              </w:rPr>
              <w:t>ID</w:t>
            </w:r>
          </w:p>
        </w:tc>
        <w:tc>
          <w:tcPr>
            <w:tcW w:w="1728" w:type="dxa"/>
            <w:tcBorders>
              <w:top w:val="single" w:sz="4" w:space="0" w:color="auto"/>
              <w:left w:val="nil"/>
              <w:bottom w:val="single" w:sz="4" w:space="0" w:color="auto"/>
              <w:right w:val="single" w:sz="4" w:space="0" w:color="auto"/>
            </w:tcBorders>
            <w:shd w:val="clear" w:color="auto" w:fill="auto"/>
            <w:vAlign w:val="center"/>
          </w:tcPr>
          <w:p w:rsidR="00FD6681" w:rsidRPr="00D87AA9" w:rsidRDefault="00FD6681" w:rsidP="007C2E56">
            <w:pPr>
              <w:spacing w:before="60" w:after="60"/>
              <w:jc w:val="left"/>
              <w:rPr>
                <w:rFonts w:eastAsia="Times New Roman" w:cs="Arial"/>
                <w:b/>
                <w:bCs/>
                <w:lang w:val="en-US" w:eastAsia="en-US"/>
              </w:rPr>
            </w:pPr>
            <w:r w:rsidRPr="00D87AA9">
              <w:rPr>
                <w:rFonts w:eastAsia="Times New Roman" w:cs="Arial"/>
                <w:b/>
                <w:bCs/>
                <w:lang w:val="en-US" w:eastAsia="en-US"/>
              </w:rPr>
              <w:t>Item</w:t>
            </w:r>
          </w:p>
        </w:tc>
        <w:tc>
          <w:tcPr>
            <w:tcW w:w="7008" w:type="dxa"/>
            <w:tcBorders>
              <w:top w:val="single" w:sz="4" w:space="0" w:color="auto"/>
              <w:left w:val="nil"/>
              <w:bottom w:val="single" w:sz="4" w:space="0" w:color="auto"/>
              <w:right w:val="single" w:sz="4" w:space="0" w:color="auto"/>
            </w:tcBorders>
            <w:shd w:val="clear" w:color="auto" w:fill="auto"/>
            <w:vAlign w:val="center"/>
          </w:tcPr>
          <w:p w:rsidR="00FD6681" w:rsidRPr="00D87AA9" w:rsidRDefault="00FD6681" w:rsidP="007C2E56">
            <w:pPr>
              <w:spacing w:before="60" w:after="60"/>
              <w:jc w:val="left"/>
              <w:rPr>
                <w:rFonts w:eastAsia="Times New Roman" w:cs="Arial"/>
                <w:b/>
                <w:bCs/>
                <w:lang w:val="en-US" w:eastAsia="en-US"/>
              </w:rPr>
            </w:pPr>
            <w:r w:rsidRPr="00D87AA9">
              <w:rPr>
                <w:rFonts w:eastAsia="Times New Roman" w:cs="Arial"/>
                <w:b/>
                <w:bCs/>
                <w:lang w:val="en-US" w:eastAsia="en-US"/>
              </w:rPr>
              <w:t>Description</w:t>
            </w:r>
          </w:p>
        </w:tc>
      </w:tr>
      <w:tr w:rsidR="00FD6681" w:rsidRPr="005044D1" w:rsidTr="00FD6681">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6681" w:rsidRPr="005044D1" w:rsidRDefault="00FD6681" w:rsidP="005044D1">
            <w:pPr>
              <w:spacing w:before="60" w:after="60"/>
              <w:jc w:val="left"/>
              <w:rPr>
                <w:rFonts w:eastAsia="Times New Roman" w:cs="Arial"/>
                <w:lang w:val="en-US" w:eastAsia="en-US"/>
              </w:rPr>
            </w:pPr>
            <w:r w:rsidRPr="005044D1">
              <w:rPr>
                <w:rFonts w:eastAsia="Times New Roman" w:cs="Arial"/>
                <w:lang w:val="en-US" w:eastAsia="en-US"/>
              </w:rPr>
              <w:t>5.1</w:t>
            </w:r>
          </w:p>
        </w:tc>
        <w:tc>
          <w:tcPr>
            <w:tcW w:w="1728" w:type="dxa"/>
            <w:tcBorders>
              <w:top w:val="single" w:sz="4" w:space="0" w:color="auto"/>
              <w:left w:val="nil"/>
              <w:bottom w:val="single" w:sz="4" w:space="0" w:color="auto"/>
              <w:right w:val="single" w:sz="4" w:space="0" w:color="auto"/>
            </w:tcBorders>
            <w:shd w:val="clear" w:color="auto" w:fill="auto"/>
            <w:vAlign w:val="center"/>
          </w:tcPr>
          <w:p w:rsidR="00FD6681" w:rsidRPr="005044D1" w:rsidRDefault="00FD6681" w:rsidP="005044D1">
            <w:pPr>
              <w:spacing w:before="60" w:after="60"/>
              <w:jc w:val="left"/>
              <w:rPr>
                <w:rFonts w:eastAsia="Times New Roman" w:cs="Arial"/>
                <w:lang w:val="en-US" w:eastAsia="en-US"/>
              </w:rPr>
            </w:pPr>
            <w:r w:rsidRPr="005044D1">
              <w:rPr>
                <w:rFonts w:eastAsia="Times New Roman" w:cs="Arial"/>
                <w:lang w:val="en-US" w:eastAsia="en-US"/>
              </w:rPr>
              <w:t>Positive and negative numbers</w:t>
            </w:r>
          </w:p>
        </w:tc>
        <w:tc>
          <w:tcPr>
            <w:tcW w:w="7008" w:type="dxa"/>
            <w:tcBorders>
              <w:top w:val="single" w:sz="4" w:space="0" w:color="auto"/>
              <w:left w:val="nil"/>
              <w:bottom w:val="single" w:sz="4" w:space="0" w:color="auto"/>
              <w:right w:val="single" w:sz="4" w:space="0" w:color="auto"/>
            </w:tcBorders>
            <w:shd w:val="clear" w:color="auto" w:fill="auto"/>
            <w:vAlign w:val="center"/>
          </w:tcPr>
          <w:p w:rsidR="0043483A" w:rsidRDefault="00FD6681" w:rsidP="005044D1">
            <w:pPr>
              <w:spacing w:before="60" w:after="60"/>
              <w:jc w:val="left"/>
              <w:rPr>
                <w:rFonts w:eastAsia="Times New Roman" w:cs="Arial"/>
                <w:lang w:val="en-US" w:eastAsia="en-US"/>
              </w:rPr>
            </w:pPr>
            <w:r w:rsidRPr="005044D1">
              <w:rPr>
                <w:rFonts w:eastAsia="Times New Roman" w:cs="Arial"/>
                <w:lang w:val="en-US" w:eastAsia="en-US"/>
              </w:rPr>
              <w:t xml:space="preserve">Preparers MUST follow the rules set out in </w:t>
            </w:r>
            <w:r w:rsidRPr="005044D1">
              <w:rPr>
                <w:rFonts w:eastAsia="Times New Roman" w:cs="Arial"/>
                <w:b/>
                <w:bCs/>
                <w:lang w:val="en-US" w:eastAsia="en-US"/>
              </w:rPr>
              <w:t>section 5.3</w:t>
            </w:r>
            <w:r w:rsidRPr="005044D1">
              <w:rPr>
                <w:rFonts w:eastAsia="Times New Roman" w:cs="Arial"/>
                <w:lang w:val="en-US" w:eastAsia="en-US"/>
              </w:rPr>
              <w:t xml:space="preserve"> of the </w:t>
            </w:r>
            <w:hyperlink w:anchor="PDGuide" w:history="1">
              <w:r w:rsidR="00D509E0" w:rsidRPr="00D87AA9">
                <w:rPr>
                  <w:rStyle w:val="Hyperlink"/>
                  <w:rFonts w:eastAsia="Times New Roman" w:cs="Arial"/>
                  <w:lang w:val="en-US" w:eastAsia="en-US"/>
                </w:rPr>
                <w:t>Preparers &amp; Developers Guide</w:t>
              </w:r>
            </w:hyperlink>
            <w:r w:rsidRPr="005044D1">
              <w:rPr>
                <w:rFonts w:eastAsia="Times New Roman" w:cs="Arial"/>
                <w:lang w:val="en-US" w:eastAsia="en-US"/>
              </w:rPr>
              <w:t xml:space="preserve"> in determining whether a number is entered as positive or negative.  </w:t>
            </w:r>
            <w:r w:rsidR="00317B22" w:rsidRPr="005044D1">
              <w:rPr>
                <w:rFonts w:eastAsia="Times New Roman" w:cs="Arial"/>
                <w:lang w:val="en-US" w:eastAsia="en-US"/>
              </w:rPr>
              <w:t xml:space="preserve">This requires that data is entered as positive unless the meaning of a value is the </w:t>
            </w:r>
            <w:r w:rsidR="00317B22" w:rsidRPr="005044D1">
              <w:rPr>
                <w:rFonts w:eastAsia="Times New Roman" w:cs="Arial"/>
                <w:b/>
                <w:bCs/>
                <w:lang w:val="en-US" w:eastAsia="en-US"/>
              </w:rPr>
              <w:t>opposite</w:t>
            </w:r>
            <w:r w:rsidR="00317B22">
              <w:rPr>
                <w:rFonts w:eastAsia="Times New Roman" w:cs="Arial"/>
                <w:lang w:val="en-US" w:eastAsia="en-US"/>
              </w:rPr>
              <w:t xml:space="preserve"> of that indicated in the taxonomy l</w:t>
            </w:r>
            <w:r w:rsidR="00317B22" w:rsidRPr="005044D1">
              <w:rPr>
                <w:rFonts w:eastAsia="Times New Roman" w:cs="Arial"/>
                <w:lang w:val="en-US" w:eastAsia="en-US"/>
              </w:rPr>
              <w:t xml:space="preserve">abel, in which case the data should be entered as negative.  </w:t>
            </w:r>
          </w:p>
          <w:p w:rsidR="002A0771" w:rsidRDefault="009C404E" w:rsidP="005044D1">
            <w:pPr>
              <w:spacing w:before="60" w:after="60"/>
              <w:jc w:val="left"/>
              <w:rPr>
                <w:rFonts w:eastAsia="Times New Roman" w:cs="Arial"/>
                <w:lang w:val="en-US" w:eastAsia="en-US"/>
              </w:rPr>
            </w:pPr>
            <w:r>
              <w:rPr>
                <w:rFonts w:eastAsia="Times New Roman" w:cs="Arial"/>
                <w:lang w:val="en-US" w:eastAsia="en-US"/>
              </w:rPr>
              <w:t>For example,</w:t>
            </w:r>
            <w:r w:rsidRPr="002A0771">
              <w:rPr>
                <w:rFonts w:eastAsia="Times New Roman" w:cs="Arial"/>
                <w:i/>
                <w:lang w:val="en-US" w:eastAsia="en-US"/>
              </w:rPr>
              <w:t xml:space="preserve"> “Operating loss  25”</w:t>
            </w:r>
            <w:r>
              <w:rPr>
                <w:rFonts w:eastAsia="Times New Roman" w:cs="Arial"/>
                <w:lang w:val="en-US" w:eastAsia="en-US"/>
              </w:rPr>
              <w:t xml:space="preserve"> </w:t>
            </w:r>
            <w:r w:rsidR="002A0771">
              <w:rPr>
                <w:rFonts w:eastAsia="Times New Roman" w:cs="Arial"/>
                <w:lang w:val="en-US" w:eastAsia="en-US"/>
              </w:rPr>
              <w:t>must</w:t>
            </w:r>
            <w:r>
              <w:rPr>
                <w:rFonts w:eastAsia="Times New Roman" w:cs="Arial"/>
                <w:lang w:val="en-US" w:eastAsia="en-US"/>
              </w:rPr>
              <w:t xml:space="preserve"> be entered as a negative value, since the taxonomy label ‘</w:t>
            </w:r>
            <w:r w:rsidRPr="009C404E">
              <w:rPr>
                <w:rFonts w:eastAsia="Times New Roman" w:cs="Arial"/>
                <w:i/>
                <w:color w:val="FF0000"/>
                <w:lang w:val="en-US" w:eastAsia="en-US"/>
              </w:rPr>
              <w:t>Operating profit (loss)</w:t>
            </w:r>
            <w:r>
              <w:rPr>
                <w:rFonts w:eastAsia="Times New Roman" w:cs="Arial"/>
                <w:lang w:val="en-US" w:eastAsia="en-US"/>
              </w:rPr>
              <w:t xml:space="preserve">’ indicates a profit is positive and a loss is negative.  </w:t>
            </w:r>
          </w:p>
          <w:p w:rsidR="009C404E" w:rsidRDefault="009C404E" w:rsidP="005044D1">
            <w:pPr>
              <w:spacing w:before="60" w:after="60"/>
              <w:jc w:val="left"/>
              <w:rPr>
                <w:rFonts w:eastAsia="Times New Roman" w:cs="Arial"/>
                <w:lang w:val="en-US" w:eastAsia="en-US"/>
              </w:rPr>
            </w:pPr>
            <w:r>
              <w:rPr>
                <w:rFonts w:eastAsia="Times New Roman" w:cs="Arial"/>
                <w:lang w:val="en-US" w:eastAsia="en-US"/>
              </w:rPr>
              <w:t xml:space="preserve">Note that the sign on an item in human readable accounts does </w:t>
            </w:r>
            <w:r w:rsidRPr="002A0771">
              <w:rPr>
                <w:rFonts w:eastAsia="Times New Roman" w:cs="Arial"/>
                <w:b/>
                <w:lang w:val="en-US" w:eastAsia="en-US"/>
              </w:rPr>
              <w:t>not</w:t>
            </w:r>
            <w:r>
              <w:rPr>
                <w:rFonts w:eastAsia="Times New Roman" w:cs="Arial"/>
                <w:lang w:val="en-US" w:eastAsia="en-US"/>
              </w:rPr>
              <w:t xml:space="preserve"> </w:t>
            </w:r>
            <w:r w:rsidR="002A0771">
              <w:rPr>
                <w:rFonts w:eastAsia="Times New Roman" w:cs="Arial"/>
                <w:lang w:val="en-US" w:eastAsia="en-US"/>
              </w:rPr>
              <w:t xml:space="preserve">necessarily </w:t>
            </w:r>
            <w:r>
              <w:rPr>
                <w:rFonts w:eastAsia="Times New Roman" w:cs="Arial"/>
                <w:lang w:val="en-US" w:eastAsia="en-US"/>
              </w:rPr>
              <w:t>indicate its correct sign in XBRL.  The presence of a sign may simply represent a calculation relation</w:t>
            </w:r>
            <w:r w:rsidR="002A0771">
              <w:rPr>
                <w:rFonts w:eastAsia="Times New Roman" w:cs="Arial"/>
                <w:lang w:val="en-US" w:eastAsia="en-US"/>
              </w:rPr>
              <w:t>ship</w:t>
            </w:r>
            <w:r>
              <w:rPr>
                <w:rFonts w:eastAsia="Times New Roman" w:cs="Arial"/>
                <w:lang w:val="en-US" w:eastAsia="en-US"/>
              </w:rPr>
              <w:t xml:space="preserve">.  For example, </w:t>
            </w:r>
            <w:r w:rsidRPr="002A0771">
              <w:rPr>
                <w:rFonts w:eastAsia="Times New Roman" w:cs="Arial"/>
                <w:i/>
                <w:lang w:val="en-US" w:eastAsia="en-US"/>
              </w:rPr>
              <w:t>“Distribution costs  -10”</w:t>
            </w:r>
            <w:r>
              <w:rPr>
                <w:rFonts w:eastAsia="Times New Roman" w:cs="Arial"/>
                <w:lang w:val="en-US" w:eastAsia="en-US"/>
              </w:rPr>
              <w:t xml:space="preserve"> </w:t>
            </w:r>
            <w:r w:rsidR="002A0771">
              <w:rPr>
                <w:rFonts w:eastAsia="Times New Roman" w:cs="Arial"/>
                <w:lang w:val="en-US" w:eastAsia="en-US"/>
              </w:rPr>
              <w:t>will typically</w:t>
            </w:r>
            <w:r>
              <w:rPr>
                <w:rFonts w:eastAsia="Times New Roman" w:cs="Arial"/>
                <w:lang w:val="en-US" w:eastAsia="en-US"/>
              </w:rPr>
              <w:t xml:space="preserve"> indicate that the amount is being deducted</w:t>
            </w:r>
            <w:r w:rsidR="002A0771">
              <w:rPr>
                <w:rFonts w:eastAsia="Times New Roman" w:cs="Arial"/>
                <w:lang w:val="en-US" w:eastAsia="en-US"/>
              </w:rPr>
              <w:t xml:space="preserve"> from other figures in a financial table</w:t>
            </w:r>
            <w:r>
              <w:rPr>
                <w:rFonts w:eastAsia="Times New Roman" w:cs="Arial"/>
                <w:lang w:val="en-US" w:eastAsia="en-US"/>
              </w:rPr>
              <w:t xml:space="preserve">.  </w:t>
            </w:r>
            <w:r w:rsidR="002A0771">
              <w:rPr>
                <w:rFonts w:eastAsia="Times New Roman" w:cs="Arial"/>
                <w:lang w:val="en-US" w:eastAsia="en-US"/>
              </w:rPr>
              <w:t>Costs are 10 and this</w:t>
            </w:r>
            <w:r>
              <w:rPr>
                <w:rFonts w:eastAsia="Times New Roman" w:cs="Arial"/>
                <w:lang w:val="en-US" w:eastAsia="en-US"/>
              </w:rPr>
              <w:t xml:space="preserve"> value </w:t>
            </w:r>
            <w:r w:rsidR="002A0771">
              <w:rPr>
                <w:rFonts w:eastAsia="Times New Roman" w:cs="Arial"/>
                <w:lang w:val="en-US" w:eastAsia="en-US"/>
              </w:rPr>
              <w:t>must</w:t>
            </w:r>
            <w:r>
              <w:rPr>
                <w:rFonts w:eastAsia="Times New Roman" w:cs="Arial"/>
                <w:lang w:val="en-US" w:eastAsia="en-US"/>
              </w:rPr>
              <w:t xml:space="preserve"> be entered </w:t>
            </w:r>
            <w:r w:rsidR="002A0771">
              <w:rPr>
                <w:rFonts w:eastAsia="Times New Roman" w:cs="Arial"/>
                <w:lang w:val="en-US" w:eastAsia="en-US"/>
              </w:rPr>
              <w:t xml:space="preserve">as positive </w:t>
            </w:r>
            <w:r>
              <w:rPr>
                <w:rFonts w:eastAsia="Times New Roman" w:cs="Arial"/>
                <w:lang w:val="en-US" w:eastAsia="en-US"/>
              </w:rPr>
              <w:t xml:space="preserve">in line </w:t>
            </w:r>
            <w:r w:rsidR="002A0771">
              <w:rPr>
                <w:rFonts w:eastAsia="Times New Roman" w:cs="Arial"/>
                <w:lang w:val="en-US" w:eastAsia="en-US"/>
              </w:rPr>
              <w:t>with the taxonomy label ‘</w:t>
            </w:r>
            <w:r w:rsidR="002A0771" w:rsidRPr="002A0771">
              <w:rPr>
                <w:rFonts w:eastAsia="Times New Roman" w:cs="Arial"/>
                <w:i/>
                <w:color w:val="FF0000"/>
                <w:lang w:val="en-US" w:eastAsia="en-US"/>
              </w:rPr>
              <w:t>Distribution costs</w:t>
            </w:r>
            <w:r w:rsidR="002A0771">
              <w:rPr>
                <w:rFonts w:eastAsia="Times New Roman" w:cs="Arial"/>
                <w:lang w:val="en-US" w:eastAsia="en-US"/>
              </w:rPr>
              <w:t xml:space="preserve">’.  In determining sign, preparers </w:t>
            </w:r>
            <w:r w:rsidR="002A0771" w:rsidRPr="002A0771">
              <w:rPr>
                <w:rFonts w:eastAsia="Times New Roman" w:cs="Arial"/>
                <w:b/>
                <w:lang w:val="en-US" w:eastAsia="en-US"/>
              </w:rPr>
              <w:t>must</w:t>
            </w:r>
            <w:r w:rsidR="002A0771">
              <w:rPr>
                <w:rFonts w:eastAsia="Times New Roman" w:cs="Arial"/>
                <w:lang w:val="en-US" w:eastAsia="en-US"/>
              </w:rPr>
              <w:t xml:space="preserve"> consider the real meaning of a value and the description of the item in the taxonomy label.  </w:t>
            </w:r>
          </w:p>
          <w:p w:rsidR="00FD6681" w:rsidRPr="005044D1" w:rsidRDefault="00FD6681" w:rsidP="005044D1">
            <w:pPr>
              <w:spacing w:before="60" w:after="60"/>
              <w:jc w:val="left"/>
              <w:rPr>
                <w:rFonts w:eastAsia="Times New Roman" w:cs="Arial"/>
                <w:lang w:val="en-US" w:eastAsia="en-US"/>
              </w:rPr>
            </w:pPr>
            <w:r w:rsidRPr="005044D1">
              <w:rPr>
                <w:rFonts w:eastAsia="Times New Roman" w:cs="Arial"/>
                <w:lang w:val="en-US" w:eastAsia="en-US"/>
              </w:rPr>
              <w:t>Not all taxonomy labels which may represent positive or negative values contain bracketed terms.  For example, ‘</w:t>
            </w:r>
            <w:r w:rsidRPr="00A94893">
              <w:rPr>
                <w:rFonts w:eastAsia="Times New Roman" w:cs="Arial"/>
                <w:i/>
                <w:color w:val="FF0000"/>
                <w:lang w:val="en-US" w:eastAsia="en-US"/>
              </w:rPr>
              <w:t>Gross profit</w:t>
            </w:r>
            <w:r w:rsidRPr="005044D1">
              <w:rPr>
                <w:rFonts w:eastAsia="Times New Roman" w:cs="Arial"/>
                <w:lang w:val="en-US" w:eastAsia="en-US"/>
              </w:rPr>
              <w:t xml:space="preserve">’ in the IFRS taxonomy is missing a (loss) term.  In these cases, preparers should still follow the general rule.   In very unusual cases, items </w:t>
            </w:r>
            <w:r w:rsidR="00686066" w:rsidRPr="005044D1">
              <w:rPr>
                <w:rFonts w:eastAsia="Times New Roman" w:cs="Arial"/>
                <w:lang w:val="en-US" w:eastAsia="en-US"/>
              </w:rPr>
              <w:t>like ‘</w:t>
            </w:r>
            <w:r w:rsidR="00686066" w:rsidRPr="00A94893">
              <w:rPr>
                <w:rFonts w:eastAsia="Times New Roman" w:cs="Arial"/>
                <w:i/>
                <w:color w:val="FF0000"/>
                <w:lang w:val="en-US" w:eastAsia="en-US"/>
              </w:rPr>
              <w:t>Cost</w:t>
            </w:r>
            <w:r w:rsidRPr="00A94893">
              <w:rPr>
                <w:rFonts w:eastAsia="Times New Roman" w:cs="Arial"/>
                <w:i/>
                <w:color w:val="FF0000"/>
                <w:lang w:val="en-US" w:eastAsia="en-US"/>
              </w:rPr>
              <w:t xml:space="preserve"> of sales</w:t>
            </w:r>
            <w:r w:rsidRPr="005044D1">
              <w:rPr>
                <w:rFonts w:eastAsia="Times New Roman" w:cs="Arial"/>
                <w:lang w:val="en-US" w:eastAsia="en-US"/>
              </w:rPr>
              <w:t xml:space="preserve">’ may also show a sign reversal (for example, when a large credit note exceeds purchases). </w:t>
            </w:r>
          </w:p>
        </w:tc>
      </w:tr>
      <w:tr w:rsidR="00FD6681" w:rsidRPr="005044D1" w:rsidTr="00FD6681">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6681" w:rsidRPr="00876879" w:rsidRDefault="00FD6681" w:rsidP="005044D1">
            <w:pPr>
              <w:spacing w:before="60" w:after="60"/>
              <w:jc w:val="left"/>
              <w:rPr>
                <w:rFonts w:eastAsia="Times New Roman" w:cs="Arial"/>
                <w:highlight w:val="yellow"/>
                <w:lang w:val="en-US" w:eastAsia="en-US"/>
              </w:rPr>
            </w:pPr>
            <w:r w:rsidRPr="00876879">
              <w:rPr>
                <w:rFonts w:eastAsia="Times New Roman" w:cs="Arial"/>
                <w:highlight w:val="yellow"/>
                <w:lang w:val="en-US" w:eastAsia="en-US"/>
              </w:rPr>
              <w:t>5.2</w:t>
            </w:r>
          </w:p>
        </w:tc>
        <w:tc>
          <w:tcPr>
            <w:tcW w:w="1728" w:type="dxa"/>
            <w:tcBorders>
              <w:top w:val="single" w:sz="4" w:space="0" w:color="auto"/>
              <w:left w:val="nil"/>
              <w:bottom w:val="single" w:sz="4" w:space="0" w:color="auto"/>
              <w:right w:val="single" w:sz="4" w:space="0" w:color="auto"/>
            </w:tcBorders>
            <w:shd w:val="clear" w:color="auto" w:fill="auto"/>
            <w:vAlign w:val="center"/>
          </w:tcPr>
          <w:p w:rsidR="00FD6681" w:rsidRPr="00876879" w:rsidRDefault="00FD6681" w:rsidP="005044D1">
            <w:pPr>
              <w:spacing w:before="60" w:after="60"/>
              <w:jc w:val="left"/>
              <w:rPr>
                <w:rFonts w:eastAsia="Times New Roman" w:cs="Arial"/>
                <w:highlight w:val="yellow"/>
                <w:lang w:val="en-US" w:eastAsia="en-US"/>
              </w:rPr>
            </w:pPr>
            <w:r w:rsidRPr="00876879">
              <w:rPr>
                <w:rFonts w:eastAsia="Times New Roman" w:cs="Arial"/>
                <w:highlight w:val="yellow"/>
                <w:lang w:val="en-US" w:eastAsia="en-US"/>
              </w:rPr>
              <w:t>Incorrect debit and credit attributes</w:t>
            </w:r>
          </w:p>
        </w:tc>
        <w:tc>
          <w:tcPr>
            <w:tcW w:w="7008" w:type="dxa"/>
            <w:tcBorders>
              <w:top w:val="single" w:sz="4" w:space="0" w:color="auto"/>
              <w:left w:val="nil"/>
              <w:bottom w:val="single" w:sz="4" w:space="0" w:color="auto"/>
              <w:right w:val="single" w:sz="4" w:space="0" w:color="auto"/>
            </w:tcBorders>
            <w:shd w:val="clear" w:color="auto" w:fill="auto"/>
            <w:vAlign w:val="center"/>
          </w:tcPr>
          <w:p w:rsidR="00FD6681" w:rsidRPr="005044D1" w:rsidRDefault="00FD6681" w:rsidP="005044D1">
            <w:pPr>
              <w:spacing w:before="60" w:after="60"/>
              <w:jc w:val="left"/>
              <w:rPr>
                <w:rFonts w:eastAsia="Times New Roman" w:cs="Arial"/>
                <w:lang w:val="en-US" w:eastAsia="en-US"/>
              </w:rPr>
            </w:pPr>
            <w:r w:rsidRPr="005044D1">
              <w:rPr>
                <w:rFonts w:eastAsia="Times New Roman" w:cs="Arial"/>
                <w:lang w:val="en-US" w:eastAsia="en-US"/>
              </w:rPr>
              <w:t xml:space="preserve">A small number of tags have incorrect debit and credit attributes.   </w:t>
            </w:r>
            <w:r w:rsidR="00A30368" w:rsidRPr="005044D1">
              <w:rPr>
                <w:rFonts w:eastAsia="Times New Roman" w:cs="Arial"/>
                <w:lang w:val="en-US" w:eastAsia="en-US"/>
              </w:rPr>
              <w:t>For example, '</w:t>
            </w:r>
            <w:r w:rsidR="00A30368" w:rsidRPr="00A94893">
              <w:rPr>
                <w:rFonts w:eastAsia="Times New Roman" w:cs="Arial"/>
                <w:i/>
                <w:color w:val="FF0000"/>
                <w:lang w:val="en-US" w:eastAsia="en-US"/>
              </w:rPr>
              <w:t>Research and development expens</w:t>
            </w:r>
            <w:r w:rsidR="00A30368">
              <w:rPr>
                <w:rFonts w:eastAsia="Times New Roman" w:cs="Arial"/>
                <w:i/>
                <w:color w:val="FF0000"/>
                <w:lang w:val="en-US" w:eastAsia="en-US"/>
              </w:rPr>
              <w:t>e'</w:t>
            </w:r>
            <w:r w:rsidR="00A30368">
              <w:rPr>
                <w:rFonts w:eastAsia="Times New Roman" w:cs="Arial"/>
                <w:lang w:val="en-US" w:eastAsia="en-US"/>
              </w:rPr>
              <w:t xml:space="preserve"> </w:t>
            </w:r>
            <w:r w:rsidR="00A30368" w:rsidRPr="005044D1">
              <w:rPr>
                <w:rFonts w:eastAsia="Times New Roman" w:cs="Arial"/>
                <w:lang w:val="en-US" w:eastAsia="en-US"/>
              </w:rPr>
              <w:t xml:space="preserve">in the IFRS taxonomy is incorrectly shown as a credit.  </w:t>
            </w:r>
            <w:r w:rsidRPr="005044D1">
              <w:rPr>
                <w:rFonts w:eastAsia="Times New Roman" w:cs="Arial"/>
                <w:lang w:val="en-US" w:eastAsia="en-US"/>
              </w:rPr>
              <w:t xml:space="preserve">In such cases, the label on the item takes precedence in determining the sign on the value in XBRL, in line with section 5.3 in the </w:t>
            </w:r>
            <w:hyperlink w:anchor="PDGuide" w:history="1">
              <w:r w:rsidR="00F47E7B" w:rsidRPr="00D87AA9">
                <w:rPr>
                  <w:rStyle w:val="Hyperlink"/>
                  <w:rFonts w:eastAsia="Times New Roman" w:cs="Arial"/>
                  <w:lang w:val="en-US" w:eastAsia="en-US"/>
                </w:rPr>
                <w:t>Preparers &amp; Developers Guide</w:t>
              </w:r>
            </w:hyperlink>
            <w:r w:rsidRPr="005044D1">
              <w:rPr>
                <w:rFonts w:eastAsia="Times New Roman" w:cs="Arial"/>
                <w:lang w:val="en-US" w:eastAsia="en-US"/>
              </w:rPr>
              <w:t xml:space="preserve">.  Preparers can use such tags and follow the label in determining sign, not the credit / debit attribute.  </w:t>
            </w:r>
          </w:p>
        </w:tc>
      </w:tr>
      <w:tr w:rsidR="00FD6681" w:rsidRPr="005044D1" w:rsidTr="00FD6681">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6681" w:rsidRPr="005044D1" w:rsidRDefault="00FD6681" w:rsidP="005044D1">
            <w:pPr>
              <w:spacing w:before="60" w:after="60"/>
              <w:jc w:val="left"/>
              <w:rPr>
                <w:rFonts w:eastAsia="Times New Roman" w:cs="Arial"/>
                <w:lang w:val="en-US" w:eastAsia="en-US"/>
              </w:rPr>
            </w:pPr>
            <w:r w:rsidRPr="005044D1">
              <w:rPr>
                <w:rFonts w:eastAsia="Times New Roman" w:cs="Arial"/>
                <w:lang w:val="en-US" w:eastAsia="en-US"/>
              </w:rPr>
              <w:t>5.3</w:t>
            </w:r>
          </w:p>
        </w:tc>
        <w:tc>
          <w:tcPr>
            <w:tcW w:w="1728" w:type="dxa"/>
            <w:tcBorders>
              <w:top w:val="single" w:sz="4" w:space="0" w:color="auto"/>
              <w:left w:val="nil"/>
              <w:bottom w:val="single" w:sz="4" w:space="0" w:color="auto"/>
              <w:right w:val="single" w:sz="4" w:space="0" w:color="auto"/>
            </w:tcBorders>
            <w:shd w:val="clear" w:color="auto" w:fill="auto"/>
            <w:vAlign w:val="center"/>
          </w:tcPr>
          <w:p w:rsidR="00FD6681" w:rsidRPr="005044D1" w:rsidRDefault="00FD6681" w:rsidP="005044D1">
            <w:pPr>
              <w:spacing w:before="60" w:after="60"/>
              <w:jc w:val="left"/>
              <w:rPr>
                <w:rFonts w:eastAsia="Times New Roman" w:cs="Arial"/>
                <w:lang w:val="en-US" w:eastAsia="en-US"/>
              </w:rPr>
            </w:pPr>
            <w:r w:rsidRPr="005044D1">
              <w:rPr>
                <w:rFonts w:eastAsia="Times New Roman" w:cs="Arial"/>
                <w:lang w:val="en-US" w:eastAsia="en-US"/>
              </w:rPr>
              <w:t>Start of period contexts</w:t>
            </w:r>
          </w:p>
        </w:tc>
        <w:tc>
          <w:tcPr>
            <w:tcW w:w="7008" w:type="dxa"/>
            <w:tcBorders>
              <w:top w:val="single" w:sz="4" w:space="0" w:color="auto"/>
              <w:left w:val="nil"/>
              <w:bottom w:val="single" w:sz="4" w:space="0" w:color="auto"/>
              <w:right w:val="single" w:sz="4" w:space="0" w:color="auto"/>
            </w:tcBorders>
            <w:shd w:val="clear" w:color="auto" w:fill="auto"/>
            <w:vAlign w:val="center"/>
          </w:tcPr>
          <w:p w:rsidR="0043483A" w:rsidRDefault="00FD6681" w:rsidP="005044D1">
            <w:pPr>
              <w:spacing w:before="60" w:after="60"/>
              <w:jc w:val="left"/>
              <w:rPr>
                <w:rFonts w:eastAsia="Times New Roman" w:cs="Arial"/>
                <w:lang w:val="en-US" w:eastAsia="en-US"/>
              </w:rPr>
            </w:pPr>
            <w:r w:rsidRPr="005044D1">
              <w:rPr>
                <w:rFonts w:eastAsia="Times New Roman" w:cs="Arial"/>
                <w:lang w:val="en-US" w:eastAsia="en-US"/>
              </w:rPr>
              <w:t xml:space="preserve">The instant context for the </w:t>
            </w:r>
            <w:r w:rsidRPr="005044D1">
              <w:rPr>
                <w:rFonts w:eastAsia="Times New Roman" w:cs="Arial"/>
                <w:b/>
                <w:bCs/>
                <w:lang w:val="en-US" w:eastAsia="en-US"/>
              </w:rPr>
              <w:t>start</w:t>
            </w:r>
            <w:r w:rsidRPr="005044D1">
              <w:rPr>
                <w:rFonts w:eastAsia="Times New Roman" w:cs="Arial"/>
                <w:lang w:val="en-US" w:eastAsia="en-US"/>
              </w:rPr>
              <w:t xml:space="preserve"> of a reporting period is the date of the </w:t>
            </w:r>
            <w:r w:rsidRPr="005044D1">
              <w:rPr>
                <w:rFonts w:eastAsia="Times New Roman" w:cs="Arial"/>
                <w:b/>
                <w:bCs/>
                <w:lang w:val="en-US" w:eastAsia="en-US"/>
              </w:rPr>
              <w:t>previous</w:t>
            </w:r>
            <w:r w:rsidRPr="005044D1">
              <w:rPr>
                <w:rFonts w:eastAsia="Times New Roman" w:cs="Arial"/>
                <w:lang w:val="en-US" w:eastAsia="en-US"/>
              </w:rPr>
              <w:t xml:space="preserve"> day.  It is </w:t>
            </w:r>
            <w:r w:rsidRPr="005044D1">
              <w:rPr>
                <w:rFonts w:eastAsia="Times New Roman" w:cs="Arial"/>
                <w:b/>
                <w:bCs/>
                <w:lang w:val="en-US" w:eastAsia="en-US"/>
              </w:rPr>
              <w:t>identical</w:t>
            </w:r>
            <w:r w:rsidRPr="005044D1">
              <w:rPr>
                <w:rFonts w:eastAsia="Times New Roman" w:cs="Arial"/>
                <w:lang w:val="en-US" w:eastAsia="en-US"/>
              </w:rPr>
              <w:t xml:space="preserve"> to the context of the end of the previous period.  This is because the instant context </w:t>
            </w:r>
            <w:r w:rsidR="00686066" w:rsidRPr="005044D1">
              <w:rPr>
                <w:rFonts w:eastAsia="Times New Roman" w:cs="Arial"/>
                <w:lang w:val="en-US" w:eastAsia="en-US"/>
              </w:rPr>
              <w:t>of dd</w:t>
            </w:r>
            <w:r w:rsidRPr="005044D1">
              <w:rPr>
                <w:rFonts w:eastAsia="Times New Roman" w:cs="Arial"/>
                <w:lang w:val="en-US" w:eastAsia="en-US"/>
              </w:rPr>
              <w:t xml:space="preserve">-mmm-yyyy means midnight on that day.  Clearly, midnight at the end of one day is both the end of one period and the start of another.   For example, the start of 2011 was midnight on 31 Dec 2010, not midnight on 1 Jan 2011, which is already 24 hours into the new year.  It is vital that preparers understand this and set contexts correctly.  Preparers should refer to Section 5.5 in the </w:t>
            </w:r>
            <w:hyperlink w:anchor="PDGuide" w:history="1">
              <w:r w:rsidR="00F47E7B" w:rsidRPr="00D87AA9">
                <w:rPr>
                  <w:rStyle w:val="Hyperlink"/>
                  <w:rFonts w:eastAsia="Times New Roman" w:cs="Arial"/>
                  <w:lang w:val="en-US" w:eastAsia="en-US"/>
                </w:rPr>
                <w:t>Preparers &amp; Developers Guide</w:t>
              </w:r>
            </w:hyperlink>
            <w:r w:rsidRPr="005044D1">
              <w:rPr>
                <w:rFonts w:eastAsia="Times New Roman" w:cs="Arial"/>
                <w:lang w:val="en-US" w:eastAsia="en-US"/>
              </w:rPr>
              <w:t xml:space="preserve"> for fuller information on period contexts.  </w:t>
            </w:r>
          </w:p>
          <w:p w:rsidR="00FD6681" w:rsidRPr="005044D1" w:rsidRDefault="00FD6681" w:rsidP="005044D1">
            <w:pPr>
              <w:spacing w:before="60" w:after="60"/>
              <w:jc w:val="left"/>
              <w:rPr>
                <w:rFonts w:eastAsia="Times New Roman" w:cs="Arial"/>
                <w:lang w:val="en-US" w:eastAsia="en-US"/>
              </w:rPr>
            </w:pPr>
            <w:r w:rsidRPr="005044D1">
              <w:rPr>
                <w:rFonts w:eastAsia="Times New Roman" w:cs="Arial"/>
                <w:lang w:val="en-US" w:eastAsia="en-US"/>
              </w:rPr>
              <w:t xml:space="preserve">Note that duration contexts do not work in the same fashion.   The start of a duration time period is defined as the date of the day which starts the period, so a duration context covering the 2010 calendar year is defined as starting on 1 Jan 2010 and ending on 31 Dec 2010.  (This is because duration contexts reflect a continuous period of time, rather than an instant, and dates are inclusive.  This approach to instant and duration period contexts is based on the date definitions in XML, the language underlying XBRL.)  </w:t>
            </w:r>
          </w:p>
        </w:tc>
      </w:tr>
      <w:tr w:rsidR="00FD6681" w:rsidRPr="005044D1" w:rsidTr="00FD6681">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6681" w:rsidRPr="005044D1" w:rsidRDefault="00FD6681" w:rsidP="005044D1">
            <w:pPr>
              <w:spacing w:before="60" w:after="60"/>
              <w:jc w:val="left"/>
              <w:rPr>
                <w:rFonts w:eastAsia="Times New Roman" w:cs="Arial"/>
                <w:lang w:val="en-US" w:eastAsia="en-US"/>
              </w:rPr>
            </w:pPr>
            <w:r w:rsidRPr="005044D1">
              <w:rPr>
                <w:rFonts w:eastAsia="Times New Roman" w:cs="Arial"/>
                <w:lang w:val="en-US" w:eastAsia="en-US"/>
              </w:rPr>
              <w:lastRenderedPageBreak/>
              <w:t>5.4</w:t>
            </w:r>
          </w:p>
        </w:tc>
        <w:tc>
          <w:tcPr>
            <w:tcW w:w="1728" w:type="dxa"/>
            <w:tcBorders>
              <w:top w:val="single" w:sz="4" w:space="0" w:color="auto"/>
              <w:left w:val="nil"/>
              <w:bottom w:val="single" w:sz="4" w:space="0" w:color="auto"/>
              <w:right w:val="single" w:sz="4" w:space="0" w:color="auto"/>
            </w:tcBorders>
            <w:shd w:val="clear" w:color="auto" w:fill="auto"/>
            <w:vAlign w:val="center"/>
          </w:tcPr>
          <w:p w:rsidR="00FD6681" w:rsidRPr="005044D1" w:rsidRDefault="00FD6681" w:rsidP="005044D1">
            <w:pPr>
              <w:spacing w:before="60" w:after="60"/>
              <w:jc w:val="left"/>
              <w:rPr>
                <w:rFonts w:eastAsia="Times New Roman" w:cs="Arial"/>
                <w:lang w:val="en-US" w:eastAsia="en-US"/>
              </w:rPr>
            </w:pPr>
            <w:r w:rsidRPr="005044D1">
              <w:rPr>
                <w:rFonts w:eastAsia="Times New Roman" w:cs="Arial"/>
                <w:lang w:val="en-US" w:eastAsia="en-US"/>
              </w:rPr>
              <w:t>Entry of percentage data</w:t>
            </w:r>
          </w:p>
        </w:tc>
        <w:tc>
          <w:tcPr>
            <w:tcW w:w="7008" w:type="dxa"/>
            <w:tcBorders>
              <w:top w:val="single" w:sz="4" w:space="0" w:color="auto"/>
              <w:left w:val="nil"/>
              <w:bottom w:val="single" w:sz="4" w:space="0" w:color="auto"/>
              <w:right w:val="single" w:sz="4" w:space="0" w:color="auto"/>
            </w:tcBorders>
            <w:shd w:val="clear" w:color="auto" w:fill="auto"/>
            <w:vAlign w:val="center"/>
          </w:tcPr>
          <w:p w:rsidR="0043483A" w:rsidRDefault="00FD6681" w:rsidP="005044D1">
            <w:pPr>
              <w:spacing w:before="60" w:after="60"/>
              <w:jc w:val="left"/>
              <w:rPr>
                <w:rFonts w:eastAsia="Times New Roman" w:cs="Arial"/>
                <w:lang w:val="en-US" w:eastAsia="en-US"/>
              </w:rPr>
            </w:pPr>
            <w:r w:rsidRPr="005044D1">
              <w:rPr>
                <w:rFonts w:eastAsia="Times New Roman" w:cs="Arial"/>
                <w:lang w:val="en-US" w:eastAsia="en-US"/>
              </w:rPr>
              <w:t xml:space="preserve">Numbers which are percentages should </w:t>
            </w:r>
            <w:r w:rsidR="0057158A">
              <w:rPr>
                <w:rFonts w:eastAsia="Times New Roman" w:cs="Arial"/>
                <w:lang w:val="en-US" w:eastAsia="en-US"/>
              </w:rPr>
              <w:t xml:space="preserve">typically </w:t>
            </w:r>
            <w:r w:rsidRPr="005044D1">
              <w:rPr>
                <w:rFonts w:eastAsia="Times New Roman" w:cs="Arial"/>
                <w:lang w:val="en-US" w:eastAsia="en-US"/>
              </w:rPr>
              <w:t xml:space="preserve">be entered in </w:t>
            </w:r>
            <w:r w:rsidR="003F21DE">
              <w:rPr>
                <w:rFonts w:eastAsia="Times New Roman" w:cs="Arial"/>
                <w:lang w:val="en-US" w:eastAsia="en-US"/>
              </w:rPr>
              <w:t xml:space="preserve">Inline </w:t>
            </w:r>
            <w:r w:rsidRPr="005044D1">
              <w:rPr>
                <w:rFonts w:eastAsia="Times New Roman" w:cs="Arial"/>
                <w:lang w:val="en-US" w:eastAsia="en-US"/>
              </w:rPr>
              <w:t xml:space="preserve">XBRL with </w:t>
            </w:r>
            <w:r w:rsidRPr="005044D1">
              <w:rPr>
                <w:rFonts w:eastAsia="Times New Roman" w:cs="Arial"/>
                <w:b/>
                <w:bCs/>
                <w:lang w:val="en-US" w:eastAsia="en-US"/>
              </w:rPr>
              <w:t>scale=-2</w:t>
            </w:r>
            <w:r w:rsidRPr="005044D1">
              <w:rPr>
                <w:rFonts w:eastAsia="Times New Roman" w:cs="Arial"/>
                <w:lang w:val="en-US" w:eastAsia="en-US"/>
              </w:rPr>
              <w:t xml:space="preserve">.  </w:t>
            </w:r>
            <w:r w:rsidR="0057158A">
              <w:rPr>
                <w:rFonts w:eastAsia="Times New Roman" w:cs="Arial"/>
                <w:lang w:val="en-US" w:eastAsia="en-US"/>
              </w:rPr>
              <w:t>A</w:t>
            </w:r>
            <w:r w:rsidRPr="005044D1">
              <w:rPr>
                <w:rFonts w:eastAsia="Times New Roman" w:cs="Arial"/>
                <w:lang w:val="en-US" w:eastAsia="en-US"/>
              </w:rPr>
              <w:t xml:space="preserve"> percentage such as 54% is represented by the number 0.54.  100% is represented by 1.  </w:t>
            </w:r>
          </w:p>
          <w:p w:rsidR="0043483A" w:rsidRDefault="00FD6681" w:rsidP="005044D1">
            <w:pPr>
              <w:spacing w:before="60" w:after="60"/>
              <w:jc w:val="left"/>
              <w:rPr>
                <w:rFonts w:eastAsia="Times New Roman" w:cs="Arial"/>
                <w:lang w:val="en-US" w:eastAsia="en-US"/>
              </w:rPr>
            </w:pPr>
            <w:r w:rsidRPr="005044D1">
              <w:rPr>
                <w:rFonts w:eastAsia="Times New Roman" w:cs="Arial"/>
                <w:lang w:val="en-US" w:eastAsia="en-US"/>
              </w:rPr>
              <w:t>The "decimals" attribute representing the accuracy of the figure will typically be 2, meaning that 54%, or 0.54</w:t>
            </w:r>
            <w:r w:rsidR="0057158A">
              <w:rPr>
                <w:rFonts w:eastAsia="Times New Roman" w:cs="Arial"/>
                <w:lang w:val="en-US" w:eastAsia="en-US"/>
              </w:rPr>
              <w:t>,</w:t>
            </w:r>
            <w:r w:rsidRPr="005044D1">
              <w:rPr>
                <w:rFonts w:eastAsia="Times New Roman" w:cs="Arial"/>
                <w:lang w:val="en-US" w:eastAsia="en-US"/>
              </w:rPr>
              <w:t xml:space="preserve"> is accurate to at least that number of figures.  However, it may be more than 2 and can range up</w:t>
            </w:r>
            <w:r w:rsidR="00EB23EA">
              <w:rPr>
                <w:rFonts w:eastAsia="Times New Roman" w:cs="Arial"/>
                <w:lang w:val="en-US" w:eastAsia="en-US"/>
              </w:rPr>
              <w:t xml:space="preserve"> </w:t>
            </w:r>
            <w:r w:rsidRPr="005044D1">
              <w:rPr>
                <w:rFonts w:eastAsia="Times New Roman" w:cs="Arial"/>
                <w:lang w:val="en-US" w:eastAsia="en-US"/>
              </w:rPr>
              <w:t xml:space="preserve">to infinity if the percentage is exact (as it might be, for example, with a tax rate).  </w:t>
            </w:r>
          </w:p>
          <w:p w:rsidR="00FD6681" w:rsidRDefault="00FD6681" w:rsidP="005044D1">
            <w:pPr>
              <w:spacing w:before="60" w:after="60"/>
              <w:jc w:val="left"/>
              <w:rPr>
                <w:rFonts w:eastAsia="Times New Roman" w:cs="Arial"/>
                <w:lang w:val="en-US" w:eastAsia="en-US"/>
              </w:rPr>
            </w:pPr>
            <w:r w:rsidRPr="005044D1">
              <w:rPr>
                <w:rFonts w:eastAsia="Times New Roman" w:cs="Arial"/>
                <w:lang w:val="en-US" w:eastAsia="en-US"/>
              </w:rPr>
              <w:t xml:space="preserve">Most tags representing percentages are percent data types, but some are decimal data types.  This makes no difference to the form of data entry.  Future versions of the taxonomies will apply the percent data type to all percentage tags to identify them more clearly.  </w:t>
            </w:r>
          </w:p>
          <w:p w:rsidR="00397165" w:rsidRPr="005044D1" w:rsidRDefault="00397165" w:rsidP="005044D1">
            <w:pPr>
              <w:spacing w:before="60" w:after="60"/>
              <w:jc w:val="left"/>
              <w:rPr>
                <w:rFonts w:eastAsia="Times New Roman" w:cs="Arial"/>
                <w:lang w:val="en-US" w:eastAsia="en-US"/>
              </w:rPr>
            </w:pPr>
            <w:r>
              <w:rPr>
                <w:rFonts w:eastAsia="Times New Roman" w:cs="Arial"/>
                <w:lang w:val="en-US" w:eastAsia="en-US"/>
              </w:rPr>
              <w:t xml:space="preserve">The </w:t>
            </w:r>
            <w:hyperlink w:anchor="InlineGuide" w:history="1">
              <w:r w:rsidRPr="007C52E6">
                <w:rPr>
                  <w:rStyle w:val="Hyperlink"/>
                  <w:rFonts w:eastAsia="Times New Roman" w:cs="Arial"/>
                  <w:lang w:val="en-US" w:eastAsia="en-US"/>
                </w:rPr>
                <w:t>HMRC Inline XBRL Style Guide</w:t>
              </w:r>
            </w:hyperlink>
            <w:r>
              <w:rPr>
                <w:rFonts w:eastAsia="Times New Roman" w:cs="Arial"/>
                <w:lang w:val="en-US" w:eastAsia="en-US"/>
              </w:rPr>
              <w:t xml:space="preserve"> gives further information on the representation of percentages in Inline XBRL.  </w:t>
            </w:r>
          </w:p>
        </w:tc>
      </w:tr>
      <w:tr w:rsidR="00FD6681" w:rsidRPr="005044D1" w:rsidTr="00FD6681">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6681" w:rsidRPr="005044D1" w:rsidRDefault="00FD6681" w:rsidP="005044D1">
            <w:pPr>
              <w:spacing w:before="60" w:after="60"/>
              <w:jc w:val="left"/>
              <w:rPr>
                <w:rFonts w:eastAsia="Times New Roman" w:cs="Arial"/>
                <w:lang w:val="en-US" w:eastAsia="en-US"/>
              </w:rPr>
            </w:pPr>
            <w:r w:rsidRPr="005044D1">
              <w:rPr>
                <w:rFonts w:eastAsia="Times New Roman" w:cs="Arial"/>
                <w:lang w:val="en-US" w:eastAsia="en-US"/>
              </w:rPr>
              <w:t>5.5</w:t>
            </w:r>
          </w:p>
        </w:tc>
        <w:tc>
          <w:tcPr>
            <w:tcW w:w="1728" w:type="dxa"/>
            <w:tcBorders>
              <w:top w:val="single" w:sz="4" w:space="0" w:color="auto"/>
              <w:left w:val="nil"/>
              <w:bottom w:val="single" w:sz="4" w:space="0" w:color="auto"/>
              <w:right w:val="single" w:sz="4" w:space="0" w:color="auto"/>
            </w:tcBorders>
            <w:shd w:val="clear" w:color="auto" w:fill="auto"/>
            <w:vAlign w:val="center"/>
          </w:tcPr>
          <w:p w:rsidR="00FD6681" w:rsidRPr="005044D1" w:rsidRDefault="00FD6681" w:rsidP="005044D1">
            <w:pPr>
              <w:spacing w:before="60" w:after="60"/>
              <w:jc w:val="left"/>
              <w:rPr>
                <w:rFonts w:eastAsia="Times New Roman" w:cs="Arial"/>
                <w:lang w:val="en-US" w:eastAsia="en-US"/>
              </w:rPr>
            </w:pPr>
            <w:bookmarkStart w:id="14" w:name="XR_PeriodContexts"/>
            <w:r w:rsidRPr="005044D1">
              <w:rPr>
                <w:rFonts w:eastAsia="Times New Roman" w:cs="Arial"/>
                <w:lang w:val="en-US" w:eastAsia="en-US"/>
              </w:rPr>
              <w:t>Choice of period contexts</w:t>
            </w:r>
            <w:bookmarkEnd w:id="14"/>
          </w:p>
        </w:tc>
        <w:tc>
          <w:tcPr>
            <w:tcW w:w="7008" w:type="dxa"/>
            <w:tcBorders>
              <w:top w:val="single" w:sz="4" w:space="0" w:color="auto"/>
              <w:left w:val="nil"/>
              <w:bottom w:val="single" w:sz="4" w:space="0" w:color="auto"/>
              <w:right w:val="single" w:sz="4" w:space="0" w:color="auto"/>
            </w:tcBorders>
            <w:shd w:val="clear" w:color="auto" w:fill="auto"/>
            <w:vAlign w:val="center"/>
          </w:tcPr>
          <w:p w:rsidR="00FD6681" w:rsidRPr="005044D1" w:rsidRDefault="00FD6681" w:rsidP="005044D1">
            <w:pPr>
              <w:spacing w:before="60" w:after="60"/>
              <w:jc w:val="left"/>
              <w:rPr>
                <w:rFonts w:eastAsia="Times New Roman" w:cs="Arial"/>
                <w:lang w:val="en-US" w:eastAsia="en-US"/>
              </w:rPr>
            </w:pPr>
            <w:r w:rsidRPr="005044D1">
              <w:rPr>
                <w:rFonts w:eastAsia="Times New Roman" w:cs="Arial"/>
                <w:lang w:val="en-US" w:eastAsia="en-US"/>
              </w:rPr>
              <w:t xml:space="preserve">As stated in Section 5.5 of the </w:t>
            </w:r>
            <w:hyperlink w:anchor="PDGuide" w:history="1">
              <w:r w:rsidR="00F47E7B" w:rsidRPr="00D87AA9">
                <w:rPr>
                  <w:rStyle w:val="Hyperlink"/>
                  <w:rFonts w:eastAsia="Times New Roman" w:cs="Arial"/>
                  <w:lang w:val="en-US" w:eastAsia="en-US"/>
                </w:rPr>
                <w:t>Preparers &amp; Developers Guide</w:t>
              </w:r>
            </w:hyperlink>
            <w:r w:rsidRPr="005044D1">
              <w:rPr>
                <w:rFonts w:eastAsia="Times New Roman" w:cs="Arial"/>
                <w:lang w:val="en-US" w:eastAsia="en-US"/>
              </w:rPr>
              <w:t xml:space="preserve">, date contexts must reflect the </w:t>
            </w:r>
            <w:r w:rsidRPr="00397165">
              <w:rPr>
                <w:rFonts w:eastAsia="Times New Roman" w:cs="Arial"/>
                <w:b/>
                <w:lang w:val="en-US" w:eastAsia="en-US"/>
              </w:rPr>
              <w:t xml:space="preserve">period </w:t>
            </w:r>
            <w:r w:rsidR="00397165">
              <w:rPr>
                <w:rFonts w:eastAsia="Times New Roman" w:cs="Arial"/>
                <w:b/>
                <w:lang w:val="en-US" w:eastAsia="en-US"/>
              </w:rPr>
              <w:t>covered by a</w:t>
            </w:r>
            <w:r w:rsidRPr="00397165">
              <w:rPr>
                <w:rFonts w:eastAsia="Times New Roman" w:cs="Arial"/>
                <w:b/>
                <w:lang w:val="en-US" w:eastAsia="en-US"/>
              </w:rPr>
              <w:t xml:space="preserve"> report</w:t>
            </w:r>
            <w:r w:rsidRPr="005044D1">
              <w:rPr>
                <w:rFonts w:eastAsia="Times New Roman" w:cs="Arial"/>
                <w:lang w:val="en-US" w:eastAsia="en-US"/>
              </w:rPr>
              <w:t xml:space="preserve"> - not the precise date of a particular event.  For example, the date of revaluation of tangible assets might be 15 June, which would be the date value tagged, but the context would be 31 Dec </w:t>
            </w:r>
            <w:r w:rsidR="00397165">
              <w:rPr>
                <w:rFonts w:eastAsia="Times New Roman" w:cs="Arial"/>
                <w:lang w:val="en-US" w:eastAsia="en-US"/>
              </w:rPr>
              <w:t>if that is the end</w:t>
            </w:r>
            <w:r w:rsidRPr="005044D1">
              <w:rPr>
                <w:rFonts w:eastAsia="Times New Roman" w:cs="Arial"/>
                <w:lang w:val="en-US" w:eastAsia="en-US"/>
              </w:rPr>
              <w:t xml:space="preserve"> of the reporting period – and the balance sheet date.  Preparers should refer to Section 5.5 in the </w:t>
            </w:r>
            <w:r w:rsidR="0065411F">
              <w:rPr>
                <w:rFonts w:eastAsia="Times New Roman" w:cs="Arial"/>
                <w:lang w:val="en-US" w:eastAsia="en-US"/>
              </w:rPr>
              <w:t>Preparers &amp; Developers Guide</w:t>
            </w:r>
            <w:r w:rsidRPr="005044D1">
              <w:rPr>
                <w:rFonts w:eastAsia="Times New Roman" w:cs="Arial"/>
                <w:lang w:val="en-US" w:eastAsia="en-US"/>
              </w:rPr>
              <w:t xml:space="preserve"> for fuller guidance on period contexts.  </w:t>
            </w:r>
          </w:p>
        </w:tc>
      </w:tr>
      <w:tr w:rsidR="00FD6681" w:rsidRPr="005044D1" w:rsidTr="00FD6681">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6681" w:rsidRPr="005044D1" w:rsidRDefault="00FD6681" w:rsidP="005044D1">
            <w:pPr>
              <w:spacing w:before="60" w:after="60"/>
              <w:jc w:val="left"/>
              <w:rPr>
                <w:rFonts w:eastAsia="Times New Roman" w:cs="Arial"/>
                <w:lang w:val="en-US" w:eastAsia="en-US"/>
              </w:rPr>
            </w:pPr>
            <w:r w:rsidRPr="005044D1">
              <w:rPr>
                <w:rFonts w:eastAsia="Times New Roman" w:cs="Arial"/>
                <w:lang w:val="en-US" w:eastAsia="en-US"/>
              </w:rPr>
              <w:t>5.6</w:t>
            </w:r>
          </w:p>
        </w:tc>
        <w:tc>
          <w:tcPr>
            <w:tcW w:w="1728" w:type="dxa"/>
            <w:tcBorders>
              <w:top w:val="single" w:sz="4" w:space="0" w:color="auto"/>
              <w:left w:val="nil"/>
              <w:bottom w:val="single" w:sz="4" w:space="0" w:color="auto"/>
              <w:right w:val="single" w:sz="4" w:space="0" w:color="auto"/>
            </w:tcBorders>
            <w:shd w:val="clear" w:color="auto" w:fill="auto"/>
            <w:vAlign w:val="center"/>
          </w:tcPr>
          <w:p w:rsidR="00FD6681" w:rsidRPr="005044D1" w:rsidRDefault="00FD6681" w:rsidP="005044D1">
            <w:pPr>
              <w:spacing w:before="60" w:after="60"/>
              <w:jc w:val="left"/>
              <w:rPr>
                <w:rFonts w:eastAsia="Times New Roman" w:cs="Arial"/>
                <w:lang w:val="en-US" w:eastAsia="en-US"/>
              </w:rPr>
            </w:pPr>
            <w:bookmarkStart w:id="15" w:name="XR_RestatementCtxt"/>
            <w:r w:rsidRPr="005044D1">
              <w:rPr>
                <w:rFonts w:eastAsia="Times New Roman" w:cs="Arial"/>
                <w:lang w:val="en-US" w:eastAsia="en-US"/>
              </w:rPr>
              <w:t>Period context for restatements and adjustments</w:t>
            </w:r>
            <w:bookmarkEnd w:id="15"/>
          </w:p>
        </w:tc>
        <w:tc>
          <w:tcPr>
            <w:tcW w:w="7008" w:type="dxa"/>
            <w:tcBorders>
              <w:top w:val="single" w:sz="4" w:space="0" w:color="auto"/>
              <w:left w:val="nil"/>
              <w:bottom w:val="single" w:sz="4" w:space="0" w:color="auto"/>
              <w:right w:val="single" w:sz="4" w:space="0" w:color="auto"/>
            </w:tcBorders>
            <w:shd w:val="clear" w:color="auto" w:fill="auto"/>
            <w:vAlign w:val="center"/>
          </w:tcPr>
          <w:p w:rsidR="0043483A" w:rsidRDefault="00E76197" w:rsidP="005044D1">
            <w:pPr>
              <w:spacing w:before="60" w:after="60"/>
              <w:jc w:val="left"/>
              <w:rPr>
                <w:rFonts w:eastAsia="Times New Roman" w:cs="Arial"/>
                <w:lang w:val="en-US" w:eastAsia="en-US"/>
              </w:rPr>
            </w:pPr>
            <w:r>
              <w:rPr>
                <w:rFonts w:eastAsia="Times New Roman" w:cs="Arial"/>
                <w:lang w:val="en-US" w:eastAsia="en-US"/>
              </w:rPr>
              <w:t xml:space="preserve">As stated in </w:t>
            </w:r>
            <w:r w:rsidR="00397165">
              <w:rPr>
                <w:rFonts w:eastAsia="Times New Roman" w:cs="Arial"/>
                <w:lang w:val="en-US" w:eastAsia="en-US"/>
              </w:rPr>
              <w:t>items</w:t>
            </w:r>
            <w:r>
              <w:rPr>
                <w:rFonts w:eastAsia="Times New Roman" w:cs="Arial"/>
                <w:lang w:val="en-US" w:eastAsia="en-US"/>
              </w:rPr>
              <w:t xml:space="preserve"> </w:t>
            </w:r>
            <w:hyperlink w:anchor="XR_Restated" w:history="1">
              <w:r w:rsidRPr="001229F5">
                <w:rPr>
                  <w:rStyle w:val="Hyperlink"/>
                  <w:rFonts w:eastAsia="Times New Roman" w:cs="Arial"/>
                  <w:lang w:val="en-US" w:eastAsia="en-US"/>
                </w:rPr>
                <w:t>4</w:t>
              </w:r>
              <w:r w:rsidRPr="001229F5">
                <w:rPr>
                  <w:rStyle w:val="Hyperlink"/>
                  <w:rFonts w:eastAsia="Times New Roman" w:cs="Arial"/>
                  <w:lang w:val="en-US" w:eastAsia="en-US"/>
                </w:rPr>
                <w:t>.</w:t>
              </w:r>
              <w:r w:rsidRPr="001229F5">
                <w:rPr>
                  <w:rStyle w:val="Hyperlink"/>
                  <w:rFonts w:eastAsia="Times New Roman" w:cs="Arial"/>
                  <w:lang w:val="en-US" w:eastAsia="en-US"/>
                </w:rPr>
                <w:t>10</w:t>
              </w:r>
            </w:hyperlink>
            <w:r>
              <w:rPr>
                <w:rFonts w:eastAsia="Times New Roman" w:cs="Arial"/>
                <w:lang w:val="en-US" w:eastAsia="en-US"/>
              </w:rPr>
              <w:t xml:space="preserve"> and </w:t>
            </w:r>
            <w:hyperlink w:anchor="XR_PriorPeriod" w:history="1">
              <w:r w:rsidRPr="001229F5">
                <w:rPr>
                  <w:rStyle w:val="Hyperlink"/>
                  <w:rFonts w:eastAsia="Times New Roman" w:cs="Arial"/>
                  <w:lang w:val="en-US" w:eastAsia="en-US"/>
                </w:rPr>
                <w:t>4.</w:t>
              </w:r>
              <w:r w:rsidRPr="001229F5">
                <w:rPr>
                  <w:rStyle w:val="Hyperlink"/>
                  <w:rFonts w:eastAsia="Times New Roman" w:cs="Arial"/>
                  <w:lang w:val="en-US" w:eastAsia="en-US"/>
                </w:rPr>
                <w:t>1</w:t>
              </w:r>
              <w:r w:rsidRPr="001229F5">
                <w:rPr>
                  <w:rStyle w:val="Hyperlink"/>
                  <w:rFonts w:eastAsia="Times New Roman" w:cs="Arial"/>
                  <w:lang w:val="en-US" w:eastAsia="en-US"/>
                </w:rPr>
                <w:t>1</w:t>
              </w:r>
            </w:hyperlink>
            <w:r>
              <w:rPr>
                <w:rFonts w:eastAsia="Times New Roman" w:cs="Arial"/>
                <w:lang w:val="en-US" w:eastAsia="en-US"/>
              </w:rPr>
              <w:t>, t</w:t>
            </w:r>
            <w:r w:rsidR="00FD6681" w:rsidRPr="005044D1">
              <w:rPr>
                <w:rFonts w:eastAsia="Times New Roman" w:cs="Arial"/>
                <w:lang w:val="en-US" w:eastAsia="en-US"/>
              </w:rPr>
              <w:t xml:space="preserve">he correct context for restated figures and prior period </w:t>
            </w:r>
            <w:r w:rsidR="005540ED">
              <w:rPr>
                <w:rFonts w:eastAsia="Times New Roman" w:cs="Arial"/>
                <w:lang w:val="en-US" w:eastAsia="en-US"/>
              </w:rPr>
              <w:t xml:space="preserve">adjustments reported using the </w:t>
            </w:r>
            <w:r w:rsidR="00FD6681" w:rsidRPr="005540ED">
              <w:rPr>
                <w:rFonts w:eastAsia="Times New Roman" w:cs="Arial"/>
                <w:i/>
                <w:lang w:val="en-US" w:eastAsia="en-US"/>
              </w:rPr>
              <w:t>Restatements</w:t>
            </w:r>
            <w:r w:rsidR="00FD6681" w:rsidRPr="005044D1">
              <w:rPr>
                <w:rFonts w:eastAsia="Times New Roman" w:cs="Arial"/>
                <w:lang w:val="en-US" w:eastAsia="en-US"/>
              </w:rPr>
              <w:t xml:space="preserve"> dimension is the </w:t>
            </w:r>
            <w:r w:rsidR="00FD6681" w:rsidRPr="005044D1">
              <w:rPr>
                <w:rFonts w:eastAsia="Times New Roman" w:cs="Arial"/>
                <w:b/>
                <w:bCs/>
                <w:lang w:val="en-US" w:eastAsia="en-US"/>
              </w:rPr>
              <w:t>original context</w:t>
            </w:r>
            <w:r w:rsidR="00FD6681" w:rsidRPr="005044D1">
              <w:rPr>
                <w:rFonts w:eastAsia="Times New Roman" w:cs="Arial"/>
                <w:lang w:val="en-US" w:eastAsia="en-US"/>
              </w:rPr>
              <w:t xml:space="preserve"> of the figures being restated or adjusted.   The fact that the figures may be being reported in the current period does not alter this point.  For example, the correct allocation of contexts to a typical restatement at the start of a movement analysis is:  </w:t>
            </w:r>
          </w:p>
          <w:p w:rsidR="0043483A" w:rsidRDefault="00FD6681" w:rsidP="005044D1">
            <w:pPr>
              <w:spacing w:before="60" w:after="60"/>
              <w:jc w:val="left"/>
              <w:rPr>
                <w:rFonts w:eastAsia="Times New Roman" w:cs="Arial"/>
                <w:lang w:val="en-US" w:eastAsia="en-US"/>
              </w:rPr>
            </w:pPr>
            <w:r w:rsidRPr="005044D1">
              <w:rPr>
                <w:rFonts w:eastAsia="Times New Roman" w:cs="Arial"/>
                <w:lang w:val="en-US" w:eastAsia="en-US"/>
              </w:rPr>
              <w:t xml:space="preserve">Value of X at start of period.   </w:t>
            </w:r>
            <w:r w:rsidRPr="005044D1">
              <w:rPr>
                <w:rFonts w:eastAsia="Times New Roman" w:cs="Arial"/>
                <w:color w:val="DD0806"/>
                <w:lang w:val="en-US" w:eastAsia="en-US"/>
              </w:rPr>
              <w:t>Context:  end previous period.</w:t>
            </w:r>
            <w:r w:rsidRPr="005044D1">
              <w:rPr>
                <w:rFonts w:eastAsia="Times New Roman" w:cs="Arial"/>
                <w:lang w:val="en-US" w:eastAsia="en-US"/>
              </w:rPr>
              <w:br/>
              <w:t xml:space="preserve">Prior period adjustment to X.  </w:t>
            </w:r>
            <w:r w:rsidRPr="005044D1">
              <w:rPr>
                <w:rFonts w:eastAsia="Times New Roman" w:cs="Arial"/>
                <w:color w:val="DD0806"/>
                <w:lang w:val="en-US" w:eastAsia="en-US"/>
              </w:rPr>
              <w:t>Context:  end previous period.</w:t>
            </w:r>
            <w:r w:rsidRPr="005044D1">
              <w:rPr>
                <w:rFonts w:eastAsia="Times New Roman" w:cs="Arial"/>
                <w:lang w:val="en-US" w:eastAsia="en-US"/>
              </w:rPr>
              <w:br/>
              <w:t xml:space="preserve">Value of X at start of period, restated.  </w:t>
            </w:r>
            <w:r w:rsidRPr="005044D1">
              <w:rPr>
                <w:rFonts w:eastAsia="Times New Roman" w:cs="Arial"/>
                <w:color w:val="DD0806"/>
                <w:lang w:val="en-US" w:eastAsia="en-US"/>
              </w:rPr>
              <w:t>Context:  end previous period.</w:t>
            </w:r>
          </w:p>
          <w:p w:rsidR="00FD6681" w:rsidRPr="005044D1" w:rsidRDefault="00FD6681" w:rsidP="005044D1">
            <w:pPr>
              <w:spacing w:before="60" w:after="60"/>
              <w:jc w:val="left"/>
              <w:rPr>
                <w:rFonts w:eastAsia="Times New Roman" w:cs="Arial"/>
                <w:lang w:val="en-US" w:eastAsia="en-US"/>
              </w:rPr>
            </w:pPr>
            <w:r w:rsidRPr="005044D1">
              <w:rPr>
                <w:rFonts w:eastAsia="Times New Roman" w:cs="Arial"/>
                <w:lang w:val="en-US" w:eastAsia="en-US"/>
              </w:rPr>
              <w:t xml:space="preserve">Note that this rule applies to adjustments and restatements identified by dimensions.  It does </w:t>
            </w:r>
            <w:r w:rsidRPr="005044D1">
              <w:rPr>
                <w:rFonts w:eastAsia="Times New Roman" w:cs="Arial"/>
                <w:b/>
                <w:bCs/>
                <w:lang w:val="en-US" w:eastAsia="en-US"/>
              </w:rPr>
              <w:t>not</w:t>
            </w:r>
            <w:r w:rsidRPr="005044D1">
              <w:rPr>
                <w:rFonts w:eastAsia="Times New Roman" w:cs="Arial"/>
                <w:lang w:val="en-US" w:eastAsia="en-US"/>
              </w:rPr>
              <w:t xml:space="preserve"> apply to adjustments represented by line item tags which reflect calculations during the current year and which do not involve restatements of prior year figures and the use of the </w:t>
            </w:r>
            <w:r w:rsidR="00A60AC0" w:rsidRPr="00A60AC0">
              <w:rPr>
                <w:rFonts w:eastAsia="Times New Roman" w:cs="Arial"/>
                <w:i/>
                <w:lang w:val="en-US" w:eastAsia="en-US"/>
              </w:rPr>
              <w:t>Restatements</w:t>
            </w:r>
            <w:r w:rsidRPr="005044D1">
              <w:rPr>
                <w:rFonts w:eastAsia="Times New Roman" w:cs="Arial"/>
                <w:lang w:val="en-US" w:eastAsia="en-US"/>
              </w:rPr>
              <w:t xml:space="preserve"> dimension.   These adjustments primarily relate to tax.  Clearly, they take current year contexts.  An example is ‘</w:t>
            </w:r>
            <w:r w:rsidRPr="005540ED">
              <w:rPr>
                <w:rFonts w:eastAsia="Times New Roman" w:cs="Arial"/>
                <w:i/>
                <w:color w:val="FF0000"/>
                <w:lang w:val="en-US" w:eastAsia="en-US"/>
              </w:rPr>
              <w:t xml:space="preserve">Increase (decrease) in </w:t>
            </w:r>
            <w:smartTag w:uri="urn:schemas-microsoft-com:office:smarttags" w:element="place">
              <w:smartTag w:uri="urn:schemas-microsoft-com:office:smarttags" w:element="country-region">
                <w:r w:rsidRPr="005540ED">
                  <w:rPr>
                    <w:rFonts w:eastAsia="Times New Roman" w:cs="Arial"/>
                    <w:i/>
                    <w:color w:val="FF0000"/>
                    <w:lang w:val="en-US" w:eastAsia="en-US"/>
                  </w:rPr>
                  <w:t>UK</w:t>
                </w:r>
              </w:smartTag>
            </w:smartTag>
            <w:r w:rsidRPr="005540ED">
              <w:rPr>
                <w:rFonts w:eastAsia="Times New Roman" w:cs="Arial"/>
                <w:i/>
                <w:color w:val="FF0000"/>
                <w:lang w:val="en-US" w:eastAsia="en-US"/>
              </w:rPr>
              <w:t xml:space="preserve"> corporation tax arising from adjustment for prior periods</w:t>
            </w:r>
            <w:r w:rsidRPr="005044D1">
              <w:rPr>
                <w:rFonts w:eastAsia="Times New Roman" w:cs="Arial"/>
                <w:lang w:val="en-US" w:eastAsia="en-US"/>
              </w:rPr>
              <w:t xml:space="preserve">’.  The latter is a duration item which applies during the current year and takes the current year duration context.  </w:t>
            </w:r>
          </w:p>
        </w:tc>
      </w:tr>
    </w:tbl>
    <w:p w:rsidR="00DA5C5B" w:rsidRDefault="00DA5C5B">
      <w:pPr>
        <w:rPr>
          <w:rFonts w:cs="Arial"/>
        </w:rPr>
      </w:pPr>
    </w:p>
    <w:p w:rsidR="00DA5C5B" w:rsidRDefault="005044D1" w:rsidP="005044D1">
      <w:pPr>
        <w:pStyle w:val="Heading1"/>
      </w:pPr>
      <w:r>
        <w:br w:type="page"/>
      </w:r>
      <w:bookmarkStart w:id="16" w:name="_Toc292036823"/>
      <w:r>
        <w:lastRenderedPageBreak/>
        <w:t>6</w:t>
      </w:r>
      <w:r>
        <w:tab/>
        <w:t xml:space="preserve">Directors </w:t>
      </w:r>
      <w:r w:rsidR="00D30650">
        <w:t xml:space="preserve">information and </w:t>
      </w:r>
      <w:r>
        <w:t>report</w:t>
      </w:r>
      <w:bookmarkEnd w:id="16"/>
    </w:p>
    <w:p w:rsidR="00DA5C5B" w:rsidRDefault="00DA5C5B">
      <w:pPr>
        <w:rPr>
          <w:rFonts w:cs="Arial"/>
        </w:rPr>
      </w:pPr>
    </w:p>
    <w:tbl>
      <w:tblPr>
        <w:tblW w:w="9231" w:type="dxa"/>
        <w:tblInd w:w="91" w:type="dxa"/>
        <w:tblLook w:val="0000"/>
      </w:tblPr>
      <w:tblGrid>
        <w:gridCol w:w="606"/>
        <w:gridCol w:w="1724"/>
        <w:gridCol w:w="6901"/>
      </w:tblGrid>
      <w:tr w:rsidR="00FD6681" w:rsidRPr="00D50F7D" w:rsidTr="00FD6681">
        <w:trPr>
          <w:cantSplit/>
          <w:trHeight w:val="240"/>
          <w:tblHeader/>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6681" w:rsidRPr="00D87AA9" w:rsidRDefault="00FD6681" w:rsidP="007C2E56">
            <w:pPr>
              <w:spacing w:before="60" w:after="60"/>
              <w:jc w:val="left"/>
              <w:rPr>
                <w:rFonts w:eastAsia="Times New Roman" w:cs="Arial"/>
                <w:b/>
                <w:bCs/>
                <w:lang w:val="en-US" w:eastAsia="en-US"/>
              </w:rPr>
            </w:pPr>
            <w:r w:rsidRPr="00D87AA9">
              <w:rPr>
                <w:rFonts w:eastAsia="Times New Roman" w:cs="Arial"/>
                <w:b/>
                <w:bCs/>
                <w:lang w:val="en-US" w:eastAsia="en-US"/>
              </w:rPr>
              <w:t>ID</w:t>
            </w:r>
          </w:p>
        </w:tc>
        <w:tc>
          <w:tcPr>
            <w:tcW w:w="1728" w:type="dxa"/>
            <w:tcBorders>
              <w:top w:val="single" w:sz="4" w:space="0" w:color="auto"/>
              <w:left w:val="nil"/>
              <w:bottom w:val="single" w:sz="4" w:space="0" w:color="auto"/>
              <w:right w:val="single" w:sz="4" w:space="0" w:color="auto"/>
            </w:tcBorders>
            <w:shd w:val="clear" w:color="auto" w:fill="auto"/>
            <w:vAlign w:val="center"/>
          </w:tcPr>
          <w:p w:rsidR="00FD6681" w:rsidRPr="00D87AA9" w:rsidRDefault="00FD6681" w:rsidP="007C2E56">
            <w:pPr>
              <w:spacing w:before="60" w:after="60"/>
              <w:jc w:val="left"/>
              <w:rPr>
                <w:rFonts w:eastAsia="Times New Roman" w:cs="Arial"/>
                <w:b/>
                <w:bCs/>
                <w:lang w:val="en-US" w:eastAsia="en-US"/>
              </w:rPr>
            </w:pPr>
            <w:r w:rsidRPr="00D87AA9">
              <w:rPr>
                <w:rFonts w:eastAsia="Times New Roman" w:cs="Arial"/>
                <w:b/>
                <w:bCs/>
                <w:lang w:val="en-US" w:eastAsia="en-US"/>
              </w:rPr>
              <w:t>Item</w:t>
            </w:r>
          </w:p>
        </w:tc>
        <w:tc>
          <w:tcPr>
            <w:tcW w:w="7008" w:type="dxa"/>
            <w:tcBorders>
              <w:top w:val="single" w:sz="4" w:space="0" w:color="auto"/>
              <w:left w:val="nil"/>
              <w:bottom w:val="single" w:sz="4" w:space="0" w:color="auto"/>
              <w:right w:val="single" w:sz="4" w:space="0" w:color="auto"/>
            </w:tcBorders>
            <w:shd w:val="clear" w:color="auto" w:fill="auto"/>
            <w:vAlign w:val="center"/>
          </w:tcPr>
          <w:p w:rsidR="00FD6681" w:rsidRPr="00D87AA9" w:rsidRDefault="00FD6681" w:rsidP="007C2E56">
            <w:pPr>
              <w:spacing w:before="60" w:after="60"/>
              <w:jc w:val="left"/>
              <w:rPr>
                <w:rFonts w:eastAsia="Times New Roman" w:cs="Arial"/>
                <w:b/>
                <w:bCs/>
                <w:lang w:val="en-US" w:eastAsia="en-US"/>
              </w:rPr>
            </w:pPr>
            <w:r w:rsidRPr="00D87AA9">
              <w:rPr>
                <w:rFonts w:eastAsia="Times New Roman" w:cs="Arial"/>
                <w:b/>
                <w:bCs/>
                <w:lang w:val="en-US" w:eastAsia="en-US"/>
              </w:rPr>
              <w:t>Description</w:t>
            </w:r>
          </w:p>
        </w:tc>
      </w:tr>
      <w:tr w:rsidR="00FD6681" w:rsidRPr="00D736E6" w:rsidTr="00FD6681">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6681" w:rsidRPr="00D736E6" w:rsidRDefault="00FD6681" w:rsidP="00D30650">
            <w:pPr>
              <w:spacing w:before="60" w:after="60"/>
              <w:jc w:val="left"/>
              <w:rPr>
                <w:rFonts w:eastAsia="Times New Roman" w:cs="Arial"/>
                <w:lang w:val="en-US" w:eastAsia="en-US"/>
              </w:rPr>
            </w:pPr>
            <w:r w:rsidRPr="00D736E6">
              <w:rPr>
                <w:rFonts w:eastAsia="Times New Roman" w:cs="Arial"/>
                <w:lang w:val="en-US" w:eastAsia="en-US"/>
              </w:rPr>
              <w:t>6.1</w:t>
            </w:r>
          </w:p>
        </w:tc>
        <w:tc>
          <w:tcPr>
            <w:tcW w:w="1728" w:type="dxa"/>
            <w:tcBorders>
              <w:top w:val="single" w:sz="4" w:space="0" w:color="auto"/>
              <w:left w:val="nil"/>
              <w:bottom w:val="single" w:sz="4" w:space="0" w:color="auto"/>
              <w:right w:val="single" w:sz="4" w:space="0" w:color="auto"/>
            </w:tcBorders>
            <w:shd w:val="clear" w:color="auto" w:fill="auto"/>
            <w:vAlign w:val="center"/>
          </w:tcPr>
          <w:p w:rsidR="00FD6681" w:rsidRPr="00D736E6" w:rsidRDefault="00FD6681" w:rsidP="00D30650">
            <w:pPr>
              <w:spacing w:before="60" w:after="60"/>
              <w:jc w:val="left"/>
              <w:rPr>
                <w:rFonts w:eastAsia="Times New Roman" w:cs="Arial"/>
                <w:lang w:val="en-US" w:eastAsia="en-US"/>
              </w:rPr>
            </w:pPr>
            <w:r w:rsidRPr="00D736E6">
              <w:rPr>
                <w:rFonts w:eastAsia="Times New Roman" w:cs="Arial"/>
                <w:lang w:val="en-US" w:eastAsia="en-US"/>
              </w:rPr>
              <w:t>Total directors</w:t>
            </w:r>
          </w:p>
        </w:tc>
        <w:tc>
          <w:tcPr>
            <w:tcW w:w="7008" w:type="dxa"/>
            <w:tcBorders>
              <w:top w:val="single" w:sz="4" w:space="0" w:color="auto"/>
              <w:left w:val="nil"/>
              <w:bottom w:val="single" w:sz="4" w:space="0" w:color="auto"/>
              <w:right w:val="single" w:sz="4" w:space="0" w:color="auto"/>
            </w:tcBorders>
            <w:shd w:val="clear" w:color="auto" w:fill="auto"/>
            <w:vAlign w:val="center"/>
          </w:tcPr>
          <w:p w:rsidR="00FD6681" w:rsidRPr="00D736E6" w:rsidRDefault="00FD6681" w:rsidP="00D30650">
            <w:pPr>
              <w:spacing w:before="60" w:after="60"/>
              <w:jc w:val="left"/>
              <w:rPr>
                <w:rFonts w:eastAsia="Times New Roman" w:cs="Arial"/>
                <w:lang w:val="en-US" w:eastAsia="en-US"/>
              </w:rPr>
            </w:pPr>
            <w:r w:rsidRPr="00D736E6">
              <w:rPr>
                <w:rFonts w:eastAsia="Times New Roman" w:cs="Arial"/>
                <w:lang w:val="en-US" w:eastAsia="en-US"/>
              </w:rPr>
              <w:t>The total for directors is represented by the dimension tag '</w:t>
            </w:r>
            <w:r w:rsidRPr="005540ED">
              <w:rPr>
                <w:rFonts w:eastAsia="Times New Roman" w:cs="Arial"/>
                <w:i/>
                <w:color w:val="FF0000"/>
                <w:lang w:val="en-US" w:eastAsia="en-US"/>
              </w:rPr>
              <w:t>All entity officers</w:t>
            </w:r>
            <w:r w:rsidRPr="00D736E6">
              <w:rPr>
                <w:rFonts w:eastAsia="Times New Roman" w:cs="Arial"/>
                <w:lang w:val="en-US" w:eastAsia="en-US"/>
              </w:rPr>
              <w:t xml:space="preserve">'.   (Although the </w:t>
            </w:r>
            <w:r w:rsidRPr="005540ED">
              <w:rPr>
                <w:rFonts w:eastAsia="Times New Roman" w:cs="Arial"/>
                <w:i/>
                <w:lang w:val="en-US" w:eastAsia="en-US"/>
              </w:rPr>
              <w:t>Entity Officers</w:t>
            </w:r>
            <w:r w:rsidRPr="00D736E6">
              <w:rPr>
                <w:rFonts w:eastAsia="Times New Roman" w:cs="Arial"/>
                <w:lang w:val="en-US" w:eastAsia="en-US"/>
              </w:rPr>
              <w:t xml:space="preserve"> dimension includes an item for a non-director company secretary, the 'All entity officers' tag is taken to represent total directors.)</w:t>
            </w:r>
          </w:p>
        </w:tc>
      </w:tr>
      <w:tr w:rsidR="00FD6681" w:rsidRPr="00D736E6" w:rsidTr="00FD6681">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6681" w:rsidRPr="00D736E6" w:rsidRDefault="00FD6681" w:rsidP="00D30650">
            <w:pPr>
              <w:spacing w:before="60" w:after="60"/>
              <w:jc w:val="left"/>
              <w:rPr>
                <w:rFonts w:eastAsia="Times New Roman" w:cs="Arial"/>
                <w:lang w:val="en-US" w:eastAsia="en-US"/>
              </w:rPr>
            </w:pPr>
            <w:r w:rsidRPr="00D736E6">
              <w:rPr>
                <w:rFonts w:eastAsia="Times New Roman" w:cs="Arial"/>
                <w:lang w:val="en-US" w:eastAsia="en-US"/>
              </w:rPr>
              <w:t>6.2</w:t>
            </w:r>
          </w:p>
        </w:tc>
        <w:tc>
          <w:tcPr>
            <w:tcW w:w="1728" w:type="dxa"/>
            <w:tcBorders>
              <w:top w:val="single" w:sz="4" w:space="0" w:color="auto"/>
              <w:left w:val="nil"/>
              <w:bottom w:val="single" w:sz="4" w:space="0" w:color="auto"/>
              <w:right w:val="single" w:sz="4" w:space="0" w:color="auto"/>
            </w:tcBorders>
            <w:shd w:val="clear" w:color="auto" w:fill="auto"/>
            <w:vAlign w:val="center"/>
          </w:tcPr>
          <w:p w:rsidR="00FD6681" w:rsidRPr="00D736E6" w:rsidRDefault="00FD6681" w:rsidP="00D30650">
            <w:pPr>
              <w:spacing w:before="60" w:after="60"/>
              <w:jc w:val="left"/>
              <w:rPr>
                <w:rFonts w:eastAsia="Times New Roman" w:cs="Arial"/>
                <w:lang w:val="en-US" w:eastAsia="en-US"/>
              </w:rPr>
            </w:pPr>
            <w:r w:rsidRPr="00D736E6">
              <w:rPr>
                <w:rFonts w:eastAsia="Times New Roman" w:cs="Arial"/>
                <w:lang w:val="en-US" w:eastAsia="en-US"/>
              </w:rPr>
              <w:t>Directors - maximum number</w:t>
            </w:r>
          </w:p>
        </w:tc>
        <w:tc>
          <w:tcPr>
            <w:tcW w:w="7008" w:type="dxa"/>
            <w:tcBorders>
              <w:top w:val="single" w:sz="4" w:space="0" w:color="auto"/>
              <w:left w:val="nil"/>
              <w:bottom w:val="single" w:sz="4" w:space="0" w:color="auto"/>
              <w:right w:val="single" w:sz="4" w:space="0" w:color="auto"/>
            </w:tcBorders>
            <w:shd w:val="clear" w:color="auto" w:fill="auto"/>
            <w:vAlign w:val="center"/>
          </w:tcPr>
          <w:p w:rsidR="00FD6681" w:rsidRPr="00D736E6" w:rsidRDefault="00FD6681" w:rsidP="00D30650">
            <w:pPr>
              <w:spacing w:before="60" w:after="60"/>
              <w:jc w:val="left"/>
              <w:rPr>
                <w:rFonts w:eastAsia="Times New Roman" w:cs="Arial"/>
                <w:lang w:val="en-US" w:eastAsia="en-US"/>
              </w:rPr>
            </w:pPr>
            <w:r w:rsidRPr="00D736E6">
              <w:rPr>
                <w:rFonts w:eastAsia="Times New Roman" w:cs="Arial"/>
                <w:lang w:val="en-US" w:eastAsia="en-US"/>
              </w:rPr>
              <w:t xml:space="preserve">A maximum of 40 individual directors plus some specific officers may be tagged.  If a company has more than this maximum, then all cannot be individually tagged.  In those circumstances, any 40 may be chosen, but they must include any directors responsible for signing reports, with a significant role or involved in transactions with the company.  (Each </w:t>
            </w:r>
            <w:r w:rsidRPr="005540ED">
              <w:rPr>
                <w:rFonts w:eastAsia="Times New Roman" w:cs="Arial"/>
                <w:lang w:val="en-US" w:eastAsia="en-US"/>
              </w:rPr>
              <w:t>Entity Officer generic dimension member should</w:t>
            </w:r>
            <w:r w:rsidRPr="00D736E6">
              <w:rPr>
                <w:rFonts w:eastAsia="Times New Roman" w:cs="Arial"/>
                <w:lang w:val="en-US" w:eastAsia="en-US"/>
              </w:rPr>
              <w:t xml:space="preserve"> only be used for one director, even though the </w:t>
            </w:r>
            <w:r w:rsidRPr="005540ED">
              <w:rPr>
                <w:rFonts w:eastAsia="Times New Roman" w:cs="Arial"/>
                <w:i/>
                <w:lang w:val="en-US" w:eastAsia="en-US"/>
              </w:rPr>
              <w:t>Entity Type</w:t>
            </w:r>
            <w:r w:rsidRPr="00D736E6">
              <w:rPr>
                <w:rFonts w:eastAsia="Times New Roman" w:cs="Arial"/>
                <w:lang w:val="en-US" w:eastAsia="en-US"/>
              </w:rPr>
              <w:t xml:space="preserve"> dimension allows distinction between executive and non-exec directors.  This latter point is a correction to the penultimate paragraph of section 4.12 of the </w:t>
            </w:r>
            <w:hyperlink w:anchor="PDGuide" w:history="1">
              <w:r w:rsidR="00D509E0" w:rsidRPr="00D87AA9">
                <w:rPr>
                  <w:rStyle w:val="Hyperlink"/>
                  <w:rFonts w:eastAsia="Times New Roman" w:cs="Arial"/>
                  <w:lang w:val="en-US" w:eastAsia="en-US"/>
                </w:rPr>
                <w:t>Preparers &amp; Developers Guide</w:t>
              </w:r>
            </w:hyperlink>
            <w:r w:rsidRPr="00D736E6">
              <w:rPr>
                <w:rFonts w:eastAsia="Times New Roman" w:cs="Arial"/>
                <w:lang w:val="en-US" w:eastAsia="en-US"/>
              </w:rPr>
              <w:t xml:space="preserve">.) </w:t>
            </w:r>
          </w:p>
        </w:tc>
      </w:tr>
      <w:tr w:rsidR="00FD6681" w:rsidRPr="00D736E6" w:rsidTr="00FD6681">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6681" w:rsidRPr="00D736E6" w:rsidRDefault="00FD6681" w:rsidP="00D30650">
            <w:pPr>
              <w:spacing w:before="60" w:after="60"/>
              <w:jc w:val="left"/>
              <w:rPr>
                <w:rFonts w:eastAsia="Times New Roman" w:cs="Arial"/>
                <w:lang w:val="en-US" w:eastAsia="en-US"/>
              </w:rPr>
            </w:pPr>
            <w:r w:rsidRPr="00D736E6">
              <w:rPr>
                <w:rFonts w:eastAsia="Times New Roman" w:cs="Arial"/>
                <w:lang w:val="en-US" w:eastAsia="en-US"/>
              </w:rPr>
              <w:t>6.3</w:t>
            </w:r>
          </w:p>
        </w:tc>
        <w:tc>
          <w:tcPr>
            <w:tcW w:w="1728" w:type="dxa"/>
            <w:tcBorders>
              <w:top w:val="single" w:sz="4" w:space="0" w:color="auto"/>
              <w:left w:val="nil"/>
              <w:bottom w:val="single" w:sz="4" w:space="0" w:color="auto"/>
              <w:right w:val="single" w:sz="4" w:space="0" w:color="auto"/>
            </w:tcBorders>
            <w:shd w:val="clear" w:color="auto" w:fill="auto"/>
            <w:vAlign w:val="center"/>
          </w:tcPr>
          <w:p w:rsidR="00FD6681" w:rsidRPr="00D736E6" w:rsidRDefault="00FD6681" w:rsidP="00D30650">
            <w:pPr>
              <w:spacing w:before="60" w:after="60"/>
              <w:jc w:val="left"/>
              <w:rPr>
                <w:rFonts w:eastAsia="Times New Roman" w:cs="Arial"/>
                <w:lang w:val="en-US" w:eastAsia="en-US"/>
              </w:rPr>
            </w:pPr>
            <w:r w:rsidRPr="00D736E6">
              <w:rPr>
                <w:rFonts w:eastAsia="Times New Roman" w:cs="Arial"/>
                <w:lang w:val="en-US" w:eastAsia="en-US"/>
              </w:rPr>
              <w:t>Directors - tag selection</w:t>
            </w:r>
          </w:p>
        </w:tc>
        <w:tc>
          <w:tcPr>
            <w:tcW w:w="7008" w:type="dxa"/>
            <w:tcBorders>
              <w:top w:val="single" w:sz="4" w:space="0" w:color="auto"/>
              <w:left w:val="nil"/>
              <w:bottom w:val="single" w:sz="4" w:space="0" w:color="auto"/>
              <w:right w:val="single" w:sz="4" w:space="0" w:color="auto"/>
            </w:tcBorders>
            <w:shd w:val="clear" w:color="auto" w:fill="auto"/>
            <w:vAlign w:val="center"/>
          </w:tcPr>
          <w:p w:rsidR="00FD6681" w:rsidRPr="00D736E6" w:rsidRDefault="00FD6681" w:rsidP="00D30650">
            <w:pPr>
              <w:spacing w:before="60" w:after="60"/>
              <w:jc w:val="left"/>
              <w:rPr>
                <w:rFonts w:eastAsia="Times New Roman" w:cs="Arial"/>
                <w:lang w:val="en-US" w:eastAsia="en-US"/>
              </w:rPr>
            </w:pPr>
            <w:r w:rsidRPr="00D736E6">
              <w:rPr>
                <w:rFonts w:eastAsia="Times New Roman" w:cs="Arial"/>
                <w:lang w:val="en-US" w:eastAsia="en-US"/>
              </w:rPr>
              <w:t xml:space="preserve">All directors listed in a financial statement as serving during the period being reported should be tagged,  even if some resigned during that time (subject to the maximum number of available entity officer tags).  Tags for specific posts apply to those who held the office concerned at the balance sheet date.  A director who served in a specific post but has since retired should be tagged as an ordinary director.  </w:t>
            </w:r>
          </w:p>
        </w:tc>
      </w:tr>
      <w:tr w:rsidR="00FD6681" w:rsidRPr="00D736E6" w:rsidTr="00FD6681">
        <w:trPr>
          <w:cantSplit/>
          <w:trHeight w:val="240"/>
          <w:tblHeader/>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6681" w:rsidRPr="00D736E6" w:rsidRDefault="00FD6681" w:rsidP="00D30650">
            <w:pPr>
              <w:spacing w:before="60" w:after="60"/>
              <w:jc w:val="left"/>
              <w:rPr>
                <w:rFonts w:eastAsia="Times New Roman" w:cs="Arial"/>
                <w:lang w:val="en-US" w:eastAsia="en-US"/>
              </w:rPr>
            </w:pPr>
            <w:r w:rsidRPr="00D736E6">
              <w:rPr>
                <w:rFonts w:eastAsia="Times New Roman" w:cs="Arial"/>
                <w:lang w:val="en-US" w:eastAsia="en-US"/>
              </w:rPr>
              <w:t>6.4</w:t>
            </w:r>
          </w:p>
        </w:tc>
        <w:tc>
          <w:tcPr>
            <w:tcW w:w="1728" w:type="dxa"/>
            <w:tcBorders>
              <w:top w:val="single" w:sz="4" w:space="0" w:color="auto"/>
              <w:left w:val="nil"/>
              <w:bottom w:val="single" w:sz="4" w:space="0" w:color="auto"/>
              <w:right w:val="single" w:sz="4" w:space="0" w:color="auto"/>
            </w:tcBorders>
            <w:shd w:val="clear" w:color="auto" w:fill="auto"/>
            <w:vAlign w:val="center"/>
          </w:tcPr>
          <w:p w:rsidR="00FD6681" w:rsidRPr="00D736E6" w:rsidRDefault="00FD6681" w:rsidP="00D30650">
            <w:pPr>
              <w:spacing w:before="60" w:after="60"/>
              <w:jc w:val="left"/>
              <w:rPr>
                <w:rFonts w:eastAsia="Times New Roman" w:cs="Arial"/>
                <w:lang w:val="en-US" w:eastAsia="en-US"/>
              </w:rPr>
            </w:pPr>
            <w:r w:rsidRPr="00D736E6">
              <w:rPr>
                <w:rFonts w:eastAsia="Times New Roman" w:cs="Arial"/>
                <w:lang w:val="en-US" w:eastAsia="en-US"/>
              </w:rPr>
              <w:t>Joint company secretaries</w:t>
            </w:r>
          </w:p>
        </w:tc>
        <w:tc>
          <w:tcPr>
            <w:tcW w:w="7008" w:type="dxa"/>
            <w:tcBorders>
              <w:top w:val="single" w:sz="4" w:space="0" w:color="auto"/>
              <w:left w:val="nil"/>
              <w:bottom w:val="single" w:sz="4" w:space="0" w:color="auto"/>
              <w:right w:val="single" w:sz="4" w:space="0" w:color="auto"/>
            </w:tcBorders>
            <w:shd w:val="clear" w:color="auto" w:fill="auto"/>
            <w:vAlign w:val="center"/>
          </w:tcPr>
          <w:p w:rsidR="00FD6681" w:rsidRPr="00D736E6" w:rsidRDefault="00FD6681" w:rsidP="00D30650">
            <w:pPr>
              <w:spacing w:before="60" w:after="60"/>
              <w:jc w:val="left"/>
              <w:rPr>
                <w:rFonts w:eastAsia="Times New Roman" w:cs="Arial"/>
                <w:lang w:val="en-US" w:eastAsia="en-US"/>
              </w:rPr>
            </w:pPr>
            <w:r w:rsidRPr="00D736E6">
              <w:rPr>
                <w:rFonts w:eastAsia="Times New Roman" w:cs="Arial"/>
                <w:lang w:val="en-US" w:eastAsia="en-US"/>
              </w:rPr>
              <w:t xml:space="preserve">If a company has joint company secretaries at the balance sheet date, then in general only one can be tagged as a company secretary.  It is up to the preparer which is tagged.  Other company secretaries who are directors should just be tagged as ordinary directors (e.g. director 1, director 2 etc.).  </w:t>
            </w:r>
            <w:r w:rsidR="00A30368" w:rsidRPr="00D736E6">
              <w:rPr>
                <w:rFonts w:eastAsia="Times New Roman" w:cs="Arial"/>
                <w:lang w:val="en-US" w:eastAsia="en-US"/>
              </w:rPr>
              <w:t>It is possible to tag one person as ‘</w:t>
            </w:r>
            <w:r w:rsidR="00A30368">
              <w:rPr>
                <w:rFonts w:eastAsia="Times New Roman" w:cs="Arial"/>
                <w:i/>
                <w:color w:val="FF0000"/>
                <w:lang w:val="en-US" w:eastAsia="en-US"/>
              </w:rPr>
              <w:t>Company secretary and d</w:t>
            </w:r>
            <w:r w:rsidR="00A30368" w:rsidRPr="005540ED">
              <w:rPr>
                <w:rFonts w:eastAsia="Times New Roman" w:cs="Arial"/>
                <w:i/>
                <w:color w:val="FF0000"/>
                <w:lang w:val="en-US" w:eastAsia="en-US"/>
              </w:rPr>
              <w:t>irector</w:t>
            </w:r>
            <w:r w:rsidR="00A30368" w:rsidRPr="00D736E6">
              <w:rPr>
                <w:rFonts w:eastAsia="Times New Roman" w:cs="Arial"/>
                <w:lang w:val="en-US" w:eastAsia="en-US"/>
              </w:rPr>
              <w:t>’ and another as ‘</w:t>
            </w:r>
            <w:r w:rsidR="00A30368">
              <w:rPr>
                <w:rFonts w:eastAsia="Times New Roman" w:cs="Arial"/>
                <w:i/>
                <w:color w:val="FF0000"/>
                <w:lang w:val="en-US" w:eastAsia="en-US"/>
              </w:rPr>
              <w:t>C</w:t>
            </w:r>
            <w:r w:rsidR="00A30368" w:rsidRPr="005540ED">
              <w:rPr>
                <w:rFonts w:eastAsia="Times New Roman" w:cs="Arial"/>
                <w:i/>
                <w:color w:val="FF0000"/>
                <w:lang w:val="en-US" w:eastAsia="en-US"/>
              </w:rPr>
              <w:t>ompany secretary</w:t>
            </w:r>
            <w:r w:rsidR="00A30368" w:rsidRPr="00D736E6">
              <w:rPr>
                <w:rFonts w:eastAsia="Times New Roman" w:cs="Arial"/>
                <w:lang w:val="en-US" w:eastAsia="en-US"/>
              </w:rPr>
              <w:t>’, if one joint secretary is a director and the other is not.</w:t>
            </w:r>
          </w:p>
        </w:tc>
      </w:tr>
      <w:tr w:rsidR="00FD6681" w:rsidRPr="00D736E6" w:rsidTr="00FD6681">
        <w:trPr>
          <w:cantSplit/>
          <w:trHeight w:val="240"/>
          <w:tblHeader/>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6681" w:rsidRPr="00D736E6" w:rsidRDefault="00FD6681" w:rsidP="00D30650">
            <w:pPr>
              <w:spacing w:before="60" w:after="60"/>
              <w:jc w:val="left"/>
              <w:rPr>
                <w:rFonts w:eastAsia="Times New Roman" w:cs="Arial"/>
                <w:lang w:val="en-US" w:eastAsia="en-US"/>
              </w:rPr>
            </w:pPr>
            <w:r w:rsidRPr="00D736E6">
              <w:rPr>
                <w:rFonts w:eastAsia="Times New Roman" w:cs="Arial"/>
                <w:lang w:val="en-US" w:eastAsia="en-US"/>
              </w:rPr>
              <w:t>6.5</w:t>
            </w:r>
          </w:p>
        </w:tc>
        <w:tc>
          <w:tcPr>
            <w:tcW w:w="1728" w:type="dxa"/>
            <w:tcBorders>
              <w:top w:val="single" w:sz="4" w:space="0" w:color="auto"/>
              <w:left w:val="nil"/>
              <w:bottom w:val="single" w:sz="4" w:space="0" w:color="auto"/>
              <w:right w:val="single" w:sz="4" w:space="0" w:color="auto"/>
            </w:tcBorders>
            <w:shd w:val="clear" w:color="auto" w:fill="auto"/>
            <w:vAlign w:val="center"/>
          </w:tcPr>
          <w:p w:rsidR="00FD6681" w:rsidRPr="00D736E6" w:rsidRDefault="00FD6681" w:rsidP="00D30650">
            <w:pPr>
              <w:spacing w:before="60" w:after="60"/>
              <w:jc w:val="left"/>
              <w:rPr>
                <w:rFonts w:eastAsia="Times New Roman" w:cs="Arial"/>
                <w:lang w:val="en-US" w:eastAsia="en-US"/>
              </w:rPr>
            </w:pPr>
            <w:r w:rsidRPr="00D736E6">
              <w:rPr>
                <w:rFonts w:eastAsia="Times New Roman" w:cs="Arial"/>
                <w:lang w:val="en-US" w:eastAsia="en-US"/>
              </w:rPr>
              <w:t>Highest paid director</w:t>
            </w:r>
          </w:p>
        </w:tc>
        <w:tc>
          <w:tcPr>
            <w:tcW w:w="7008" w:type="dxa"/>
            <w:tcBorders>
              <w:top w:val="single" w:sz="4" w:space="0" w:color="auto"/>
              <w:left w:val="nil"/>
              <w:bottom w:val="single" w:sz="4" w:space="0" w:color="auto"/>
              <w:right w:val="single" w:sz="4" w:space="0" w:color="auto"/>
            </w:tcBorders>
            <w:shd w:val="clear" w:color="auto" w:fill="auto"/>
            <w:vAlign w:val="center"/>
          </w:tcPr>
          <w:p w:rsidR="00FD6681" w:rsidRPr="00D736E6" w:rsidRDefault="005540ED" w:rsidP="00D30650">
            <w:pPr>
              <w:spacing w:before="60" w:after="60"/>
              <w:jc w:val="left"/>
              <w:rPr>
                <w:rFonts w:eastAsia="Times New Roman" w:cs="Arial"/>
                <w:lang w:val="en-US" w:eastAsia="en-US"/>
              </w:rPr>
            </w:pPr>
            <w:r>
              <w:rPr>
                <w:rFonts w:eastAsia="Times New Roman" w:cs="Arial"/>
                <w:lang w:val="en-US" w:eastAsia="en-US"/>
              </w:rPr>
              <w:t>The dimension tag '</w:t>
            </w:r>
            <w:r w:rsidRPr="006B79FA">
              <w:rPr>
                <w:rFonts w:eastAsia="Times New Roman" w:cs="Arial"/>
                <w:i/>
                <w:color w:val="FF0000"/>
                <w:lang w:val="en-US" w:eastAsia="en-US"/>
              </w:rPr>
              <w:t>H</w:t>
            </w:r>
            <w:r w:rsidR="00FD6681" w:rsidRPr="006B79FA">
              <w:rPr>
                <w:rFonts w:eastAsia="Times New Roman" w:cs="Arial"/>
                <w:i/>
                <w:color w:val="FF0000"/>
                <w:lang w:val="en-US" w:eastAsia="en-US"/>
              </w:rPr>
              <w:t>ighest paid director</w:t>
            </w:r>
            <w:r w:rsidR="00FD6681" w:rsidRPr="00D736E6">
              <w:rPr>
                <w:rFonts w:eastAsia="Times New Roman" w:cs="Arial"/>
                <w:lang w:val="en-US" w:eastAsia="en-US"/>
              </w:rPr>
              <w:t xml:space="preserve">' should only be used with numerical data relating to highest paid director, not for tagging an individual director.  The highest paid director is intended to be anonymous and tagging should not disclose the director's identity.  </w:t>
            </w:r>
          </w:p>
        </w:tc>
      </w:tr>
      <w:tr w:rsidR="00FD6681" w:rsidRPr="00D736E6" w:rsidTr="00FD6681">
        <w:trPr>
          <w:cantSplit/>
          <w:trHeight w:val="240"/>
          <w:tblHeader/>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6681" w:rsidRPr="00D736E6" w:rsidRDefault="00FD6681" w:rsidP="00D30650">
            <w:pPr>
              <w:spacing w:before="60" w:after="60"/>
              <w:jc w:val="left"/>
              <w:rPr>
                <w:rFonts w:eastAsia="Times New Roman" w:cs="Arial"/>
                <w:lang w:val="en-US" w:eastAsia="en-US"/>
              </w:rPr>
            </w:pPr>
            <w:r w:rsidRPr="00D736E6">
              <w:rPr>
                <w:rFonts w:eastAsia="Times New Roman" w:cs="Arial"/>
                <w:lang w:val="en-US" w:eastAsia="en-US"/>
              </w:rPr>
              <w:t>6.6</w:t>
            </w:r>
          </w:p>
        </w:tc>
        <w:tc>
          <w:tcPr>
            <w:tcW w:w="1728" w:type="dxa"/>
            <w:tcBorders>
              <w:top w:val="single" w:sz="4" w:space="0" w:color="auto"/>
              <w:left w:val="nil"/>
              <w:bottom w:val="single" w:sz="4" w:space="0" w:color="auto"/>
              <w:right w:val="single" w:sz="4" w:space="0" w:color="auto"/>
            </w:tcBorders>
            <w:shd w:val="clear" w:color="auto" w:fill="auto"/>
            <w:vAlign w:val="center"/>
          </w:tcPr>
          <w:p w:rsidR="00FD6681" w:rsidRPr="00D736E6" w:rsidRDefault="00FD6681" w:rsidP="00D30650">
            <w:pPr>
              <w:spacing w:before="60" w:after="60"/>
              <w:jc w:val="left"/>
              <w:rPr>
                <w:rFonts w:eastAsia="Times New Roman" w:cs="Arial"/>
                <w:lang w:val="en-US" w:eastAsia="en-US"/>
              </w:rPr>
            </w:pPr>
            <w:r w:rsidRPr="00D736E6">
              <w:rPr>
                <w:rFonts w:eastAsia="Times New Roman" w:cs="Arial"/>
                <w:lang w:val="en-US" w:eastAsia="en-US"/>
              </w:rPr>
              <w:t>Directors remuneration</w:t>
            </w:r>
          </w:p>
        </w:tc>
        <w:tc>
          <w:tcPr>
            <w:tcW w:w="7008" w:type="dxa"/>
            <w:tcBorders>
              <w:top w:val="single" w:sz="4" w:space="0" w:color="auto"/>
              <w:left w:val="nil"/>
              <w:bottom w:val="single" w:sz="4" w:space="0" w:color="auto"/>
              <w:right w:val="single" w:sz="4" w:space="0" w:color="auto"/>
            </w:tcBorders>
            <w:shd w:val="clear" w:color="auto" w:fill="auto"/>
            <w:vAlign w:val="center"/>
          </w:tcPr>
          <w:p w:rsidR="0043483A" w:rsidRDefault="00FD6681" w:rsidP="00D30650">
            <w:pPr>
              <w:spacing w:before="60" w:after="60"/>
              <w:jc w:val="left"/>
              <w:rPr>
                <w:rFonts w:eastAsia="Times New Roman" w:cs="Arial"/>
                <w:lang w:val="en-US" w:eastAsia="en-US"/>
              </w:rPr>
            </w:pPr>
            <w:r w:rsidRPr="00D736E6">
              <w:rPr>
                <w:rFonts w:eastAsia="Times New Roman" w:cs="Arial"/>
                <w:lang w:val="en-US" w:eastAsia="en-US"/>
              </w:rPr>
              <w:t xml:space="preserve">Tagging of directors remuneration in the notes to the accounts or the Directors' Report should use tags which reflect the appropriate level of detail of the line item concerned (in line with section 4.7 of the </w:t>
            </w:r>
            <w:hyperlink w:anchor="PDGuide" w:history="1">
              <w:r w:rsidR="00F47E7B" w:rsidRPr="00D87AA9">
                <w:rPr>
                  <w:rStyle w:val="Hyperlink"/>
                  <w:rFonts w:eastAsia="Times New Roman" w:cs="Arial"/>
                  <w:lang w:val="en-US" w:eastAsia="en-US"/>
                </w:rPr>
                <w:t>Preparers &amp; Developers Guide</w:t>
              </w:r>
            </w:hyperlink>
            <w:r w:rsidRPr="00D736E6">
              <w:rPr>
                <w:rFonts w:eastAsia="Times New Roman" w:cs="Arial"/>
                <w:lang w:val="en-US" w:eastAsia="en-US"/>
              </w:rPr>
              <w:t xml:space="preserve"> on alternative tags).  </w:t>
            </w:r>
          </w:p>
          <w:p w:rsidR="0043483A" w:rsidRDefault="00FD6681" w:rsidP="00D30650">
            <w:pPr>
              <w:spacing w:before="60" w:after="60"/>
              <w:jc w:val="left"/>
              <w:rPr>
                <w:rFonts w:eastAsia="Times New Roman" w:cs="Arial"/>
                <w:lang w:val="en-US" w:eastAsia="en-US"/>
              </w:rPr>
            </w:pPr>
            <w:r w:rsidRPr="00D736E6">
              <w:rPr>
                <w:rFonts w:eastAsia="Times New Roman" w:cs="Arial"/>
                <w:lang w:val="en-US" w:eastAsia="en-US"/>
              </w:rPr>
              <w:t>For example, directors salaries should be tagged with '</w:t>
            </w:r>
            <w:r w:rsidRPr="00D736E6">
              <w:rPr>
                <w:rFonts w:eastAsia="Times New Roman" w:cs="Arial"/>
                <w:i/>
                <w:iCs/>
                <w:color w:val="DD0806"/>
                <w:lang w:val="en-US" w:eastAsia="en-US"/>
              </w:rPr>
              <w:t>Salaries, directors</w:t>
            </w:r>
            <w:r w:rsidRPr="00D736E6">
              <w:rPr>
                <w:rFonts w:eastAsia="Times New Roman" w:cs="Arial"/>
                <w:lang w:val="en-US" w:eastAsia="en-US"/>
              </w:rPr>
              <w:t>', not '</w:t>
            </w:r>
            <w:r w:rsidRPr="00D736E6">
              <w:rPr>
                <w:rFonts w:eastAsia="Times New Roman" w:cs="Arial"/>
                <w:i/>
                <w:iCs/>
                <w:color w:val="DD0806"/>
                <w:lang w:val="en-US" w:eastAsia="en-US"/>
              </w:rPr>
              <w:t>Director remuneration and benefits excluding payments to third parties</w:t>
            </w:r>
            <w:r w:rsidRPr="00D736E6">
              <w:rPr>
                <w:rFonts w:eastAsia="Times New Roman" w:cs="Arial"/>
                <w:lang w:val="en-US" w:eastAsia="en-US"/>
              </w:rPr>
              <w:t>'.</w:t>
            </w:r>
          </w:p>
          <w:p w:rsidR="00FD6681" w:rsidRPr="00D736E6" w:rsidRDefault="00FD6681" w:rsidP="00D30650">
            <w:pPr>
              <w:spacing w:before="60" w:after="60"/>
              <w:jc w:val="left"/>
              <w:rPr>
                <w:rFonts w:eastAsia="Times New Roman" w:cs="Arial"/>
                <w:lang w:val="en-US" w:eastAsia="en-US"/>
              </w:rPr>
            </w:pPr>
            <w:r w:rsidRPr="00D736E6">
              <w:rPr>
                <w:rFonts w:eastAsia="Times New Roman" w:cs="Arial"/>
                <w:lang w:val="en-US" w:eastAsia="en-US"/>
              </w:rPr>
              <w:t>Similarly, if no payments to third parties are made, then the tag chosen for total remuneration and benefits should be the one excluding third party payments ('</w:t>
            </w:r>
            <w:r w:rsidRPr="00D736E6">
              <w:rPr>
                <w:rFonts w:eastAsia="Times New Roman" w:cs="Arial"/>
                <w:i/>
                <w:iCs/>
                <w:color w:val="DD0806"/>
                <w:lang w:val="en-US" w:eastAsia="en-US"/>
              </w:rPr>
              <w:t>Director remuneration and benefits excluding payments to third parties</w:t>
            </w:r>
            <w:r w:rsidRPr="00D736E6">
              <w:rPr>
                <w:rFonts w:eastAsia="Times New Roman" w:cs="Arial"/>
                <w:lang w:val="en-US" w:eastAsia="en-US"/>
              </w:rPr>
              <w:t>').</w:t>
            </w:r>
          </w:p>
        </w:tc>
      </w:tr>
      <w:tr w:rsidR="00FD6681" w:rsidRPr="00D736E6" w:rsidTr="00FD6681">
        <w:trPr>
          <w:cantSplit/>
          <w:trHeight w:val="240"/>
          <w:tblHeader/>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6681" w:rsidRPr="00876879" w:rsidRDefault="00FD6681" w:rsidP="00D30650">
            <w:pPr>
              <w:spacing w:before="60" w:after="60"/>
              <w:jc w:val="left"/>
              <w:rPr>
                <w:rFonts w:eastAsia="Times New Roman" w:cs="Arial"/>
                <w:highlight w:val="yellow"/>
                <w:lang w:val="en-US" w:eastAsia="en-US"/>
              </w:rPr>
            </w:pPr>
            <w:r w:rsidRPr="00876879">
              <w:rPr>
                <w:rFonts w:eastAsia="Times New Roman" w:cs="Arial"/>
                <w:highlight w:val="yellow"/>
                <w:lang w:val="en-US" w:eastAsia="en-US"/>
              </w:rPr>
              <w:lastRenderedPageBreak/>
              <w:t>6.7</w:t>
            </w:r>
          </w:p>
        </w:tc>
        <w:tc>
          <w:tcPr>
            <w:tcW w:w="1728" w:type="dxa"/>
            <w:tcBorders>
              <w:top w:val="single" w:sz="4" w:space="0" w:color="auto"/>
              <w:left w:val="nil"/>
              <w:bottom w:val="single" w:sz="4" w:space="0" w:color="auto"/>
              <w:right w:val="single" w:sz="4" w:space="0" w:color="auto"/>
            </w:tcBorders>
            <w:shd w:val="clear" w:color="auto" w:fill="auto"/>
            <w:vAlign w:val="center"/>
          </w:tcPr>
          <w:p w:rsidR="00FD6681" w:rsidRPr="00876879" w:rsidRDefault="00FD6681" w:rsidP="00D30650">
            <w:pPr>
              <w:spacing w:before="60" w:after="60"/>
              <w:jc w:val="left"/>
              <w:rPr>
                <w:rFonts w:eastAsia="Times New Roman" w:cs="Arial"/>
                <w:highlight w:val="yellow"/>
                <w:lang w:val="en-US" w:eastAsia="en-US"/>
              </w:rPr>
            </w:pPr>
            <w:r w:rsidRPr="00876879">
              <w:rPr>
                <w:rFonts w:eastAsia="Times New Roman" w:cs="Arial"/>
                <w:highlight w:val="yellow"/>
                <w:lang w:val="en-US" w:eastAsia="en-US"/>
              </w:rPr>
              <w:t>Directors remuneration - subtotals</w:t>
            </w:r>
          </w:p>
        </w:tc>
        <w:tc>
          <w:tcPr>
            <w:tcW w:w="7008" w:type="dxa"/>
            <w:tcBorders>
              <w:top w:val="single" w:sz="4" w:space="0" w:color="auto"/>
              <w:left w:val="nil"/>
              <w:bottom w:val="single" w:sz="4" w:space="0" w:color="auto"/>
              <w:right w:val="single" w:sz="4" w:space="0" w:color="auto"/>
            </w:tcBorders>
            <w:shd w:val="clear" w:color="auto" w:fill="auto"/>
            <w:vAlign w:val="center"/>
          </w:tcPr>
          <w:p w:rsidR="00FD6681" w:rsidRPr="00D736E6" w:rsidRDefault="00FD6681" w:rsidP="00D30650">
            <w:pPr>
              <w:spacing w:before="60" w:after="60"/>
              <w:jc w:val="left"/>
              <w:rPr>
                <w:rFonts w:eastAsia="Times New Roman" w:cs="Arial"/>
                <w:lang w:val="en-US" w:eastAsia="en-US"/>
              </w:rPr>
            </w:pPr>
            <w:r w:rsidRPr="00D736E6">
              <w:rPr>
                <w:rFonts w:eastAsia="Times New Roman" w:cs="Arial"/>
                <w:lang w:val="en-US" w:eastAsia="en-US"/>
              </w:rPr>
              <w:t xml:space="preserve">There is no specific tag in the taxonomy for the subtotal of remuneration and items under long-term incentive schemes, which is a subtotal that may used in reporting income of the highest paid director.  If this is specifically reported (and is not the same as remuneration alone) then it cannot be tagged.  </w:t>
            </w:r>
          </w:p>
        </w:tc>
      </w:tr>
      <w:tr w:rsidR="00FD6681" w:rsidRPr="00D736E6" w:rsidTr="00FD6681">
        <w:trPr>
          <w:cantSplit/>
          <w:trHeight w:val="240"/>
          <w:tblHeader/>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6681" w:rsidRPr="00D736E6" w:rsidRDefault="00FD6681" w:rsidP="00D30650">
            <w:pPr>
              <w:spacing w:before="60" w:after="60"/>
              <w:jc w:val="left"/>
              <w:rPr>
                <w:rFonts w:eastAsia="Times New Roman" w:cs="Arial"/>
                <w:lang w:val="en-US" w:eastAsia="en-US"/>
              </w:rPr>
            </w:pPr>
            <w:r w:rsidRPr="00D736E6">
              <w:rPr>
                <w:rFonts w:eastAsia="Times New Roman" w:cs="Arial"/>
                <w:lang w:val="en-US" w:eastAsia="en-US"/>
              </w:rPr>
              <w:t>6.8</w:t>
            </w:r>
          </w:p>
        </w:tc>
        <w:tc>
          <w:tcPr>
            <w:tcW w:w="1728" w:type="dxa"/>
            <w:tcBorders>
              <w:top w:val="single" w:sz="4" w:space="0" w:color="auto"/>
              <w:left w:val="nil"/>
              <w:bottom w:val="single" w:sz="4" w:space="0" w:color="auto"/>
              <w:right w:val="single" w:sz="4" w:space="0" w:color="auto"/>
            </w:tcBorders>
            <w:shd w:val="clear" w:color="auto" w:fill="auto"/>
            <w:vAlign w:val="center"/>
          </w:tcPr>
          <w:p w:rsidR="00FD6681" w:rsidRPr="00D736E6" w:rsidRDefault="00FD6681" w:rsidP="00D30650">
            <w:pPr>
              <w:spacing w:before="60" w:after="60"/>
              <w:jc w:val="left"/>
              <w:rPr>
                <w:rFonts w:eastAsia="Times New Roman" w:cs="Arial"/>
                <w:lang w:val="en-US" w:eastAsia="en-US"/>
              </w:rPr>
            </w:pPr>
            <w:r w:rsidRPr="00D736E6">
              <w:rPr>
                <w:rFonts w:eastAsia="Times New Roman" w:cs="Arial"/>
                <w:lang w:val="en-US" w:eastAsia="en-US"/>
              </w:rPr>
              <w:t>Directors' statement of responsibilities</w:t>
            </w:r>
          </w:p>
        </w:tc>
        <w:tc>
          <w:tcPr>
            <w:tcW w:w="7008" w:type="dxa"/>
            <w:tcBorders>
              <w:top w:val="single" w:sz="4" w:space="0" w:color="auto"/>
              <w:left w:val="nil"/>
              <w:bottom w:val="single" w:sz="4" w:space="0" w:color="auto"/>
              <w:right w:val="single" w:sz="4" w:space="0" w:color="auto"/>
            </w:tcBorders>
            <w:shd w:val="clear" w:color="auto" w:fill="auto"/>
            <w:vAlign w:val="center"/>
          </w:tcPr>
          <w:p w:rsidR="00FD6681" w:rsidRPr="00D736E6" w:rsidRDefault="00FD6681" w:rsidP="00D30650">
            <w:pPr>
              <w:spacing w:before="60" w:after="60"/>
              <w:jc w:val="left"/>
              <w:rPr>
                <w:rFonts w:eastAsia="Times New Roman" w:cs="Arial"/>
                <w:lang w:val="en-US" w:eastAsia="en-US"/>
              </w:rPr>
            </w:pPr>
            <w:r w:rsidRPr="00D736E6">
              <w:rPr>
                <w:rFonts w:eastAsia="Times New Roman" w:cs="Arial"/>
                <w:lang w:val="en-US" w:eastAsia="en-US"/>
              </w:rPr>
              <w:t>Companies House has some specific requirements on text which should be tagged with the tag '</w:t>
            </w:r>
            <w:r w:rsidRPr="006B79FA">
              <w:rPr>
                <w:rFonts w:eastAsia="Times New Roman" w:cs="Arial"/>
                <w:i/>
                <w:color w:val="FF0000"/>
                <w:lang w:val="en-US" w:eastAsia="en-US"/>
              </w:rPr>
              <w:t>Directors acknowledge their responsibilities under the Companies Act</w:t>
            </w:r>
            <w:r w:rsidRPr="00D736E6">
              <w:rPr>
                <w:rFonts w:eastAsia="Times New Roman" w:cs="Arial"/>
                <w:lang w:val="en-US" w:eastAsia="en-US"/>
              </w:rPr>
              <w:t xml:space="preserve">' in </w:t>
            </w:r>
            <w:r w:rsidR="00D01979">
              <w:rPr>
                <w:rFonts w:eastAsia="Times New Roman" w:cs="Arial"/>
                <w:lang w:val="en-US" w:eastAsia="en-US"/>
              </w:rPr>
              <w:t>unaudited accounts</w:t>
            </w:r>
            <w:r w:rsidRPr="00D736E6">
              <w:rPr>
                <w:rFonts w:eastAsia="Times New Roman" w:cs="Arial"/>
                <w:lang w:val="en-US" w:eastAsia="en-US"/>
              </w:rPr>
              <w:t xml:space="preserve">.  Preparers should consult the Companies House interface document for more information.  </w:t>
            </w:r>
          </w:p>
        </w:tc>
      </w:tr>
      <w:tr w:rsidR="00FD6681" w:rsidRPr="00D736E6" w:rsidTr="00FD6681">
        <w:trPr>
          <w:cantSplit/>
          <w:trHeight w:val="240"/>
          <w:tblHeader/>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6681" w:rsidRPr="00D736E6" w:rsidRDefault="00FD6681" w:rsidP="00D30650">
            <w:pPr>
              <w:spacing w:before="60" w:after="60"/>
              <w:jc w:val="left"/>
              <w:rPr>
                <w:rFonts w:eastAsia="Times New Roman" w:cs="Arial"/>
                <w:lang w:val="en-US" w:eastAsia="en-US"/>
              </w:rPr>
            </w:pPr>
            <w:r w:rsidRPr="00D736E6">
              <w:rPr>
                <w:rFonts w:eastAsia="Times New Roman" w:cs="Arial"/>
                <w:lang w:val="en-US" w:eastAsia="en-US"/>
              </w:rPr>
              <w:t>6.9</w:t>
            </w:r>
          </w:p>
        </w:tc>
        <w:tc>
          <w:tcPr>
            <w:tcW w:w="1728" w:type="dxa"/>
            <w:tcBorders>
              <w:top w:val="single" w:sz="4" w:space="0" w:color="auto"/>
              <w:left w:val="nil"/>
              <w:bottom w:val="single" w:sz="4" w:space="0" w:color="auto"/>
              <w:right w:val="single" w:sz="4" w:space="0" w:color="auto"/>
            </w:tcBorders>
            <w:shd w:val="clear" w:color="auto" w:fill="auto"/>
            <w:vAlign w:val="center"/>
          </w:tcPr>
          <w:p w:rsidR="00FD6681" w:rsidRPr="00D736E6" w:rsidRDefault="00FD6681" w:rsidP="00D30650">
            <w:pPr>
              <w:spacing w:before="60" w:after="60"/>
              <w:jc w:val="left"/>
              <w:rPr>
                <w:rFonts w:eastAsia="Times New Roman" w:cs="Arial"/>
                <w:lang w:val="en-US" w:eastAsia="en-US"/>
              </w:rPr>
            </w:pPr>
            <w:r w:rsidRPr="00D736E6">
              <w:rPr>
                <w:rFonts w:eastAsia="Times New Roman" w:cs="Arial"/>
                <w:lang w:val="en-US" w:eastAsia="en-US"/>
              </w:rPr>
              <w:t>Loans, advances and guarantees to Directors</w:t>
            </w:r>
          </w:p>
        </w:tc>
        <w:tc>
          <w:tcPr>
            <w:tcW w:w="7008" w:type="dxa"/>
            <w:tcBorders>
              <w:top w:val="single" w:sz="4" w:space="0" w:color="auto"/>
              <w:left w:val="nil"/>
              <w:bottom w:val="single" w:sz="4" w:space="0" w:color="auto"/>
              <w:right w:val="single" w:sz="4" w:space="0" w:color="auto"/>
            </w:tcBorders>
            <w:shd w:val="clear" w:color="auto" w:fill="auto"/>
            <w:vAlign w:val="center"/>
          </w:tcPr>
          <w:p w:rsidR="00FD6681" w:rsidRPr="00D736E6" w:rsidRDefault="00FD6681" w:rsidP="00D30650">
            <w:pPr>
              <w:spacing w:before="60" w:after="60"/>
              <w:jc w:val="left"/>
              <w:rPr>
                <w:rFonts w:eastAsia="Times New Roman" w:cs="Arial"/>
                <w:lang w:val="en-US" w:eastAsia="en-US"/>
              </w:rPr>
            </w:pPr>
            <w:r w:rsidRPr="00D736E6">
              <w:rPr>
                <w:rFonts w:eastAsia="Times New Roman" w:cs="Arial"/>
                <w:lang w:val="en-US" w:eastAsia="en-US"/>
              </w:rPr>
              <w:t xml:space="preserve">If a transaction, such as a loan, is a joint one with two directors, then the full amount of the transaction should be tagged for each director.  For example, a joint loan to directors X and Y for £10,000 must be represented by separate tags:  ‘loan £10,000 with dimension tag for director X’ and ‘loan £10,000 with dimension tag for director Y’.  (Clearly, the company total for loans to directors will be tagged as normal and is not affected by any double-counting.  Preparers should not worry about double-counting in these cases.  XBRL processing can enable the data to be interpreted.  This approach ensures that all loans to directors are adequately tagged.)  </w:t>
            </w:r>
          </w:p>
        </w:tc>
      </w:tr>
      <w:tr w:rsidR="00F20171" w:rsidRPr="00D736E6" w:rsidTr="00FD6681">
        <w:trPr>
          <w:cantSplit/>
          <w:trHeight w:val="240"/>
          <w:tblHeader/>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20171" w:rsidRPr="00D736E6" w:rsidRDefault="00F20171" w:rsidP="00D30650">
            <w:pPr>
              <w:spacing w:before="60" w:after="60"/>
              <w:jc w:val="left"/>
              <w:rPr>
                <w:rFonts w:eastAsia="Times New Roman" w:cs="Arial"/>
                <w:lang w:val="en-US" w:eastAsia="en-US"/>
              </w:rPr>
            </w:pPr>
            <w:r>
              <w:rPr>
                <w:rFonts w:eastAsia="Times New Roman" w:cs="Arial"/>
                <w:lang w:val="en-US" w:eastAsia="en-US"/>
              </w:rPr>
              <w:t>6.10</w:t>
            </w:r>
          </w:p>
        </w:tc>
        <w:tc>
          <w:tcPr>
            <w:tcW w:w="1728" w:type="dxa"/>
            <w:tcBorders>
              <w:top w:val="single" w:sz="4" w:space="0" w:color="auto"/>
              <w:left w:val="nil"/>
              <w:bottom w:val="single" w:sz="4" w:space="0" w:color="auto"/>
              <w:right w:val="single" w:sz="4" w:space="0" w:color="auto"/>
            </w:tcBorders>
            <w:shd w:val="clear" w:color="auto" w:fill="auto"/>
            <w:vAlign w:val="center"/>
          </w:tcPr>
          <w:p w:rsidR="00F20171" w:rsidRPr="00D736E6" w:rsidRDefault="00F20171" w:rsidP="00D30650">
            <w:pPr>
              <w:spacing w:before="60" w:after="60"/>
              <w:jc w:val="left"/>
              <w:rPr>
                <w:rFonts w:eastAsia="Times New Roman" w:cs="Arial"/>
                <w:lang w:val="en-US" w:eastAsia="en-US"/>
              </w:rPr>
            </w:pPr>
            <w:r>
              <w:rPr>
                <w:rFonts w:eastAsia="Times New Roman" w:cs="Arial"/>
                <w:lang w:val="en-US" w:eastAsia="en-US"/>
              </w:rPr>
              <w:t>Accounts without a directors report</w:t>
            </w:r>
          </w:p>
        </w:tc>
        <w:tc>
          <w:tcPr>
            <w:tcW w:w="7008" w:type="dxa"/>
            <w:tcBorders>
              <w:top w:val="single" w:sz="4" w:space="0" w:color="auto"/>
              <w:left w:val="nil"/>
              <w:bottom w:val="single" w:sz="4" w:space="0" w:color="auto"/>
              <w:right w:val="single" w:sz="4" w:space="0" w:color="auto"/>
            </w:tcBorders>
            <w:shd w:val="clear" w:color="auto" w:fill="auto"/>
            <w:vAlign w:val="center"/>
          </w:tcPr>
          <w:p w:rsidR="004B3432" w:rsidRDefault="00F20171" w:rsidP="00D30650">
            <w:pPr>
              <w:spacing w:before="60" w:after="60"/>
              <w:jc w:val="left"/>
              <w:rPr>
                <w:rFonts w:eastAsia="Times New Roman" w:cs="Arial"/>
                <w:lang w:val="en-US" w:eastAsia="en-US"/>
              </w:rPr>
            </w:pPr>
            <w:r>
              <w:rPr>
                <w:rFonts w:eastAsia="Times New Roman" w:cs="Arial"/>
                <w:lang w:val="en-US" w:eastAsia="en-US"/>
              </w:rPr>
              <w:t>When tagging accounts which do not have a Directors’ Report, such as branch accounts, preparers should tag the person approving the accounts as ‘</w:t>
            </w:r>
            <w:r w:rsidRPr="00F20171">
              <w:rPr>
                <w:rFonts w:eastAsia="Times New Roman" w:cs="Arial"/>
                <w:i/>
                <w:color w:val="FF0000"/>
                <w:lang w:val="en-US" w:eastAsia="en-US"/>
              </w:rPr>
              <w:t>Director signing report</w:t>
            </w:r>
            <w:r>
              <w:rPr>
                <w:rFonts w:eastAsia="Times New Roman" w:cs="Arial"/>
                <w:lang w:val="en-US" w:eastAsia="en-US"/>
              </w:rPr>
              <w:t xml:space="preserve">’, even if the person concerned is not a director.  </w:t>
            </w:r>
            <w:r w:rsidR="00961A7B">
              <w:rPr>
                <w:rFonts w:eastAsia="Times New Roman" w:cs="Arial"/>
                <w:lang w:val="en-US" w:eastAsia="en-US"/>
              </w:rPr>
              <w:t>The</w:t>
            </w:r>
            <w:r>
              <w:rPr>
                <w:rFonts w:eastAsia="Times New Roman" w:cs="Arial"/>
                <w:lang w:val="en-US" w:eastAsia="en-US"/>
              </w:rPr>
              <w:t xml:space="preserve"> same person </w:t>
            </w:r>
            <w:r w:rsidR="00A50B38">
              <w:rPr>
                <w:rFonts w:eastAsia="Times New Roman" w:cs="Arial"/>
                <w:lang w:val="en-US" w:eastAsia="en-US"/>
              </w:rPr>
              <w:t>should be</w:t>
            </w:r>
            <w:r>
              <w:rPr>
                <w:rFonts w:eastAsia="Times New Roman" w:cs="Arial"/>
                <w:lang w:val="en-US" w:eastAsia="en-US"/>
              </w:rPr>
              <w:t xml:space="preserve"> tagged with the tags in GAAP and IFRS related to accounts approval.  </w:t>
            </w:r>
            <w:r w:rsidR="004B3432">
              <w:rPr>
                <w:rFonts w:eastAsia="Times New Roman" w:cs="Arial"/>
                <w:lang w:val="en-US" w:eastAsia="en-US"/>
              </w:rPr>
              <w:t>The</w:t>
            </w:r>
            <w:r w:rsidR="00961A7B">
              <w:rPr>
                <w:rFonts w:eastAsia="Times New Roman" w:cs="Arial"/>
                <w:lang w:val="en-US" w:eastAsia="en-US"/>
              </w:rPr>
              <w:t xml:space="preserve">ir name should be tagged as if they were a director.  </w:t>
            </w:r>
            <w:r w:rsidR="00F24AAB">
              <w:rPr>
                <w:rFonts w:eastAsia="Times New Roman" w:cs="Arial"/>
                <w:lang w:val="en-US" w:eastAsia="en-US"/>
              </w:rPr>
              <w:t>This is solely for the purpose of recording approval and i</w:t>
            </w:r>
            <w:r>
              <w:rPr>
                <w:rFonts w:eastAsia="Times New Roman" w:cs="Arial"/>
                <w:lang w:val="en-US" w:eastAsia="en-US"/>
              </w:rPr>
              <w:t xml:space="preserve">s </w:t>
            </w:r>
            <w:r w:rsidR="00F24AAB">
              <w:rPr>
                <w:rFonts w:eastAsia="Times New Roman" w:cs="Arial"/>
                <w:lang w:val="en-US" w:eastAsia="en-US"/>
              </w:rPr>
              <w:t xml:space="preserve">to </w:t>
            </w:r>
            <w:r w:rsidR="004B3432">
              <w:rPr>
                <w:rFonts w:eastAsia="Times New Roman" w:cs="Arial"/>
                <w:lang w:val="en-US" w:eastAsia="en-US"/>
              </w:rPr>
              <w:t xml:space="preserve">meet iXBRL </w:t>
            </w:r>
            <w:r>
              <w:rPr>
                <w:rFonts w:eastAsia="Times New Roman" w:cs="Arial"/>
                <w:lang w:val="en-US" w:eastAsia="en-US"/>
              </w:rPr>
              <w:t xml:space="preserve">validation requirements on the government gateway.  </w:t>
            </w:r>
          </w:p>
          <w:p w:rsidR="00481C3A" w:rsidRPr="00F20171" w:rsidRDefault="00F20171" w:rsidP="00D30650">
            <w:pPr>
              <w:spacing w:before="60" w:after="60"/>
              <w:jc w:val="left"/>
              <w:rPr>
                <w:rFonts w:eastAsia="Times New Roman" w:cs="Arial"/>
                <w:lang w:val="en-US" w:eastAsia="en-US"/>
              </w:rPr>
            </w:pPr>
            <w:r>
              <w:rPr>
                <w:rFonts w:eastAsia="Times New Roman" w:cs="Arial"/>
                <w:lang w:val="en-US" w:eastAsia="en-US"/>
              </w:rPr>
              <w:t xml:space="preserve">HMRC </w:t>
            </w:r>
            <w:r w:rsidR="004B3432">
              <w:rPr>
                <w:rFonts w:eastAsia="Times New Roman" w:cs="Arial"/>
                <w:lang w:val="en-US" w:eastAsia="en-US"/>
              </w:rPr>
              <w:t xml:space="preserve">has stated that it </w:t>
            </w:r>
            <w:r>
              <w:rPr>
                <w:rFonts w:eastAsia="Times New Roman" w:cs="Arial"/>
                <w:lang w:val="en-US" w:eastAsia="en-US"/>
              </w:rPr>
              <w:t>accept</w:t>
            </w:r>
            <w:r w:rsidR="004B3432">
              <w:rPr>
                <w:rFonts w:eastAsia="Times New Roman" w:cs="Arial"/>
                <w:lang w:val="en-US" w:eastAsia="en-US"/>
              </w:rPr>
              <w:t xml:space="preserve">s those giving approval to such accounts may not be </w:t>
            </w:r>
            <w:r>
              <w:rPr>
                <w:rFonts w:eastAsia="Times New Roman" w:cs="Arial"/>
                <w:lang w:val="en-US" w:eastAsia="en-US"/>
              </w:rPr>
              <w:t>directors, despite the tagging concerned</w:t>
            </w:r>
            <w:r w:rsidR="004C0DD1">
              <w:rPr>
                <w:rFonts w:eastAsia="Times New Roman" w:cs="Arial"/>
                <w:lang w:val="en-US" w:eastAsia="en-US"/>
              </w:rPr>
              <w:t>, and that this tagging will not cause it to treat the person as a director.  P</w:t>
            </w:r>
            <w:r>
              <w:rPr>
                <w:rFonts w:eastAsia="Times New Roman" w:cs="Arial"/>
                <w:lang w:val="en-US" w:eastAsia="en-US"/>
              </w:rPr>
              <w:t xml:space="preserve">reparers should not have qualms about </w:t>
            </w:r>
            <w:r w:rsidR="004B3432">
              <w:rPr>
                <w:rFonts w:eastAsia="Times New Roman" w:cs="Arial"/>
                <w:lang w:val="en-US" w:eastAsia="en-US"/>
              </w:rPr>
              <w:t>tagging in this way.</w:t>
            </w:r>
            <w:r>
              <w:rPr>
                <w:rFonts w:eastAsia="Times New Roman" w:cs="Arial"/>
                <w:lang w:val="en-US" w:eastAsia="en-US"/>
              </w:rPr>
              <w:t xml:space="preserve">  </w:t>
            </w:r>
          </w:p>
        </w:tc>
      </w:tr>
    </w:tbl>
    <w:p w:rsidR="00DA5C5B" w:rsidRDefault="00DA5C5B">
      <w:pPr>
        <w:rPr>
          <w:rFonts w:cs="Arial"/>
        </w:rPr>
      </w:pPr>
    </w:p>
    <w:p w:rsidR="00DA5C5B" w:rsidRPr="00D30650" w:rsidRDefault="00D30650" w:rsidP="00D30650">
      <w:pPr>
        <w:pStyle w:val="Heading1"/>
      </w:pPr>
      <w:r>
        <w:rPr>
          <w:rFonts w:cs="Arial"/>
        </w:rPr>
        <w:br w:type="page"/>
      </w:r>
      <w:bookmarkStart w:id="17" w:name="_Toc292036824"/>
      <w:r w:rsidRPr="00D30650">
        <w:lastRenderedPageBreak/>
        <w:t>7</w:t>
      </w:r>
      <w:r w:rsidRPr="00D30650">
        <w:tab/>
        <w:t>Auditors and accountants information and report</w:t>
      </w:r>
      <w:bookmarkEnd w:id="17"/>
    </w:p>
    <w:p w:rsidR="00DA5C5B" w:rsidRDefault="00DA5C5B">
      <w:pPr>
        <w:rPr>
          <w:rFonts w:cs="Arial"/>
        </w:rPr>
      </w:pPr>
    </w:p>
    <w:tbl>
      <w:tblPr>
        <w:tblW w:w="9231" w:type="dxa"/>
        <w:tblInd w:w="91" w:type="dxa"/>
        <w:tblLook w:val="0000"/>
      </w:tblPr>
      <w:tblGrid>
        <w:gridCol w:w="495"/>
        <w:gridCol w:w="1728"/>
        <w:gridCol w:w="7008"/>
      </w:tblGrid>
      <w:tr w:rsidR="00FD6681" w:rsidRPr="00D50F7D" w:rsidTr="00FD6681">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6681" w:rsidRPr="00D87AA9" w:rsidRDefault="00FD6681" w:rsidP="007C2E56">
            <w:pPr>
              <w:spacing w:before="60" w:after="60"/>
              <w:jc w:val="left"/>
              <w:rPr>
                <w:rFonts w:eastAsia="Times New Roman" w:cs="Arial"/>
                <w:b/>
                <w:bCs/>
                <w:lang w:val="en-US" w:eastAsia="en-US"/>
              </w:rPr>
            </w:pPr>
            <w:r w:rsidRPr="00D87AA9">
              <w:rPr>
                <w:rFonts w:eastAsia="Times New Roman" w:cs="Arial"/>
                <w:b/>
                <w:bCs/>
                <w:lang w:val="en-US" w:eastAsia="en-US"/>
              </w:rPr>
              <w:t>ID</w:t>
            </w:r>
          </w:p>
        </w:tc>
        <w:tc>
          <w:tcPr>
            <w:tcW w:w="1728" w:type="dxa"/>
            <w:tcBorders>
              <w:top w:val="single" w:sz="4" w:space="0" w:color="auto"/>
              <w:left w:val="nil"/>
              <w:bottom w:val="single" w:sz="4" w:space="0" w:color="auto"/>
              <w:right w:val="single" w:sz="4" w:space="0" w:color="auto"/>
            </w:tcBorders>
            <w:shd w:val="clear" w:color="auto" w:fill="auto"/>
            <w:vAlign w:val="center"/>
          </w:tcPr>
          <w:p w:rsidR="00FD6681" w:rsidRPr="00D87AA9" w:rsidRDefault="00FD6681" w:rsidP="007C2E56">
            <w:pPr>
              <w:spacing w:before="60" w:after="60"/>
              <w:jc w:val="left"/>
              <w:rPr>
                <w:rFonts w:eastAsia="Times New Roman" w:cs="Arial"/>
                <w:b/>
                <w:bCs/>
                <w:lang w:val="en-US" w:eastAsia="en-US"/>
              </w:rPr>
            </w:pPr>
            <w:r w:rsidRPr="00D87AA9">
              <w:rPr>
                <w:rFonts w:eastAsia="Times New Roman" w:cs="Arial"/>
                <w:b/>
                <w:bCs/>
                <w:lang w:val="en-US" w:eastAsia="en-US"/>
              </w:rPr>
              <w:t>Item</w:t>
            </w:r>
          </w:p>
        </w:tc>
        <w:tc>
          <w:tcPr>
            <w:tcW w:w="7008" w:type="dxa"/>
            <w:tcBorders>
              <w:top w:val="single" w:sz="4" w:space="0" w:color="auto"/>
              <w:left w:val="nil"/>
              <w:bottom w:val="single" w:sz="4" w:space="0" w:color="auto"/>
              <w:right w:val="single" w:sz="4" w:space="0" w:color="auto"/>
            </w:tcBorders>
            <w:shd w:val="clear" w:color="auto" w:fill="auto"/>
            <w:vAlign w:val="center"/>
          </w:tcPr>
          <w:p w:rsidR="00FD6681" w:rsidRPr="00D87AA9" w:rsidRDefault="00FD6681" w:rsidP="007C2E56">
            <w:pPr>
              <w:spacing w:before="60" w:after="60"/>
              <w:jc w:val="left"/>
              <w:rPr>
                <w:rFonts w:eastAsia="Times New Roman" w:cs="Arial"/>
                <w:b/>
                <w:bCs/>
                <w:lang w:val="en-US" w:eastAsia="en-US"/>
              </w:rPr>
            </w:pPr>
            <w:r w:rsidRPr="00D87AA9">
              <w:rPr>
                <w:rFonts w:eastAsia="Times New Roman" w:cs="Arial"/>
                <w:b/>
                <w:bCs/>
                <w:lang w:val="en-US" w:eastAsia="en-US"/>
              </w:rPr>
              <w:t>Description</w:t>
            </w:r>
          </w:p>
        </w:tc>
      </w:tr>
      <w:tr w:rsidR="00FD6681" w:rsidRPr="00C21622" w:rsidTr="00FD6681">
        <w:trPr>
          <w:cantSplit/>
          <w:trHeight w:val="240"/>
        </w:trPr>
        <w:tc>
          <w:tcPr>
            <w:tcW w:w="495" w:type="dxa"/>
            <w:tcBorders>
              <w:top w:val="single" w:sz="4" w:space="0" w:color="auto"/>
              <w:left w:val="single" w:sz="4" w:space="0" w:color="auto"/>
              <w:bottom w:val="single" w:sz="4" w:space="0" w:color="auto"/>
              <w:right w:val="single" w:sz="4" w:space="0" w:color="auto"/>
            </w:tcBorders>
            <w:noWrap/>
            <w:vAlign w:val="center"/>
          </w:tcPr>
          <w:p w:rsidR="00FD6681" w:rsidRPr="00C21622" w:rsidRDefault="00FD6681" w:rsidP="00C21622">
            <w:pPr>
              <w:spacing w:before="60" w:after="60"/>
              <w:jc w:val="left"/>
              <w:rPr>
                <w:rFonts w:eastAsia="Times New Roman" w:cs="Arial"/>
                <w:lang w:val="en-US" w:eastAsia="en-US"/>
              </w:rPr>
            </w:pPr>
            <w:r w:rsidRPr="00C21622">
              <w:rPr>
                <w:rFonts w:eastAsia="Times New Roman" w:cs="Arial"/>
                <w:lang w:val="en-US" w:eastAsia="en-US"/>
              </w:rPr>
              <w:t>7.1</w:t>
            </w:r>
          </w:p>
        </w:tc>
        <w:tc>
          <w:tcPr>
            <w:tcW w:w="1728" w:type="dxa"/>
            <w:tcBorders>
              <w:top w:val="single" w:sz="4" w:space="0" w:color="auto"/>
              <w:left w:val="nil"/>
              <w:bottom w:val="single" w:sz="4" w:space="0" w:color="auto"/>
              <w:right w:val="single" w:sz="4" w:space="0" w:color="auto"/>
            </w:tcBorders>
            <w:shd w:val="clear" w:color="auto" w:fill="auto"/>
            <w:vAlign w:val="center"/>
          </w:tcPr>
          <w:p w:rsidR="00FD6681" w:rsidRPr="00C21622" w:rsidRDefault="00FD6681" w:rsidP="00C21622">
            <w:pPr>
              <w:spacing w:before="60" w:after="60"/>
              <w:jc w:val="left"/>
              <w:rPr>
                <w:rFonts w:eastAsia="Times New Roman" w:cs="Arial"/>
                <w:lang w:val="en-US" w:eastAsia="en-US"/>
              </w:rPr>
            </w:pPr>
            <w:r w:rsidRPr="00C21622">
              <w:rPr>
                <w:rFonts w:eastAsia="Times New Roman" w:cs="Arial"/>
                <w:lang w:val="en-US" w:eastAsia="en-US"/>
              </w:rPr>
              <w:t>Auditor and accountants information</w:t>
            </w:r>
          </w:p>
        </w:tc>
        <w:tc>
          <w:tcPr>
            <w:tcW w:w="7008" w:type="dxa"/>
            <w:tcBorders>
              <w:top w:val="single" w:sz="4" w:space="0" w:color="auto"/>
              <w:left w:val="nil"/>
              <w:bottom w:val="single" w:sz="4" w:space="0" w:color="auto"/>
              <w:right w:val="single" w:sz="4" w:space="0" w:color="auto"/>
            </w:tcBorders>
            <w:shd w:val="clear" w:color="auto" w:fill="auto"/>
            <w:vAlign w:val="center"/>
          </w:tcPr>
          <w:p w:rsidR="0043483A" w:rsidRDefault="00FD6681" w:rsidP="00C21622">
            <w:pPr>
              <w:spacing w:before="60" w:after="60"/>
              <w:jc w:val="left"/>
              <w:rPr>
                <w:rFonts w:eastAsia="Times New Roman" w:cs="Arial"/>
                <w:lang w:val="en-US" w:eastAsia="en-US"/>
              </w:rPr>
            </w:pPr>
            <w:r w:rsidRPr="00C21622">
              <w:rPr>
                <w:rFonts w:eastAsia="Times New Roman" w:cs="Arial"/>
                <w:lang w:val="en-US" w:eastAsia="en-US"/>
              </w:rPr>
              <w:t xml:space="preserve">All information related to auditors and accountants, including names, fees and content of the auditors' report </w:t>
            </w:r>
            <w:r w:rsidRPr="00C21622">
              <w:rPr>
                <w:rFonts w:eastAsia="Times New Roman" w:cs="Arial"/>
                <w:b/>
                <w:bCs/>
                <w:lang w:val="en-US" w:eastAsia="en-US"/>
              </w:rPr>
              <w:t>must</w:t>
            </w:r>
            <w:r w:rsidRPr="00C21622">
              <w:rPr>
                <w:rFonts w:eastAsia="Times New Roman" w:cs="Arial"/>
                <w:lang w:val="en-US" w:eastAsia="en-US"/>
              </w:rPr>
              <w:t xml:space="preserve"> be tagged with the '</w:t>
            </w:r>
            <w:r w:rsidRPr="003A6D5B">
              <w:rPr>
                <w:rFonts w:eastAsia="Times New Roman" w:cs="Arial"/>
                <w:i/>
                <w:color w:val="FF0000"/>
                <w:lang w:val="en-US" w:eastAsia="en-US"/>
              </w:rPr>
              <w:t>Entity accountants or auditors</w:t>
            </w:r>
            <w:r w:rsidRPr="00C21622">
              <w:rPr>
                <w:rFonts w:eastAsia="Times New Roman" w:cs="Arial"/>
                <w:lang w:val="en-US" w:eastAsia="en-US"/>
              </w:rPr>
              <w:t xml:space="preserve">' dimension tag, even if the tag concerned already includes 'audit' in the label.  </w:t>
            </w:r>
          </w:p>
          <w:p w:rsidR="00FD6681" w:rsidRPr="00C21622" w:rsidRDefault="00FD6681" w:rsidP="00C21622">
            <w:pPr>
              <w:spacing w:before="60" w:after="60"/>
              <w:jc w:val="left"/>
              <w:rPr>
                <w:rFonts w:eastAsia="Times New Roman" w:cs="Arial"/>
                <w:lang w:val="en-US" w:eastAsia="en-US"/>
              </w:rPr>
            </w:pPr>
            <w:r w:rsidRPr="00C21622">
              <w:rPr>
                <w:rFonts w:eastAsia="Times New Roman" w:cs="Arial"/>
                <w:lang w:val="en-US" w:eastAsia="en-US"/>
              </w:rPr>
              <w:t xml:space="preserve">Basic tags under the </w:t>
            </w:r>
            <w:r w:rsidRPr="003A6D5B">
              <w:rPr>
                <w:rFonts w:eastAsia="Times New Roman" w:cs="Arial"/>
                <w:i/>
                <w:color w:val="008000"/>
                <w:lang w:val="en-US" w:eastAsia="en-US"/>
              </w:rPr>
              <w:t>Auditors' Report</w:t>
            </w:r>
            <w:r w:rsidRPr="00C21622">
              <w:rPr>
                <w:rFonts w:eastAsia="Times New Roman" w:cs="Arial"/>
                <w:lang w:val="en-US" w:eastAsia="en-US"/>
              </w:rPr>
              <w:t xml:space="preserve"> section, including </w:t>
            </w:r>
            <w:r w:rsidRPr="006B79FA">
              <w:rPr>
                <w:rFonts w:eastAsia="Times New Roman" w:cs="Arial"/>
                <w:i/>
                <w:color w:val="FF0000"/>
                <w:lang w:val="en-US" w:eastAsia="en-US"/>
              </w:rPr>
              <w:t>'</w:t>
            </w:r>
            <w:r w:rsidR="006B79FA">
              <w:rPr>
                <w:rFonts w:eastAsia="Times New Roman" w:cs="Arial"/>
                <w:i/>
                <w:color w:val="FF0000"/>
                <w:lang w:val="en-US" w:eastAsia="en-US"/>
              </w:rPr>
              <w:t>N</w:t>
            </w:r>
            <w:r w:rsidRPr="006B79FA">
              <w:rPr>
                <w:rFonts w:eastAsia="Times New Roman" w:cs="Arial"/>
                <w:i/>
                <w:color w:val="FF0000"/>
                <w:lang w:val="en-US" w:eastAsia="en-US"/>
              </w:rPr>
              <w:t>ame of third party agent</w:t>
            </w:r>
            <w:r w:rsidRPr="00C21622">
              <w:rPr>
                <w:rFonts w:eastAsia="Times New Roman" w:cs="Arial"/>
                <w:lang w:val="en-US" w:eastAsia="en-US"/>
              </w:rPr>
              <w:t xml:space="preserve">' may be used for information on accountants as well as auditors.  However, a range of tags are identified by their label and subject matter as only being appropriate for audit information.   See item </w:t>
            </w:r>
            <w:r w:rsidR="00115091">
              <w:rPr>
                <w:rFonts w:eastAsia="Times New Roman" w:cs="Arial"/>
                <w:lang w:val="en-US" w:eastAsia="en-US"/>
              </w:rPr>
              <w:t xml:space="preserve">7.6 </w:t>
            </w:r>
            <w:r w:rsidRPr="00C21622">
              <w:rPr>
                <w:rFonts w:eastAsia="Times New Roman" w:cs="Arial"/>
                <w:lang w:val="en-US" w:eastAsia="en-US"/>
              </w:rPr>
              <w:t>below on the Accountant's report.</w:t>
            </w:r>
          </w:p>
        </w:tc>
      </w:tr>
      <w:tr w:rsidR="00FD6681" w:rsidRPr="00C21622" w:rsidTr="00FD6681">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6681" w:rsidRPr="00C21622" w:rsidRDefault="00FD6681" w:rsidP="00C21622">
            <w:pPr>
              <w:spacing w:before="60" w:after="60"/>
              <w:jc w:val="left"/>
              <w:rPr>
                <w:rFonts w:eastAsia="Times New Roman" w:cs="Arial"/>
                <w:lang w:val="en-US" w:eastAsia="en-US"/>
              </w:rPr>
            </w:pPr>
            <w:r w:rsidRPr="00C21622">
              <w:rPr>
                <w:rFonts w:eastAsia="Times New Roman" w:cs="Arial"/>
                <w:lang w:val="en-US" w:eastAsia="en-US"/>
              </w:rPr>
              <w:t>7.2</w:t>
            </w:r>
          </w:p>
        </w:tc>
        <w:tc>
          <w:tcPr>
            <w:tcW w:w="1728" w:type="dxa"/>
            <w:tcBorders>
              <w:top w:val="single" w:sz="4" w:space="0" w:color="auto"/>
              <w:left w:val="nil"/>
              <w:bottom w:val="single" w:sz="4" w:space="0" w:color="auto"/>
              <w:right w:val="single" w:sz="4" w:space="0" w:color="auto"/>
            </w:tcBorders>
            <w:shd w:val="clear" w:color="auto" w:fill="auto"/>
            <w:vAlign w:val="center"/>
          </w:tcPr>
          <w:p w:rsidR="00FD6681" w:rsidRPr="00C21622" w:rsidRDefault="00FD6681" w:rsidP="00C21622">
            <w:pPr>
              <w:spacing w:before="60" w:after="60"/>
              <w:jc w:val="left"/>
              <w:rPr>
                <w:rFonts w:eastAsia="Times New Roman" w:cs="Arial"/>
                <w:lang w:val="en-US" w:eastAsia="en-US"/>
              </w:rPr>
            </w:pPr>
            <w:r w:rsidRPr="00C21622">
              <w:rPr>
                <w:rFonts w:eastAsia="Times New Roman" w:cs="Arial"/>
                <w:lang w:val="en-US" w:eastAsia="en-US"/>
              </w:rPr>
              <w:t>Auditor report validation issues</w:t>
            </w:r>
          </w:p>
        </w:tc>
        <w:tc>
          <w:tcPr>
            <w:tcW w:w="7008" w:type="dxa"/>
            <w:tcBorders>
              <w:top w:val="single" w:sz="4" w:space="0" w:color="auto"/>
              <w:left w:val="nil"/>
              <w:bottom w:val="single" w:sz="4" w:space="0" w:color="auto"/>
              <w:right w:val="single" w:sz="4" w:space="0" w:color="auto"/>
            </w:tcBorders>
            <w:shd w:val="clear" w:color="auto" w:fill="auto"/>
            <w:vAlign w:val="center"/>
          </w:tcPr>
          <w:p w:rsidR="00FD6681" w:rsidRPr="00C21622" w:rsidRDefault="00FD6681" w:rsidP="00C21622">
            <w:pPr>
              <w:spacing w:before="60" w:after="60"/>
              <w:jc w:val="left"/>
              <w:rPr>
                <w:rFonts w:eastAsia="Times New Roman" w:cs="Arial"/>
                <w:lang w:val="en-US" w:eastAsia="en-US"/>
              </w:rPr>
            </w:pPr>
            <w:r w:rsidRPr="00C21622">
              <w:rPr>
                <w:rFonts w:eastAsia="Times New Roman" w:cs="Arial"/>
                <w:lang w:val="en-US" w:eastAsia="en-US"/>
              </w:rPr>
              <w:t xml:space="preserve">Companies House has specific validation requirements on the use of tags related to the auditors' report.  Preparers should consult the Companies House interface specification for more information.   </w:t>
            </w:r>
          </w:p>
        </w:tc>
      </w:tr>
      <w:tr w:rsidR="00FD6681" w:rsidRPr="00C21622" w:rsidTr="00FD6681">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6681" w:rsidRPr="00C21622" w:rsidRDefault="00FD6681" w:rsidP="00C21622">
            <w:pPr>
              <w:spacing w:before="60" w:after="60"/>
              <w:jc w:val="left"/>
              <w:rPr>
                <w:rFonts w:eastAsia="Times New Roman" w:cs="Arial"/>
                <w:lang w:val="en-US" w:eastAsia="en-US"/>
              </w:rPr>
            </w:pPr>
            <w:r w:rsidRPr="00C21622">
              <w:rPr>
                <w:rFonts w:eastAsia="Times New Roman" w:cs="Arial"/>
                <w:lang w:val="en-US" w:eastAsia="en-US"/>
              </w:rPr>
              <w:t>7.3</w:t>
            </w:r>
          </w:p>
        </w:tc>
        <w:tc>
          <w:tcPr>
            <w:tcW w:w="1728" w:type="dxa"/>
            <w:tcBorders>
              <w:top w:val="single" w:sz="4" w:space="0" w:color="auto"/>
              <w:left w:val="nil"/>
              <w:bottom w:val="single" w:sz="4" w:space="0" w:color="auto"/>
              <w:right w:val="single" w:sz="4" w:space="0" w:color="auto"/>
            </w:tcBorders>
            <w:shd w:val="clear" w:color="auto" w:fill="auto"/>
            <w:vAlign w:val="center"/>
          </w:tcPr>
          <w:p w:rsidR="00FD6681" w:rsidRPr="00C21622" w:rsidRDefault="00FD6681" w:rsidP="00C21622">
            <w:pPr>
              <w:spacing w:before="60" w:after="60"/>
              <w:jc w:val="left"/>
              <w:rPr>
                <w:rFonts w:eastAsia="Times New Roman" w:cs="Arial"/>
                <w:lang w:val="en-US" w:eastAsia="en-US"/>
              </w:rPr>
            </w:pPr>
            <w:r w:rsidRPr="00C21622">
              <w:rPr>
                <w:rFonts w:eastAsia="Times New Roman" w:cs="Arial"/>
                <w:lang w:val="en-US" w:eastAsia="en-US"/>
              </w:rPr>
              <w:t>Basis of audit opinion</w:t>
            </w:r>
          </w:p>
        </w:tc>
        <w:tc>
          <w:tcPr>
            <w:tcW w:w="7008" w:type="dxa"/>
            <w:tcBorders>
              <w:top w:val="single" w:sz="4" w:space="0" w:color="auto"/>
              <w:left w:val="nil"/>
              <w:bottom w:val="single" w:sz="4" w:space="0" w:color="auto"/>
              <w:right w:val="single" w:sz="4" w:space="0" w:color="auto"/>
            </w:tcBorders>
            <w:shd w:val="clear" w:color="auto" w:fill="auto"/>
            <w:vAlign w:val="center"/>
          </w:tcPr>
          <w:p w:rsidR="00FD6681" w:rsidRPr="00C21622" w:rsidRDefault="006B79FA" w:rsidP="00C21622">
            <w:pPr>
              <w:spacing w:before="60" w:after="60"/>
              <w:jc w:val="left"/>
              <w:rPr>
                <w:rFonts w:eastAsia="Times New Roman" w:cs="Arial"/>
                <w:lang w:val="en-US" w:eastAsia="en-US"/>
              </w:rPr>
            </w:pPr>
            <w:r>
              <w:rPr>
                <w:rFonts w:eastAsia="Times New Roman" w:cs="Arial"/>
                <w:lang w:val="en-US" w:eastAsia="en-US"/>
              </w:rPr>
              <w:t>The ‘</w:t>
            </w:r>
            <w:r w:rsidRPr="003A6D5B">
              <w:rPr>
                <w:rFonts w:eastAsia="Times New Roman" w:cs="Arial"/>
                <w:i/>
                <w:color w:val="FF0000"/>
                <w:lang w:val="en-US" w:eastAsia="en-US"/>
              </w:rPr>
              <w:t>B</w:t>
            </w:r>
            <w:r w:rsidR="00FD6681" w:rsidRPr="003A6D5B">
              <w:rPr>
                <w:rFonts w:eastAsia="Times New Roman" w:cs="Arial"/>
                <w:i/>
                <w:color w:val="FF0000"/>
                <w:lang w:val="en-US" w:eastAsia="en-US"/>
              </w:rPr>
              <w:t>asis of audit opinion</w:t>
            </w:r>
            <w:r>
              <w:rPr>
                <w:rFonts w:eastAsia="Times New Roman" w:cs="Arial"/>
                <w:lang w:val="en-US" w:eastAsia="en-US"/>
              </w:rPr>
              <w:t>’</w:t>
            </w:r>
            <w:r w:rsidR="00FD6681" w:rsidRPr="00C21622">
              <w:rPr>
                <w:rFonts w:eastAsia="Times New Roman" w:cs="Arial"/>
                <w:lang w:val="en-US" w:eastAsia="en-US"/>
              </w:rPr>
              <w:t xml:space="preserve"> tag is expected to be used for standard text which sets out the standards on which audit is based and the actions carried out by the auditors in order to reach their conclusions.  </w:t>
            </w:r>
          </w:p>
        </w:tc>
      </w:tr>
      <w:tr w:rsidR="00FD6681" w:rsidRPr="00C21622" w:rsidTr="00FD6681">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6681" w:rsidRPr="00C21622" w:rsidRDefault="00FD6681" w:rsidP="00C21622">
            <w:pPr>
              <w:spacing w:before="60" w:after="60"/>
              <w:jc w:val="left"/>
              <w:rPr>
                <w:rFonts w:eastAsia="Times New Roman" w:cs="Arial"/>
                <w:lang w:val="en-US" w:eastAsia="en-US"/>
              </w:rPr>
            </w:pPr>
            <w:r w:rsidRPr="00C21622">
              <w:rPr>
                <w:rFonts w:eastAsia="Times New Roman" w:cs="Arial"/>
                <w:lang w:val="en-US" w:eastAsia="en-US"/>
              </w:rPr>
              <w:t>7.4</w:t>
            </w:r>
          </w:p>
        </w:tc>
        <w:tc>
          <w:tcPr>
            <w:tcW w:w="1728" w:type="dxa"/>
            <w:tcBorders>
              <w:top w:val="single" w:sz="4" w:space="0" w:color="auto"/>
              <w:left w:val="nil"/>
              <w:bottom w:val="single" w:sz="4" w:space="0" w:color="auto"/>
              <w:right w:val="single" w:sz="4" w:space="0" w:color="auto"/>
            </w:tcBorders>
            <w:shd w:val="clear" w:color="auto" w:fill="auto"/>
            <w:vAlign w:val="center"/>
          </w:tcPr>
          <w:p w:rsidR="00FD6681" w:rsidRPr="00C21622" w:rsidRDefault="00FD6681" w:rsidP="00C21622">
            <w:pPr>
              <w:spacing w:before="60" w:after="60"/>
              <w:jc w:val="left"/>
              <w:rPr>
                <w:rFonts w:eastAsia="Times New Roman" w:cs="Arial"/>
                <w:lang w:val="en-US" w:eastAsia="en-US"/>
              </w:rPr>
            </w:pPr>
            <w:r w:rsidRPr="00C21622">
              <w:rPr>
                <w:rFonts w:eastAsia="Times New Roman" w:cs="Arial"/>
                <w:lang w:val="en-US" w:eastAsia="en-US"/>
              </w:rPr>
              <w:t>Emphasis of matter</w:t>
            </w:r>
          </w:p>
        </w:tc>
        <w:tc>
          <w:tcPr>
            <w:tcW w:w="7008" w:type="dxa"/>
            <w:tcBorders>
              <w:top w:val="single" w:sz="4" w:space="0" w:color="auto"/>
              <w:left w:val="nil"/>
              <w:bottom w:val="single" w:sz="4" w:space="0" w:color="auto"/>
              <w:right w:val="single" w:sz="4" w:space="0" w:color="auto"/>
            </w:tcBorders>
            <w:shd w:val="clear" w:color="auto" w:fill="auto"/>
            <w:vAlign w:val="center"/>
          </w:tcPr>
          <w:p w:rsidR="00FD6681" w:rsidRPr="00C21622" w:rsidRDefault="00FD6681" w:rsidP="00C21622">
            <w:pPr>
              <w:spacing w:before="60" w:after="60"/>
              <w:jc w:val="left"/>
              <w:rPr>
                <w:rFonts w:eastAsia="Times New Roman" w:cs="Arial"/>
                <w:lang w:val="en-US" w:eastAsia="en-US"/>
              </w:rPr>
            </w:pPr>
            <w:r w:rsidRPr="00C21622">
              <w:rPr>
                <w:rFonts w:eastAsia="Times New Roman" w:cs="Arial"/>
                <w:lang w:val="en-US" w:eastAsia="en-US"/>
              </w:rPr>
              <w:t xml:space="preserve">Preparers need only use the </w:t>
            </w:r>
            <w:r w:rsidR="006B79FA">
              <w:rPr>
                <w:rFonts w:eastAsia="Times New Roman" w:cs="Arial"/>
                <w:lang w:val="en-US" w:eastAsia="en-US"/>
              </w:rPr>
              <w:t>‘</w:t>
            </w:r>
            <w:r w:rsidR="006B79FA" w:rsidRPr="003A6D5B">
              <w:rPr>
                <w:rFonts w:eastAsia="Times New Roman" w:cs="Arial"/>
                <w:i/>
                <w:color w:val="FF0000"/>
                <w:lang w:val="en-US" w:eastAsia="en-US"/>
              </w:rPr>
              <w:t>E</w:t>
            </w:r>
            <w:r w:rsidRPr="003A6D5B">
              <w:rPr>
                <w:rFonts w:eastAsia="Times New Roman" w:cs="Arial"/>
                <w:i/>
                <w:color w:val="FF0000"/>
                <w:lang w:val="en-US" w:eastAsia="en-US"/>
              </w:rPr>
              <w:t xml:space="preserve">mphasis of matter </w:t>
            </w:r>
            <w:r w:rsidR="006B79FA" w:rsidRPr="003A6D5B">
              <w:rPr>
                <w:rFonts w:eastAsia="Times New Roman" w:cs="Arial"/>
                <w:i/>
                <w:color w:val="FF0000"/>
                <w:lang w:val="en-US" w:eastAsia="en-US"/>
              </w:rPr>
              <w:t>statement</w:t>
            </w:r>
            <w:r w:rsidR="006B79FA">
              <w:rPr>
                <w:rFonts w:eastAsia="Times New Roman" w:cs="Arial"/>
                <w:lang w:val="en-US" w:eastAsia="en-US"/>
              </w:rPr>
              <w:t xml:space="preserve">’ </w:t>
            </w:r>
            <w:r w:rsidRPr="00C21622">
              <w:rPr>
                <w:rFonts w:eastAsia="Times New Roman" w:cs="Arial"/>
                <w:lang w:val="en-US" w:eastAsia="en-US"/>
              </w:rPr>
              <w:t xml:space="preserve">tag when substantive information is reported under this heading.  If an auditors' report simply says 'nothing to report' or similar, then this text need not be tagged.  </w:t>
            </w:r>
          </w:p>
        </w:tc>
      </w:tr>
      <w:tr w:rsidR="00FD6681" w:rsidRPr="00C21622" w:rsidTr="00FD6681">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6681" w:rsidRPr="00C21622" w:rsidRDefault="00FD6681" w:rsidP="00C21622">
            <w:pPr>
              <w:spacing w:before="60" w:after="60"/>
              <w:jc w:val="left"/>
              <w:rPr>
                <w:rFonts w:eastAsia="Times New Roman" w:cs="Arial"/>
                <w:lang w:val="en-US" w:eastAsia="en-US"/>
              </w:rPr>
            </w:pPr>
            <w:r w:rsidRPr="00C21622">
              <w:rPr>
                <w:rFonts w:eastAsia="Times New Roman" w:cs="Arial"/>
                <w:lang w:val="en-US" w:eastAsia="en-US"/>
              </w:rPr>
              <w:t>7.5</w:t>
            </w:r>
          </w:p>
        </w:tc>
        <w:tc>
          <w:tcPr>
            <w:tcW w:w="1728" w:type="dxa"/>
            <w:tcBorders>
              <w:top w:val="single" w:sz="4" w:space="0" w:color="auto"/>
              <w:left w:val="nil"/>
              <w:bottom w:val="single" w:sz="4" w:space="0" w:color="auto"/>
              <w:right w:val="single" w:sz="4" w:space="0" w:color="auto"/>
            </w:tcBorders>
            <w:shd w:val="clear" w:color="auto" w:fill="auto"/>
            <w:vAlign w:val="center"/>
          </w:tcPr>
          <w:p w:rsidR="00FD6681" w:rsidRPr="00C21622" w:rsidRDefault="00FD6681" w:rsidP="00C21622">
            <w:pPr>
              <w:spacing w:before="60" w:after="60"/>
              <w:jc w:val="left"/>
              <w:rPr>
                <w:rFonts w:eastAsia="Times New Roman" w:cs="Arial"/>
                <w:lang w:val="en-US" w:eastAsia="en-US"/>
              </w:rPr>
            </w:pPr>
            <w:r w:rsidRPr="00C21622">
              <w:rPr>
                <w:rFonts w:eastAsia="Times New Roman" w:cs="Arial"/>
                <w:lang w:val="en-US" w:eastAsia="en-US"/>
              </w:rPr>
              <w:t>Joint auditors</w:t>
            </w:r>
          </w:p>
        </w:tc>
        <w:tc>
          <w:tcPr>
            <w:tcW w:w="7008" w:type="dxa"/>
            <w:tcBorders>
              <w:top w:val="single" w:sz="4" w:space="0" w:color="auto"/>
              <w:left w:val="nil"/>
              <w:bottom w:val="single" w:sz="4" w:space="0" w:color="auto"/>
              <w:right w:val="single" w:sz="4" w:space="0" w:color="auto"/>
            </w:tcBorders>
            <w:shd w:val="clear" w:color="auto" w:fill="auto"/>
            <w:vAlign w:val="center"/>
          </w:tcPr>
          <w:p w:rsidR="00FD6681" w:rsidRPr="00C21622" w:rsidRDefault="00FD6681" w:rsidP="00C21622">
            <w:pPr>
              <w:spacing w:before="60" w:after="60"/>
              <w:jc w:val="left"/>
              <w:rPr>
                <w:rFonts w:eastAsia="Times New Roman" w:cs="Arial"/>
                <w:lang w:val="en-US" w:eastAsia="en-US"/>
              </w:rPr>
            </w:pPr>
            <w:r w:rsidRPr="00C21622">
              <w:rPr>
                <w:rFonts w:eastAsia="Times New Roman" w:cs="Arial"/>
                <w:lang w:val="en-US" w:eastAsia="en-US"/>
              </w:rPr>
              <w:t xml:space="preserve">If a company has joint auditors, these </w:t>
            </w:r>
            <w:r w:rsidR="006B79FA">
              <w:rPr>
                <w:rFonts w:eastAsia="Times New Roman" w:cs="Arial"/>
                <w:lang w:val="en-US" w:eastAsia="en-US"/>
              </w:rPr>
              <w:t xml:space="preserve">may be distinguished using the </w:t>
            </w:r>
            <w:r w:rsidR="006B79FA" w:rsidRPr="006B79FA">
              <w:rPr>
                <w:rFonts w:eastAsia="Times New Roman" w:cs="Arial"/>
                <w:i/>
                <w:lang w:val="en-US" w:eastAsia="en-US"/>
              </w:rPr>
              <w:t>T</w:t>
            </w:r>
            <w:r w:rsidRPr="006B79FA">
              <w:rPr>
                <w:rFonts w:eastAsia="Times New Roman" w:cs="Arial"/>
                <w:i/>
                <w:lang w:val="en-US" w:eastAsia="en-US"/>
              </w:rPr>
              <w:t>hird party agent status</w:t>
            </w:r>
            <w:r w:rsidRPr="00C21622">
              <w:rPr>
                <w:rFonts w:eastAsia="Times New Roman" w:cs="Arial"/>
                <w:lang w:val="en-US" w:eastAsia="en-US"/>
              </w:rPr>
              <w:t xml:space="preserve"> dimension, which allows distinction of a principal agent and up</w:t>
            </w:r>
            <w:r w:rsidR="006E2BCD">
              <w:rPr>
                <w:rFonts w:eastAsia="Times New Roman" w:cs="Arial"/>
                <w:lang w:val="en-US" w:eastAsia="en-US"/>
              </w:rPr>
              <w:t xml:space="preserve"> </w:t>
            </w:r>
            <w:r w:rsidRPr="00C21622">
              <w:rPr>
                <w:rFonts w:eastAsia="Times New Roman" w:cs="Arial"/>
                <w:lang w:val="en-US" w:eastAsia="en-US"/>
              </w:rPr>
              <w:t>to three joint agents.  The name of each auditor must be tagged with the '</w:t>
            </w:r>
            <w:r w:rsidRPr="003A6D5B">
              <w:rPr>
                <w:rFonts w:eastAsia="Times New Roman" w:cs="Arial"/>
                <w:i/>
                <w:color w:val="FF0000"/>
                <w:lang w:val="en-US" w:eastAsia="en-US"/>
              </w:rPr>
              <w:t>Name of third party agent</w:t>
            </w:r>
            <w:r w:rsidRPr="00C21622">
              <w:rPr>
                <w:rFonts w:eastAsia="Times New Roman" w:cs="Arial"/>
                <w:lang w:val="en-US" w:eastAsia="en-US"/>
              </w:rPr>
              <w:t xml:space="preserve">' tag and tied to the appropriate third party agent status tag.  </w:t>
            </w:r>
          </w:p>
        </w:tc>
      </w:tr>
      <w:tr w:rsidR="00FD6681" w:rsidRPr="00C21622" w:rsidTr="00FD6681">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6681" w:rsidRPr="00C21622" w:rsidRDefault="00FD6681" w:rsidP="00C21622">
            <w:pPr>
              <w:spacing w:before="60" w:after="60"/>
              <w:jc w:val="left"/>
              <w:rPr>
                <w:rFonts w:eastAsia="Times New Roman" w:cs="Arial"/>
                <w:lang w:val="en-US" w:eastAsia="en-US"/>
              </w:rPr>
            </w:pPr>
            <w:r w:rsidRPr="00C21622">
              <w:rPr>
                <w:rFonts w:eastAsia="Times New Roman" w:cs="Arial"/>
                <w:lang w:val="en-US" w:eastAsia="en-US"/>
              </w:rPr>
              <w:t>7.6</w:t>
            </w:r>
          </w:p>
        </w:tc>
        <w:tc>
          <w:tcPr>
            <w:tcW w:w="1728" w:type="dxa"/>
            <w:tcBorders>
              <w:top w:val="single" w:sz="4" w:space="0" w:color="auto"/>
              <w:left w:val="nil"/>
              <w:bottom w:val="single" w:sz="4" w:space="0" w:color="auto"/>
              <w:right w:val="single" w:sz="4" w:space="0" w:color="auto"/>
            </w:tcBorders>
            <w:shd w:val="clear" w:color="auto" w:fill="auto"/>
            <w:vAlign w:val="center"/>
          </w:tcPr>
          <w:p w:rsidR="00FD6681" w:rsidRPr="00C21622" w:rsidRDefault="00FD6681" w:rsidP="00C21622">
            <w:pPr>
              <w:spacing w:before="60" w:after="60"/>
              <w:jc w:val="left"/>
              <w:rPr>
                <w:rFonts w:eastAsia="Times New Roman" w:cs="Arial"/>
                <w:lang w:val="en-US" w:eastAsia="en-US"/>
              </w:rPr>
            </w:pPr>
            <w:r w:rsidRPr="00C21622">
              <w:rPr>
                <w:rFonts w:eastAsia="Times New Roman" w:cs="Arial"/>
                <w:lang w:val="en-US" w:eastAsia="en-US"/>
              </w:rPr>
              <w:t>Accountant's report</w:t>
            </w:r>
          </w:p>
        </w:tc>
        <w:tc>
          <w:tcPr>
            <w:tcW w:w="7008" w:type="dxa"/>
            <w:tcBorders>
              <w:top w:val="single" w:sz="4" w:space="0" w:color="auto"/>
              <w:left w:val="nil"/>
              <w:bottom w:val="single" w:sz="4" w:space="0" w:color="auto"/>
              <w:right w:val="single" w:sz="4" w:space="0" w:color="auto"/>
            </w:tcBorders>
            <w:shd w:val="clear" w:color="auto" w:fill="auto"/>
            <w:vAlign w:val="center"/>
          </w:tcPr>
          <w:p w:rsidR="00FD6681" w:rsidRPr="00C21622" w:rsidRDefault="00FD5A3E" w:rsidP="00C21622">
            <w:pPr>
              <w:spacing w:before="60" w:after="60"/>
              <w:jc w:val="left"/>
              <w:rPr>
                <w:rFonts w:eastAsia="Times New Roman" w:cs="Arial"/>
                <w:lang w:val="en-US" w:eastAsia="en-US"/>
              </w:rPr>
            </w:pPr>
            <w:r>
              <w:rPr>
                <w:rFonts w:eastAsia="Times New Roman" w:cs="Arial"/>
                <w:lang w:val="en-US" w:eastAsia="en-US"/>
              </w:rPr>
              <w:t>The name of an accounting firm or individual accountant in a</w:t>
            </w:r>
            <w:r w:rsidRPr="00C21622">
              <w:rPr>
                <w:rFonts w:eastAsia="Times New Roman" w:cs="Arial"/>
                <w:lang w:val="en-US" w:eastAsia="en-US"/>
              </w:rPr>
              <w:t>n accountant's report accompanying unaudited accounts should be tagged using '</w:t>
            </w:r>
            <w:r w:rsidRPr="003A6D5B">
              <w:rPr>
                <w:rFonts w:eastAsia="Times New Roman" w:cs="Arial"/>
                <w:i/>
                <w:color w:val="FF0000"/>
                <w:lang w:val="en-US" w:eastAsia="en-US"/>
              </w:rPr>
              <w:t>Name of third party agent</w:t>
            </w:r>
            <w:r w:rsidRPr="00C21622">
              <w:rPr>
                <w:rFonts w:eastAsia="Times New Roman" w:cs="Arial"/>
                <w:lang w:val="en-US" w:eastAsia="en-US"/>
              </w:rPr>
              <w:t>' and / or '</w:t>
            </w:r>
            <w:r w:rsidRPr="003A6D5B">
              <w:rPr>
                <w:rFonts w:eastAsia="Times New Roman" w:cs="Arial"/>
                <w:i/>
                <w:color w:val="FF0000"/>
                <w:lang w:val="en-US" w:eastAsia="en-US"/>
              </w:rPr>
              <w:t>Name of individual auditor or accountant</w:t>
            </w:r>
            <w:r>
              <w:rPr>
                <w:rFonts w:eastAsia="Times New Roman" w:cs="Arial"/>
                <w:lang w:val="en-US" w:eastAsia="en-US"/>
              </w:rPr>
              <w:t xml:space="preserve">' </w:t>
            </w:r>
            <w:r w:rsidRPr="00C21622">
              <w:rPr>
                <w:rFonts w:eastAsia="Times New Roman" w:cs="Arial"/>
                <w:lang w:val="en-US" w:eastAsia="en-US"/>
              </w:rPr>
              <w:t xml:space="preserve">tags.  </w:t>
            </w:r>
            <w:r w:rsidR="00FD6681" w:rsidRPr="00C21622">
              <w:rPr>
                <w:rFonts w:eastAsia="Times New Roman" w:cs="Arial"/>
                <w:lang w:val="en-US" w:eastAsia="en-US"/>
              </w:rPr>
              <w:t>The</w:t>
            </w:r>
            <w:r w:rsidR="003A6D5B">
              <w:rPr>
                <w:rFonts w:eastAsia="Times New Roman" w:cs="Arial"/>
                <w:lang w:val="en-US" w:eastAsia="en-US"/>
              </w:rPr>
              <w:t xml:space="preserve"> ‘</w:t>
            </w:r>
            <w:r w:rsidR="00FD6681" w:rsidRPr="003A6D5B">
              <w:rPr>
                <w:rFonts w:eastAsia="Times New Roman" w:cs="Arial"/>
                <w:i/>
                <w:color w:val="FF0000"/>
                <w:lang w:val="en-US" w:eastAsia="en-US"/>
              </w:rPr>
              <w:t>Date of auditor's report</w:t>
            </w:r>
            <w:r w:rsidR="00FD6681" w:rsidRPr="00C21622">
              <w:rPr>
                <w:rFonts w:eastAsia="Times New Roman" w:cs="Arial"/>
                <w:lang w:val="en-US" w:eastAsia="en-US"/>
              </w:rPr>
              <w:t xml:space="preserve">' </w:t>
            </w:r>
            <w:r w:rsidR="006B79FA">
              <w:rPr>
                <w:rFonts w:eastAsia="Times New Roman" w:cs="Arial"/>
                <w:lang w:val="en-US" w:eastAsia="en-US"/>
              </w:rPr>
              <w:t xml:space="preserve">tag </w:t>
            </w:r>
            <w:r w:rsidR="00FD6681" w:rsidRPr="00C21622">
              <w:rPr>
                <w:rFonts w:eastAsia="Times New Roman" w:cs="Arial"/>
                <w:lang w:val="en-US" w:eastAsia="en-US"/>
              </w:rPr>
              <w:t>may be used for the date of the accountants report.  Clearly, these tags must be used in combination with the '</w:t>
            </w:r>
            <w:r w:rsidR="00FD6681" w:rsidRPr="003A6D5B">
              <w:rPr>
                <w:rFonts w:eastAsia="Times New Roman" w:cs="Arial"/>
                <w:i/>
                <w:color w:val="FF0000"/>
                <w:lang w:val="en-US" w:eastAsia="en-US"/>
              </w:rPr>
              <w:t>Entity accountants or auditors</w:t>
            </w:r>
            <w:r w:rsidR="00FD6681" w:rsidRPr="00C21622">
              <w:rPr>
                <w:rFonts w:eastAsia="Times New Roman" w:cs="Arial"/>
                <w:lang w:val="en-US" w:eastAsia="en-US"/>
              </w:rPr>
              <w:t>' dim</w:t>
            </w:r>
            <w:r w:rsidR="006B79FA">
              <w:rPr>
                <w:rFonts w:eastAsia="Times New Roman" w:cs="Arial"/>
                <w:lang w:val="en-US" w:eastAsia="en-US"/>
              </w:rPr>
              <w:t xml:space="preserve">ension tag.  Other tags in the </w:t>
            </w:r>
            <w:r w:rsidR="00FD6681" w:rsidRPr="006B79FA">
              <w:rPr>
                <w:rFonts w:eastAsia="Times New Roman" w:cs="Arial"/>
                <w:i/>
                <w:color w:val="008000"/>
                <w:lang w:val="en-US" w:eastAsia="en-US"/>
              </w:rPr>
              <w:t>Auditors Report</w:t>
            </w:r>
            <w:r w:rsidR="00FD6681" w:rsidRPr="00C21622">
              <w:rPr>
                <w:rFonts w:eastAsia="Times New Roman" w:cs="Arial"/>
                <w:lang w:val="en-US" w:eastAsia="en-US"/>
              </w:rPr>
              <w:t xml:space="preserve"> section of the taxonomy should be restricted to audit report information.  </w:t>
            </w:r>
          </w:p>
        </w:tc>
      </w:tr>
    </w:tbl>
    <w:p w:rsidR="00DA5C5B" w:rsidRDefault="00DA5C5B">
      <w:pPr>
        <w:rPr>
          <w:rFonts w:cs="Arial"/>
        </w:rPr>
      </w:pPr>
    </w:p>
    <w:p w:rsidR="008778F7" w:rsidRPr="00720B86" w:rsidRDefault="00720B86" w:rsidP="00720B86">
      <w:pPr>
        <w:pStyle w:val="Heading1"/>
      </w:pPr>
      <w:r>
        <w:br w:type="page"/>
      </w:r>
      <w:bookmarkStart w:id="18" w:name="_Toc292036825"/>
      <w:r w:rsidR="00BD4A5B">
        <w:lastRenderedPageBreak/>
        <w:t>8</w:t>
      </w:r>
      <w:r w:rsidR="00BD4A5B">
        <w:tab/>
      </w:r>
      <w:smartTag w:uri="urn:schemas-microsoft-com:office:smarttags" w:element="place">
        <w:smartTag w:uri="urn:schemas-microsoft-com:office:smarttags" w:element="country-region">
          <w:r w:rsidR="00BD4A5B">
            <w:t>UK</w:t>
          </w:r>
        </w:smartTag>
      </w:smartTag>
      <w:r w:rsidR="00BD4A5B">
        <w:t xml:space="preserve"> GAAP</w:t>
      </w:r>
      <w:bookmarkEnd w:id="18"/>
    </w:p>
    <w:p w:rsidR="00720B86" w:rsidRDefault="00F00205" w:rsidP="00F00205">
      <w:pPr>
        <w:pStyle w:val="Heading2"/>
      </w:pPr>
      <w:bookmarkStart w:id="19" w:name="_Toc292036826"/>
      <w:r>
        <w:t>GAAP – General points</w:t>
      </w:r>
      <w:bookmarkEnd w:id="19"/>
    </w:p>
    <w:p w:rsidR="00A0181A" w:rsidRDefault="00A0181A">
      <w:pPr>
        <w:rPr>
          <w:rFonts w:cs="Arial"/>
        </w:rPr>
      </w:pPr>
    </w:p>
    <w:tbl>
      <w:tblPr>
        <w:tblW w:w="9231" w:type="dxa"/>
        <w:tblInd w:w="91" w:type="dxa"/>
        <w:tblLook w:val="0000"/>
      </w:tblPr>
      <w:tblGrid>
        <w:gridCol w:w="495"/>
        <w:gridCol w:w="1728"/>
        <w:gridCol w:w="7008"/>
      </w:tblGrid>
      <w:tr w:rsidR="00B83151" w:rsidRPr="00D50F7D" w:rsidTr="00B83151">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ID</w:t>
            </w:r>
          </w:p>
        </w:tc>
        <w:tc>
          <w:tcPr>
            <w:tcW w:w="1728" w:type="dxa"/>
            <w:tcBorders>
              <w:top w:val="single" w:sz="4" w:space="0" w:color="auto"/>
              <w:left w:val="nil"/>
              <w:bottom w:val="single" w:sz="4" w:space="0" w:color="auto"/>
              <w:right w:val="single" w:sz="4" w:space="0" w:color="auto"/>
            </w:tcBorders>
            <w:shd w:val="clear" w:color="auto" w:fill="auto"/>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Item</w:t>
            </w:r>
          </w:p>
        </w:tc>
        <w:tc>
          <w:tcPr>
            <w:tcW w:w="7008" w:type="dxa"/>
            <w:tcBorders>
              <w:top w:val="single" w:sz="4" w:space="0" w:color="auto"/>
              <w:left w:val="nil"/>
              <w:bottom w:val="single" w:sz="4" w:space="0" w:color="auto"/>
              <w:right w:val="single" w:sz="4" w:space="0" w:color="auto"/>
            </w:tcBorders>
            <w:shd w:val="clear" w:color="auto" w:fill="auto"/>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Description</w:t>
            </w:r>
          </w:p>
        </w:tc>
      </w:tr>
      <w:tr w:rsidR="00B83151" w:rsidRPr="00427EAC" w:rsidTr="00B83151">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3151" w:rsidRPr="00427EAC" w:rsidRDefault="00B83151" w:rsidP="00427EAC">
            <w:pPr>
              <w:spacing w:before="60" w:after="60"/>
              <w:jc w:val="left"/>
              <w:rPr>
                <w:rFonts w:eastAsia="Times New Roman" w:cs="Arial"/>
                <w:lang w:val="en-US" w:eastAsia="en-US"/>
              </w:rPr>
            </w:pPr>
            <w:r w:rsidRPr="00427EAC">
              <w:rPr>
                <w:rFonts w:eastAsia="Times New Roman" w:cs="Arial"/>
                <w:lang w:val="en-US" w:eastAsia="en-US"/>
              </w:rPr>
              <w:t>8.1</w:t>
            </w:r>
          </w:p>
        </w:tc>
        <w:tc>
          <w:tcPr>
            <w:tcW w:w="1728" w:type="dxa"/>
            <w:tcBorders>
              <w:top w:val="single" w:sz="4" w:space="0" w:color="auto"/>
              <w:left w:val="nil"/>
              <w:bottom w:val="single" w:sz="4" w:space="0" w:color="auto"/>
              <w:right w:val="single" w:sz="4" w:space="0" w:color="auto"/>
            </w:tcBorders>
            <w:shd w:val="clear" w:color="auto" w:fill="auto"/>
            <w:vAlign w:val="center"/>
          </w:tcPr>
          <w:p w:rsidR="00B83151" w:rsidRPr="00427EAC" w:rsidRDefault="00B83151" w:rsidP="00427EAC">
            <w:pPr>
              <w:spacing w:before="60" w:after="60"/>
              <w:jc w:val="left"/>
              <w:rPr>
                <w:rFonts w:eastAsia="Times New Roman" w:cs="Arial"/>
                <w:lang w:val="en-US" w:eastAsia="en-US"/>
              </w:rPr>
            </w:pPr>
            <w:r w:rsidRPr="00427EAC">
              <w:rPr>
                <w:rFonts w:eastAsia="Times New Roman" w:cs="Arial"/>
                <w:lang w:val="en-US" w:eastAsia="en-US"/>
              </w:rPr>
              <w:t>Scope</w:t>
            </w:r>
          </w:p>
        </w:tc>
        <w:tc>
          <w:tcPr>
            <w:tcW w:w="7008" w:type="dxa"/>
            <w:tcBorders>
              <w:top w:val="single" w:sz="4" w:space="0" w:color="auto"/>
              <w:left w:val="nil"/>
              <w:bottom w:val="single" w:sz="4" w:space="0" w:color="auto"/>
              <w:right w:val="single" w:sz="4" w:space="0" w:color="auto"/>
            </w:tcBorders>
            <w:shd w:val="clear" w:color="auto" w:fill="auto"/>
            <w:vAlign w:val="center"/>
          </w:tcPr>
          <w:p w:rsidR="00B83151" w:rsidRPr="00427EAC" w:rsidRDefault="00B83151" w:rsidP="00427EAC">
            <w:pPr>
              <w:spacing w:before="60" w:after="60"/>
              <w:jc w:val="left"/>
              <w:rPr>
                <w:rFonts w:eastAsia="Times New Roman" w:cs="Arial"/>
                <w:lang w:val="en-US" w:eastAsia="en-US"/>
              </w:rPr>
            </w:pPr>
            <w:r w:rsidRPr="00427EAC">
              <w:rPr>
                <w:rFonts w:eastAsia="Times New Roman" w:cs="Arial"/>
                <w:lang w:val="en-US" w:eastAsia="en-US"/>
              </w:rPr>
              <w:t xml:space="preserve">The GAAP taxonomy reflects typical reporting by ordinary commercial and industrial companies.  Tags may not be available to cover some line items in accounts of companies operating in finance and other specialist sectors.  Tags may also not be available to cover some other disclosures which are not broadly used across industries.   </w:t>
            </w:r>
          </w:p>
        </w:tc>
      </w:tr>
      <w:tr w:rsidR="00B83151" w:rsidRPr="00427EAC" w:rsidTr="00B83151">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3151" w:rsidRPr="00427EAC" w:rsidRDefault="00B83151" w:rsidP="00427EAC">
            <w:pPr>
              <w:spacing w:before="60" w:after="60"/>
              <w:jc w:val="left"/>
              <w:rPr>
                <w:rFonts w:eastAsia="Times New Roman" w:cs="Arial"/>
                <w:lang w:val="en-US" w:eastAsia="en-US"/>
              </w:rPr>
            </w:pPr>
            <w:r w:rsidRPr="00427EAC">
              <w:rPr>
                <w:rFonts w:eastAsia="Times New Roman" w:cs="Arial"/>
                <w:lang w:val="en-US" w:eastAsia="en-US"/>
              </w:rPr>
              <w:t>8.2</w:t>
            </w:r>
          </w:p>
        </w:tc>
        <w:tc>
          <w:tcPr>
            <w:tcW w:w="1728" w:type="dxa"/>
            <w:tcBorders>
              <w:top w:val="single" w:sz="4" w:space="0" w:color="auto"/>
              <w:left w:val="nil"/>
              <w:bottom w:val="single" w:sz="4" w:space="0" w:color="auto"/>
              <w:right w:val="single" w:sz="4" w:space="0" w:color="auto"/>
            </w:tcBorders>
            <w:shd w:val="clear" w:color="auto" w:fill="auto"/>
            <w:vAlign w:val="center"/>
          </w:tcPr>
          <w:p w:rsidR="00B83151" w:rsidRPr="00427EAC" w:rsidRDefault="00B83151" w:rsidP="00427EAC">
            <w:pPr>
              <w:spacing w:before="60" w:after="60"/>
              <w:jc w:val="left"/>
              <w:rPr>
                <w:rFonts w:eastAsia="Times New Roman" w:cs="Arial"/>
                <w:lang w:val="en-US" w:eastAsia="en-US"/>
              </w:rPr>
            </w:pPr>
            <w:r w:rsidRPr="00427EAC">
              <w:rPr>
                <w:rFonts w:eastAsia="Times New Roman" w:cs="Arial"/>
                <w:lang w:val="en-US" w:eastAsia="en-US"/>
              </w:rPr>
              <w:t>Detailed P&amp;L</w:t>
            </w:r>
          </w:p>
        </w:tc>
        <w:tc>
          <w:tcPr>
            <w:tcW w:w="7008" w:type="dxa"/>
            <w:tcBorders>
              <w:top w:val="single" w:sz="4" w:space="0" w:color="auto"/>
              <w:left w:val="nil"/>
              <w:bottom w:val="single" w:sz="4" w:space="0" w:color="auto"/>
              <w:right w:val="single" w:sz="4" w:space="0" w:color="auto"/>
            </w:tcBorders>
            <w:shd w:val="clear" w:color="auto" w:fill="auto"/>
            <w:vAlign w:val="center"/>
          </w:tcPr>
          <w:p w:rsidR="00B83151" w:rsidRPr="00427EAC" w:rsidRDefault="00B83151" w:rsidP="00427EAC">
            <w:pPr>
              <w:spacing w:before="60" w:after="60"/>
              <w:jc w:val="left"/>
              <w:rPr>
                <w:rFonts w:eastAsia="Times New Roman" w:cs="Arial"/>
                <w:lang w:val="en-US" w:eastAsia="en-US"/>
              </w:rPr>
            </w:pPr>
            <w:r w:rsidRPr="00427EAC">
              <w:rPr>
                <w:rFonts w:eastAsia="Times New Roman" w:cs="Arial"/>
                <w:lang w:val="en-US" w:eastAsia="en-US"/>
              </w:rPr>
              <w:t xml:space="preserve">Tags which are only found in the </w:t>
            </w:r>
            <w:r w:rsidRPr="00204A41">
              <w:rPr>
                <w:rFonts w:eastAsia="Times New Roman" w:cs="Arial"/>
                <w:i/>
                <w:color w:val="008000"/>
                <w:lang w:val="en-US" w:eastAsia="en-US"/>
              </w:rPr>
              <w:t>Detailed P</w:t>
            </w:r>
            <w:r w:rsidR="00157505">
              <w:rPr>
                <w:rFonts w:eastAsia="Times New Roman" w:cs="Arial"/>
                <w:i/>
                <w:color w:val="008000"/>
                <w:lang w:val="en-US" w:eastAsia="en-US"/>
              </w:rPr>
              <w:t>rofit and Loss</w:t>
            </w:r>
            <w:r w:rsidRPr="00427EAC">
              <w:rPr>
                <w:rFonts w:eastAsia="Times New Roman" w:cs="Arial"/>
                <w:lang w:val="en-US" w:eastAsia="en-US"/>
              </w:rPr>
              <w:t xml:space="preserve"> section of the taxonomy are not expected to be used in tagging content in the main accounts.  They are purely intended for tagging the Detailed P&amp;L.  (A small number of tags are in both the main taxonomy sections and the </w:t>
            </w:r>
            <w:r w:rsidRPr="00204A41">
              <w:rPr>
                <w:rFonts w:eastAsia="Times New Roman" w:cs="Arial"/>
                <w:i/>
                <w:color w:val="008000"/>
                <w:lang w:val="en-US" w:eastAsia="en-US"/>
              </w:rPr>
              <w:t>Detailed P&amp;L</w:t>
            </w:r>
            <w:r w:rsidRPr="00427EAC">
              <w:rPr>
                <w:rFonts w:eastAsia="Times New Roman" w:cs="Arial"/>
                <w:lang w:val="en-US" w:eastAsia="en-US"/>
              </w:rPr>
              <w:t xml:space="preserve"> sections.  Clearly, they may used for tagging the main accounts.)</w:t>
            </w:r>
          </w:p>
        </w:tc>
      </w:tr>
      <w:tr w:rsidR="00B83151" w:rsidRPr="00427EAC" w:rsidTr="00B83151">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3151" w:rsidRPr="00427EAC" w:rsidRDefault="00B83151" w:rsidP="00427EAC">
            <w:pPr>
              <w:spacing w:before="60" w:after="60"/>
              <w:jc w:val="left"/>
              <w:rPr>
                <w:rFonts w:eastAsia="Times New Roman" w:cs="Arial"/>
                <w:lang w:val="en-US" w:eastAsia="en-US"/>
              </w:rPr>
            </w:pPr>
            <w:r w:rsidRPr="00427EAC">
              <w:rPr>
                <w:rFonts w:eastAsia="Times New Roman" w:cs="Arial"/>
                <w:lang w:val="en-US" w:eastAsia="en-US"/>
              </w:rPr>
              <w:t>8.3</w:t>
            </w:r>
          </w:p>
        </w:tc>
        <w:tc>
          <w:tcPr>
            <w:tcW w:w="1728" w:type="dxa"/>
            <w:tcBorders>
              <w:top w:val="single" w:sz="4" w:space="0" w:color="auto"/>
              <w:left w:val="nil"/>
              <w:bottom w:val="single" w:sz="4" w:space="0" w:color="auto"/>
              <w:right w:val="single" w:sz="4" w:space="0" w:color="auto"/>
            </w:tcBorders>
            <w:shd w:val="clear" w:color="auto" w:fill="auto"/>
            <w:vAlign w:val="center"/>
          </w:tcPr>
          <w:p w:rsidR="00B83151" w:rsidRPr="00427EAC" w:rsidRDefault="00B83151" w:rsidP="00427EAC">
            <w:pPr>
              <w:spacing w:before="60" w:after="60"/>
              <w:jc w:val="left"/>
              <w:rPr>
                <w:rFonts w:eastAsia="Times New Roman" w:cs="Arial"/>
                <w:lang w:val="en-US" w:eastAsia="en-US"/>
              </w:rPr>
            </w:pPr>
            <w:r w:rsidRPr="00427EAC">
              <w:rPr>
                <w:rFonts w:eastAsia="Times New Roman" w:cs="Arial"/>
                <w:lang w:val="en-US" w:eastAsia="en-US"/>
              </w:rPr>
              <w:t>Location of name and description tags for generic dimensions</w:t>
            </w:r>
          </w:p>
        </w:tc>
        <w:tc>
          <w:tcPr>
            <w:tcW w:w="7008" w:type="dxa"/>
            <w:tcBorders>
              <w:top w:val="single" w:sz="4" w:space="0" w:color="auto"/>
              <w:left w:val="nil"/>
              <w:bottom w:val="single" w:sz="4" w:space="0" w:color="auto"/>
              <w:right w:val="single" w:sz="4" w:space="0" w:color="auto"/>
            </w:tcBorders>
            <w:shd w:val="clear" w:color="auto" w:fill="auto"/>
            <w:vAlign w:val="center"/>
          </w:tcPr>
          <w:p w:rsidR="0043483A" w:rsidRDefault="00B83151" w:rsidP="00427EAC">
            <w:pPr>
              <w:spacing w:before="60" w:after="60"/>
              <w:jc w:val="left"/>
              <w:rPr>
                <w:rFonts w:eastAsia="Times New Roman" w:cs="Arial"/>
                <w:lang w:val="en-US" w:eastAsia="en-US"/>
              </w:rPr>
            </w:pPr>
            <w:r w:rsidRPr="00427EAC">
              <w:rPr>
                <w:rFonts w:eastAsia="Times New Roman" w:cs="Arial"/>
                <w:lang w:val="en-US" w:eastAsia="en-US"/>
              </w:rPr>
              <w:t>As described in the item on generic dimensions in the general section of this document, the name or description tag related to a particular generic dimension can generally be found in the principal taxonomy section to which t</w:t>
            </w:r>
            <w:r w:rsidR="00DB47A7">
              <w:rPr>
                <w:rFonts w:eastAsia="Times New Roman" w:cs="Arial"/>
                <w:lang w:val="en-US" w:eastAsia="en-US"/>
              </w:rPr>
              <w:t xml:space="preserve">he generic dimension applies.  </w:t>
            </w:r>
          </w:p>
          <w:p w:rsidR="00DB47A7" w:rsidRDefault="00B83151" w:rsidP="00427EAC">
            <w:pPr>
              <w:spacing w:before="60" w:after="60"/>
              <w:jc w:val="left"/>
              <w:rPr>
                <w:rFonts w:eastAsia="Times New Roman" w:cs="Arial"/>
                <w:lang w:val="en-US" w:eastAsia="en-US"/>
              </w:rPr>
            </w:pPr>
            <w:r w:rsidRPr="00427EAC">
              <w:rPr>
                <w:rFonts w:eastAsia="Times New Roman" w:cs="Arial"/>
                <w:lang w:val="en-US" w:eastAsia="en-US"/>
              </w:rPr>
              <w:t>However, the location of name or description tags for a few generic dimensions which are broadly used under GAAP may not be immediately obvious:</w:t>
            </w:r>
            <w:r w:rsidR="00DB47A7">
              <w:rPr>
                <w:rFonts w:eastAsia="Times New Roman" w:cs="Arial"/>
                <w:lang w:val="en-US" w:eastAsia="en-US"/>
              </w:rPr>
              <w:t xml:space="preserve">  </w:t>
            </w:r>
          </w:p>
          <w:p w:rsidR="00DB47A7" w:rsidRDefault="00B83151" w:rsidP="00427EAC">
            <w:pPr>
              <w:spacing w:before="60" w:after="60"/>
              <w:jc w:val="left"/>
              <w:rPr>
                <w:rFonts w:eastAsia="Times New Roman" w:cs="Arial"/>
                <w:lang w:val="en-US" w:eastAsia="en-US"/>
              </w:rPr>
            </w:pPr>
            <w:r w:rsidRPr="00427EAC">
              <w:rPr>
                <w:rFonts w:eastAsia="Times New Roman" w:cs="Arial"/>
                <w:lang w:val="en-US" w:eastAsia="en-US"/>
              </w:rPr>
              <w:t>+  The name / description tags for the busine</w:t>
            </w:r>
            <w:r>
              <w:rPr>
                <w:rFonts w:eastAsia="Times New Roman" w:cs="Arial"/>
                <w:lang w:val="en-US" w:eastAsia="en-US"/>
              </w:rPr>
              <w:t xml:space="preserve">ss segments are located in the </w:t>
            </w:r>
            <w:r w:rsidRPr="00204A41">
              <w:rPr>
                <w:rFonts w:eastAsia="Times New Roman" w:cs="Arial"/>
                <w:i/>
                <w:color w:val="008000"/>
                <w:lang w:val="en-US" w:eastAsia="en-US"/>
              </w:rPr>
              <w:t>Business and geographic segment information</w:t>
            </w:r>
            <w:r w:rsidRPr="00427EAC">
              <w:rPr>
                <w:rFonts w:eastAsia="Times New Roman" w:cs="Arial"/>
                <w:lang w:val="en-US" w:eastAsia="en-US"/>
              </w:rPr>
              <w:t xml:space="preserve"> section of the taxonomy - not in the segmental analysis sections under the notes to P&amp;L and balance sheet. </w:t>
            </w:r>
            <w:r w:rsidR="00DB47A7">
              <w:rPr>
                <w:rFonts w:eastAsia="Times New Roman" w:cs="Arial"/>
                <w:lang w:val="en-US" w:eastAsia="en-US"/>
              </w:rPr>
              <w:t xml:space="preserve"> </w:t>
            </w:r>
          </w:p>
          <w:p w:rsidR="00B83151" w:rsidRPr="00427EAC" w:rsidRDefault="00B83151" w:rsidP="00427EAC">
            <w:pPr>
              <w:spacing w:before="60" w:after="60"/>
              <w:jc w:val="left"/>
              <w:rPr>
                <w:rFonts w:eastAsia="Times New Roman" w:cs="Arial"/>
                <w:lang w:val="en-US" w:eastAsia="en-US"/>
              </w:rPr>
            </w:pPr>
            <w:r w:rsidRPr="00427EAC">
              <w:rPr>
                <w:rFonts w:eastAsia="Times New Roman" w:cs="Arial"/>
                <w:lang w:val="en-US" w:eastAsia="en-US"/>
              </w:rPr>
              <w:t>+  The name / description tags for the subsidiaries, associates, joint-ventures and participating interests</w:t>
            </w:r>
            <w:r>
              <w:rPr>
                <w:rFonts w:eastAsia="Times New Roman" w:cs="Arial"/>
                <w:lang w:val="en-US" w:eastAsia="en-US"/>
              </w:rPr>
              <w:t xml:space="preserve"> dimensions are located in the </w:t>
            </w:r>
            <w:r w:rsidRPr="00204A41">
              <w:rPr>
                <w:rFonts w:eastAsia="Times New Roman" w:cs="Arial"/>
                <w:i/>
                <w:color w:val="008000"/>
                <w:lang w:val="en-US" w:eastAsia="en-US"/>
              </w:rPr>
              <w:t>Information on subsidiaries, associates, joint-ventures and other participating interests and investments</w:t>
            </w:r>
            <w:r w:rsidR="00204A41">
              <w:rPr>
                <w:rFonts w:eastAsia="Times New Roman" w:cs="Arial"/>
                <w:lang w:val="en-US" w:eastAsia="en-US"/>
              </w:rPr>
              <w:t xml:space="preserve"> s</w:t>
            </w:r>
            <w:r w:rsidRPr="00427EAC">
              <w:rPr>
                <w:rFonts w:eastAsia="Times New Roman" w:cs="Arial"/>
                <w:lang w:val="en-US" w:eastAsia="en-US"/>
              </w:rPr>
              <w:t xml:space="preserve">ection.  </w:t>
            </w:r>
          </w:p>
        </w:tc>
      </w:tr>
    </w:tbl>
    <w:p w:rsidR="006E5344" w:rsidRDefault="006E5344">
      <w:pPr>
        <w:rPr>
          <w:rFonts w:cs="Arial"/>
        </w:rPr>
      </w:pPr>
    </w:p>
    <w:p w:rsidR="00720B86" w:rsidRDefault="00427EAC" w:rsidP="006E5344">
      <w:pPr>
        <w:pStyle w:val="Heading2"/>
      </w:pPr>
      <w:bookmarkStart w:id="20" w:name="_Toc292036827"/>
      <w:r>
        <w:t>GAAP – Directors information</w:t>
      </w:r>
      <w:bookmarkEnd w:id="20"/>
    </w:p>
    <w:p w:rsidR="00720B86" w:rsidRDefault="00720B86">
      <w:pPr>
        <w:rPr>
          <w:rFonts w:cs="Arial"/>
        </w:rPr>
      </w:pPr>
    </w:p>
    <w:tbl>
      <w:tblPr>
        <w:tblW w:w="9231" w:type="dxa"/>
        <w:tblInd w:w="91" w:type="dxa"/>
        <w:tblLook w:val="0000"/>
      </w:tblPr>
      <w:tblGrid>
        <w:gridCol w:w="495"/>
        <w:gridCol w:w="1728"/>
        <w:gridCol w:w="7008"/>
      </w:tblGrid>
      <w:tr w:rsidR="00B83151" w:rsidRPr="00D50F7D" w:rsidTr="00B83151">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ID</w:t>
            </w:r>
          </w:p>
        </w:tc>
        <w:tc>
          <w:tcPr>
            <w:tcW w:w="1728" w:type="dxa"/>
            <w:tcBorders>
              <w:top w:val="single" w:sz="4" w:space="0" w:color="auto"/>
              <w:left w:val="nil"/>
              <w:bottom w:val="single" w:sz="4" w:space="0" w:color="auto"/>
              <w:right w:val="single" w:sz="4" w:space="0" w:color="auto"/>
            </w:tcBorders>
            <w:shd w:val="clear" w:color="auto" w:fill="auto"/>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Item</w:t>
            </w:r>
          </w:p>
        </w:tc>
        <w:tc>
          <w:tcPr>
            <w:tcW w:w="7008" w:type="dxa"/>
            <w:tcBorders>
              <w:top w:val="single" w:sz="4" w:space="0" w:color="auto"/>
              <w:left w:val="nil"/>
              <w:bottom w:val="single" w:sz="4" w:space="0" w:color="auto"/>
              <w:right w:val="single" w:sz="4" w:space="0" w:color="auto"/>
            </w:tcBorders>
            <w:shd w:val="clear" w:color="auto" w:fill="auto"/>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Description</w:t>
            </w:r>
          </w:p>
        </w:tc>
      </w:tr>
      <w:tr w:rsidR="00B83151" w:rsidRPr="00427EAC" w:rsidTr="00B83151">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3151" w:rsidRPr="00876879" w:rsidRDefault="00B83151" w:rsidP="00427EAC">
            <w:pPr>
              <w:spacing w:before="60" w:after="60"/>
              <w:jc w:val="left"/>
              <w:rPr>
                <w:rFonts w:eastAsia="Times New Roman" w:cs="Arial"/>
                <w:highlight w:val="yellow"/>
                <w:lang w:val="en-US" w:eastAsia="en-US"/>
              </w:rPr>
            </w:pPr>
            <w:r w:rsidRPr="00876879">
              <w:rPr>
                <w:rFonts w:eastAsia="Times New Roman" w:cs="Arial"/>
                <w:highlight w:val="yellow"/>
                <w:lang w:val="en-US" w:eastAsia="en-US"/>
              </w:rPr>
              <w:t>8.4</w:t>
            </w:r>
          </w:p>
        </w:tc>
        <w:tc>
          <w:tcPr>
            <w:tcW w:w="1728" w:type="dxa"/>
            <w:tcBorders>
              <w:top w:val="single" w:sz="4" w:space="0" w:color="auto"/>
              <w:left w:val="nil"/>
              <w:bottom w:val="single" w:sz="4" w:space="0" w:color="auto"/>
              <w:right w:val="single" w:sz="4" w:space="0" w:color="auto"/>
            </w:tcBorders>
            <w:shd w:val="clear" w:color="auto" w:fill="auto"/>
            <w:vAlign w:val="center"/>
          </w:tcPr>
          <w:p w:rsidR="00B83151" w:rsidRPr="00876879" w:rsidRDefault="00B83151" w:rsidP="00427EAC">
            <w:pPr>
              <w:spacing w:before="60" w:after="60"/>
              <w:jc w:val="left"/>
              <w:rPr>
                <w:rFonts w:eastAsia="Times New Roman" w:cs="Arial"/>
                <w:highlight w:val="yellow"/>
                <w:lang w:val="en-US" w:eastAsia="en-US"/>
              </w:rPr>
            </w:pPr>
            <w:r w:rsidRPr="00876879">
              <w:rPr>
                <w:rFonts w:eastAsia="Times New Roman" w:cs="Arial"/>
                <w:highlight w:val="yellow"/>
                <w:lang w:val="en-US" w:eastAsia="en-US"/>
              </w:rPr>
              <w:t>Medium-sized company declaration</w:t>
            </w:r>
          </w:p>
        </w:tc>
        <w:tc>
          <w:tcPr>
            <w:tcW w:w="7008" w:type="dxa"/>
            <w:tcBorders>
              <w:top w:val="single" w:sz="4" w:space="0" w:color="auto"/>
              <w:left w:val="nil"/>
              <w:bottom w:val="single" w:sz="4" w:space="0" w:color="auto"/>
              <w:right w:val="single" w:sz="4" w:space="0" w:color="auto"/>
            </w:tcBorders>
            <w:shd w:val="clear" w:color="auto" w:fill="auto"/>
            <w:vAlign w:val="center"/>
          </w:tcPr>
          <w:p w:rsidR="00B83151" w:rsidRPr="00427EAC" w:rsidRDefault="00B83151" w:rsidP="00427EAC">
            <w:pPr>
              <w:spacing w:before="60" w:after="60"/>
              <w:jc w:val="left"/>
              <w:rPr>
                <w:rFonts w:eastAsia="Times New Roman" w:cs="Arial"/>
                <w:lang w:val="en-US" w:eastAsia="en-US"/>
              </w:rPr>
            </w:pPr>
            <w:r w:rsidRPr="00427EAC">
              <w:rPr>
                <w:rFonts w:eastAsia="Times New Roman" w:cs="Arial"/>
                <w:lang w:val="en-US" w:eastAsia="en-US"/>
              </w:rPr>
              <w:t xml:space="preserve">Two different versions of the tag </w:t>
            </w:r>
            <w:r w:rsidR="00204A41">
              <w:rPr>
                <w:rFonts w:eastAsia="Times New Roman" w:cs="Arial"/>
                <w:lang w:val="en-US" w:eastAsia="en-US"/>
              </w:rPr>
              <w:t>‘</w:t>
            </w:r>
            <w:r w:rsidRPr="00204A41">
              <w:rPr>
                <w:rFonts w:eastAsia="Times New Roman" w:cs="Arial"/>
                <w:i/>
                <w:color w:val="FF0000"/>
                <w:lang w:val="en-US" w:eastAsia="en-US"/>
              </w:rPr>
              <w:t>Accounts are in accordance with the special provisions in section 445(3) of the Companies Act relating to medium-sized companies</w:t>
            </w:r>
            <w:r w:rsidR="00204A41">
              <w:rPr>
                <w:rFonts w:eastAsia="Times New Roman" w:cs="Arial"/>
                <w:lang w:val="en-US" w:eastAsia="en-US"/>
              </w:rPr>
              <w:t>’</w:t>
            </w:r>
            <w:r w:rsidRPr="00427EAC">
              <w:rPr>
                <w:rFonts w:eastAsia="Times New Roman" w:cs="Arial"/>
                <w:lang w:val="en-US" w:eastAsia="en-US"/>
              </w:rPr>
              <w:t xml:space="preserve"> appear in UK GAAP, once in the </w:t>
            </w:r>
            <w:r w:rsidRPr="00204A41">
              <w:rPr>
                <w:rFonts w:eastAsia="Times New Roman" w:cs="Arial"/>
                <w:i/>
                <w:color w:val="008000"/>
                <w:lang w:val="en-US" w:eastAsia="en-US"/>
              </w:rPr>
              <w:t>Director</w:t>
            </w:r>
            <w:r w:rsidR="00F20171">
              <w:rPr>
                <w:rFonts w:eastAsia="Times New Roman" w:cs="Arial"/>
                <w:i/>
                <w:color w:val="008000"/>
                <w:lang w:val="en-US" w:eastAsia="en-US"/>
              </w:rPr>
              <w:t>s’</w:t>
            </w:r>
            <w:r w:rsidRPr="00204A41">
              <w:rPr>
                <w:rFonts w:eastAsia="Times New Roman" w:cs="Arial"/>
                <w:i/>
                <w:color w:val="008000"/>
                <w:lang w:val="en-US" w:eastAsia="en-US"/>
              </w:rPr>
              <w:t xml:space="preserve"> Report</w:t>
            </w:r>
            <w:r w:rsidRPr="00427EAC">
              <w:rPr>
                <w:rFonts w:eastAsia="Times New Roman" w:cs="Arial"/>
                <w:lang w:val="en-US" w:eastAsia="en-US"/>
              </w:rPr>
              <w:t xml:space="preserve"> as a text string and once in GAAP proper, under </w:t>
            </w:r>
            <w:r w:rsidRPr="00204A41">
              <w:rPr>
                <w:rFonts w:eastAsia="Times New Roman" w:cs="Arial"/>
                <w:i/>
                <w:color w:val="008000"/>
                <w:lang w:val="en-US" w:eastAsia="en-US"/>
              </w:rPr>
              <w:t>Directors declarations</w:t>
            </w:r>
            <w:r w:rsidRPr="00427EAC">
              <w:rPr>
                <w:rFonts w:eastAsia="Times New Roman" w:cs="Arial"/>
                <w:lang w:val="en-US" w:eastAsia="en-US"/>
              </w:rPr>
              <w:t xml:space="preserve"> in the notes, as a boolean item.  Preparers may use either version of the tag - they do not have to use both.    </w:t>
            </w:r>
          </w:p>
        </w:tc>
      </w:tr>
    </w:tbl>
    <w:p w:rsidR="00720B86" w:rsidRDefault="00720B86">
      <w:pPr>
        <w:rPr>
          <w:rFonts w:cs="Arial"/>
        </w:rPr>
      </w:pPr>
    </w:p>
    <w:p w:rsidR="00E36B77" w:rsidRPr="00427EAC" w:rsidRDefault="00427EAC" w:rsidP="00427EAC">
      <w:pPr>
        <w:pStyle w:val="Heading2"/>
      </w:pPr>
      <w:r>
        <w:br w:type="page"/>
      </w:r>
      <w:bookmarkStart w:id="21" w:name="_Toc292036828"/>
      <w:r w:rsidRPr="00427EAC">
        <w:lastRenderedPageBreak/>
        <w:t xml:space="preserve">GAAP </w:t>
      </w:r>
      <w:r>
        <w:t>–</w:t>
      </w:r>
      <w:r w:rsidRPr="00427EAC">
        <w:t xml:space="preserve"> </w:t>
      </w:r>
      <w:r>
        <w:t xml:space="preserve">Profit &amp; Loss </w:t>
      </w:r>
      <w:r w:rsidR="003E083B">
        <w:t>S</w:t>
      </w:r>
      <w:r>
        <w:t>tatement</w:t>
      </w:r>
      <w:r w:rsidRPr="00427EAC">
        <w:t xml:space="preserve"> and notes</w:t>
      </w:r>
      <w:bookmarkEnd w:id="21"/>
    </w:p>
    <w:p w:rsidR="00720B86" w:rsidRDefault="00720B86">
      <w:pPr>
        <w:rPr>
          <w:rFonts w:cs="Arial"/>
        </w:rPr>
      </w:pPr>
    </w:p>
    <w:tbl>
      <w:tblPr>
        <w:tblW w:w="9231" w:type="dxa"/>
        <w:tblInd w:w="91" w:type="dxa"/>
        <w:tblLook w:val="0000"/>
      </w:tblPr>
      <w:tblGrid>
        <w:gridCol w:w="495"/>
        <w:gridCol w:w="1728"/>
        <w:gridCol w:w="7008"/>
      </w:tblGrid>
      <w:tr w:rsidR="00B83151" w:rsidRPr="00D50F7D" w:rsidTr="00B83151">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ID</w:t>
            </w:r>
          </w:p>
        </w:tc>
        <w:tc>
          <w:tcPr>
            <w:tcW w:w="1728" w:type="dxa"/>
            <w:tcBorders>
              <w:top w:val="single" w:sz="4" w:space="0" w:color="auto"/>
              <w:left w:val="nil"/>
              <w:bottom w:val="single" w:sz="4" w:space="0" w:color="auto"/>
              <w:right w:val="single" w:sz="4" w:space="0" w:color="auto"/>
            </w:tcBorders>
            <w:shd w:val="clear" w:color="auto" w:fill="auto"/>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Item</w:t>
            </w:r>
          </w:p>
        </w:tc>
        <w:tc>
          <w:tcPr>
            <w:tcW w:w="7008" w:type="dxa"/>
            <w:tcBorders>
              <w:top w:val="single" w:sz="4" w:space="0" w:color="auto"/>
              <w:left w:val="nil"/>
              <w:bottom w:val="single" w:sz="4" w:space="0" w:color="auto"/>
              <w:right w:val="single" w:sz="4" w:space="0" w:color="auto"/>
            </w:tcBorders>
            <w:shd w:val="clear" w:color="auto" w:fill="auto"/>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Description</w:t>
            </w:r>
          </w:p>
        </w:tc>
      </w:tr>
      <w:tr w:rsidR="00B83151" w:rsidRPr="007137F8" w:rsidTr="00B83151">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3151" w:rsidRPr="007137F8" w:rsidRDefault="00B83151" w:rsidP="007137F8">
            <w:pPr>
              <w:spacing w:before="60" w:after="60"/>
              <w:jc w:val="left"/>
              <w:rPr>
                <w:rFonts w:eastAsia="Times New Roman" w:cs="Arial"/>
                <w:lang w:val="en-US" w:eastAsia="en-US"/>
              </w:rPr>
            </w:pPr>
            <w:r w:rsidRPr="007137F8">
              <w:rPr>
                <w:rFonts w:eastAsia="Times New Roman" w:cs="Arial"/>
                <w:lang w:val="en-US" w:eastAsia="en-US"/>
              </w:rPr>
              <w:t>8.5</w:t>
            </w:r>
          </w:p>
        </w:tc>
        <w:tc>
          <w:tcPr>
            <w:tcW w:w="1728" w:type="dxa"/>
            <w:tcBorders>
              <w:top w:val="single" w:sz="4" w:space="0" w:color="auto"/>
              <w:left w:val="nil"/>
              <w:bottom w:val="single" w:sz="4" w:space="0" w:color="auto"/>
              <w:right w:val="single" w:sz="4" w:space="0" w:color="auto"/>
            </w:tcBorders>
            <w:shd w:val="clear" w:color="auto" w:fill="auto"/>
            <w:vAlign w:val="center"/>
          </w:tcPr>
          <w:p w:rsidR="00B83151" w:rsidRPr="007137F8" w:rsidRDefault="00B83151" w:rsidP="007137F8">
            <w:pPr>
              <w:spacing w:before="60" w:after="60"/>
              <w:jc w:val="left"/>
              <w:rPr>
                <w:rFonts w:eastAsia="Times New Roman" w:cs="Arial"/>
                <w:lang w:val="en-US" w:eastAsia="en-US"/>
              </w:rPr>
            </w:pPr>
            <w:r w:rsidRPr="007137F8">
              <w:rPr>
                <w:rFonts w:eastAsia="Times New Roman" w:cs="Arial"/>
                <w:lang w:val="en-US" w:eastAsia="en-US"/>
              </w:rPr>
              <w:t>Before / after exceptional items and amortisation</w:t>
            </w:r>
          </w:p>
        </w:tc>
        <w:tc>
          <w:tcPr>
            <w:tcW w:w="7008" w:type="dxa"/>
            <w:tcBorders>
              <w:top w:val="single" w:sz="4" w:space="0" w:color="auto"/>
              <w:left w:val="nil"/>
              <w:bottom w:val="single" w:sz="4" w:space="0" w:color="auto"/>
              <w:right w:val="single" w:sz="4" w:space="0" w:color="auto"/>
            </w:tcBorders>
            <w:shd w:val="clear" w:color="auto" w:fill="auto"/>
            <w:vAlign w:val="center"/>
          </w:tcPr>
          <w:p w:rsidR="0043483A" w:rsidRDefault="00B83151" w:rsidP="007137F8">
            <w:pPr>
              <w:spacing w:before="60" w:after="60"/>
              <w:jc w:val="left"/>
              <w:rPr>
                <w:rFonts w:eastAsia="Times New Roman" w:cs="Arial"/>
                <w:lang w:val="en-US" w:eastAsia="en-US"/>
              </w:rPr>
            </w:pPr>
            <w:r w:rsidRPr="007137F8">
              <w:rPr>
                <w:rFonts w:eastAsia="Times New Roman" w:cs="Arial"/>
                <w:lang w:val="en-US" w:eastAsia="en-US"/>
              </w:rPr>
              <w:t xml:space="preserve">The dimension tags representing data before and after exceptional items and before and after amortisation must be used whenever financial statements: </w:t>
            </w:r>
          </w:p>
          <w:p w:rsidR="0043483A" w:rsidRDefault="00B83151" w:rsidP="007137F8">
            <w:pPr>
              <w:spacing w:before="60" w:after="60"/>
              <w:jc w:val="left"/>
              <w:rPr>
                <w:rFonts w:eastAsia="Times New Roman" w:cs="Arial"/>
                <w:lang w:val="en-US" w:eastAsia="en-US"/>
              </w:rPr>
            </w:pPr>
            <w:r w:rsidRPr="007137F8">
              <w:rPr>
                <w:rFonts w:eastAsia="Times New Roman" w:cs="Arial"/>
                <w:lang w:val="en-US" w:eastAsia="en-US"/>
              </w:rPr>
              <w:t>(a)  explicitly state that an item is before / after such adjustments, or</w:t>
            </w:r>
          </w:p>
          <w:p w:rsidR="00191A0A" w:rsidRDefault="00B83151" w:rsidP="007137F8">
            <w:pPr>
              <w:spacing w:before="60" w:after="60"/>
              <w:jc w:val="left"/>
              <w:rPr>
                <w:rFonts w:eastAsia="Times New Roman" w:cs="Arial"/>
                <w:lang w:val="en-US" w:eastAsia="en-US"/>
              </w:rPr>
            </w:pPr>
            <w:r w:rsidRPr="007137F8">
              <w:rPr>
                <w:rFonts w:eastAsia="Times New Roman" w:cs="Arial"/>
                <w:lang w:val="en-US" w:eastAsia="en-US"/>
              </w:rPr>
              <w:t xml:space="preserve">(b)  contain two or more line items which represent the </w:t>
            </w:r>
            <w:r w:rsidRPr="007137F8">
              <w:rPr>
                <w:rFonts w:eastAsia="Times New Roman" w:cs="Arial"/>
                <w:b/>
                <w:bCs/>
                <w:lang w:val="en-US" w:eastAsia="en-US"/>
              </w:rPr>
              <w:t>same</w:t>
            </w:r>
            <w:r w:rsidRPr="007137F8">
              <w:rPr>
                <w:rFonts w:eastAsia="Times New Roman" w:cs="Arial"/>
                <w:lang w:val="en-US" w:eastAsia="en-US"/>
              </w:rPr>
              <w:t xml:space="preserve"> basic concept and require the before / after dimension tag to distinguish them.  In this case, line item descriptions do not have to state explicitly that they are before or after adjustments, as in the following example:</w:t>
            </w:r>
          </w:p>
          <w:p w:rsidR="00191A0A" w:rsidRDefault="00B83151" w:rsidP="00191A0A">
            <w:pPr>
              <w:jc w:val="left"/>
              <w:rPr>
                <w:rFonts w:eastAsia="Times New Roman" w:cs="Arial"/>
                <w:lang w:val="en-US" w:eastAsia="en-US"/>
              </w:rPr>
            </w:pPr>
            <w:r w:rsidRPr="007137F8">
              <w:rPr>
                <w:rFonts w:eastAsia="Times New Roman" w:cs="Arial"/>
                <w:lang w:val="en-US" w:eastAsia="en-US"/>
              </w:rPr>
              <w:t xml:space="preserve">    Operating profit   10</w:t>
            </w:r>
          </w:p>
          <w:p w:rsidR="00191A0A" w:rsidRDefault="00B83151" w:rsidP="00191A0A">
            <w:pPr>
              <w:jc w:val="left"/>
              <w:rPr>
                <w:rFonts w:eastAsia="Times New Roman" w:cs="Arial"/>
                <w:lang w:val="en-US" w:eastAsia="en-US"/>
              </w:rPr>
            </w:pPr>
            <w:r w:rsidRPr="007137F8">
              <w:rPr>
                <w:rFonts w:eastAsia="Times New Roman" w:cs="Arial"/>
                <w:lang w:val="en-US" w:eastAsia="en-US"/>
              </w:rPr>
              <w:t xml:space="preserve">    Exceptionals         5</w:t>
            </w:r>
          </w:p>
          <w:p w:rsidR="00191A0A" w:rsidRDefault="00B83151" w:rsidP="00191A0A">
            <w:pPr>
              <w:jc w:val="left"/>
              <w:rPr>
                <w:rFonts w:eastAsia="Times New Roman" w:cs="Arial"/>
                <w:lang w:val="en-US" w:eastAsia="en-US"/>
              </w:rPr>
            </w:pPr>
            <w:r w:rsidRPr="007137F8">
              <w:rPr>
                <w:rFonts w:eastAsia="Times New Roman" w:cs="Arial"/>
                <w:lang w:val="en-US" w:eastAsia="en-US"/>
              </w:rPr>
              <w:t xml:space="preserve">    Operating profit     5</w:t>
            </w:r>
          </w:p>
          <w:p w:rsidR="0043483A" w:rsidRDefault="00B83151" w:rsidP="007137F8">
            <w:pPr>
              <w:spacing w:before="60" w:after="60"/>
              <w:jc w:val="left"/>
              <w:rPr>
                <w:rFonts w:eastAsia="Times New Roman" w:cs="Arial"/>
                <w:lang w:val="en-US" w:eastAsia="en-US"/>
              </w:rPr>
            </w:pPr>
            <w:r w:rsidRPr="007137F8">
              <w:rPr>
                <w:rFonts w:eastAsia="Times New Roman" w:cs="Arial"/>
                <w:lang w:val="en-US" w:eastAsia="en-US"/>
              </w:rPr>
              <w:t xml:space="preserve">It is clear from this statement that the first operating profit is before exceptionals, there is an exceptional loss and the second operating profit is after exceptionals, so the dimension tags must be used.  </w:t>
            </w:r>
          </w:p>
          <w:p w:rsidR="0043483A" w:rsidRDefault="00B83151" w:rsidP="007137F8">
            <w:pPr>
              <w:spacing w:before="60" w:after="60"/>
              <w:jc w:val="left"/>
              <w:rPr>
                <w:rFonts w:eastAsia="Times New Roman" w:cs="Arial"/>
                <w:lang w:val="en-US" w:eastAsia="en-US"/>
              </w:rPr>
            </w:pPr>
            <w:r w:rsidRPr="007137F8">
              <w:rPr>
                <w:rFonts w:eastAsia="Times New Roman" w:cs="Arial"/>
                <w:lang w:val="en-US" w:eastAsia="en-US"/>
              </w:rPr>
              <w:t>Otherwise the default for the before / after dimensions (‘</w:t>
            </w:r>
            <w:r w:rsidR="005132AD">
              <w:rPr>
                <w:rFonts w:eastAsia="Times New Roman" w:cs="Arial"/>
                <w:i/>
                <w:color w:val="FF0000"/>
                <w:lang w:val="en-US" w:eastAsia="en-US"/>
              </w:rPr>
              <w:t>N</w:t>
            </w:r>
            <w:r w:rsidRPr="005132AD">
              <w:rPr>
                <w:rFonts w:eastAsia="Times New Roman" w:cs="Arial"/>
                <w:i/>
                <w:color w:val="FF0000"/>
                <w:lang w:val="en-US" w:eastAsia="en-US"/>
              </w:rPr>
              <w:t>ot applicable</w:t>
            </w:r>
            <w:r w:rsidR="005132AD">
              <w:rPr>
                <w:rFonts w:eastAsia="Times New Roman" w:cs="Arial"/>
                <w:lang w:val="en-US" w:eastAsia="en-US"/>
              </w:rPr>
              <w:t>’)</w:t>
            </w:r>
            <w:r w:rsidRPr="007137F8">
              <w:rPr>
                <w:rFonts w:eastAsia="Times New Roman" w:cs="Arial"/>
                <w:lang w:val="en-US" w:eastAsia="en-US"/>
              </w:rPr>
              <w:t xml:space="preserve"> should apply.  Subtotals which include another item tagged as 'after' do </w:t>
            </w:r>
            <w:r w:rsidRPr="007137F8">
              <w:rPr>
                <w:rFonts w:eastAsia="Times New Roman" w:cs="Arial"/>
                <w:b/>
                <w:bCs/>
                <w:lang w:val="en-US" w:eastAsia="en-US"/>
              </w:rPr>
              <w:t>not</w:t>
            </w:r>
            <w:r w:rsidRPr="007137F8">
              <w:rPr>
                <w:rFonts w:eastAsia="Times New Roman" w:cs="Arial"/>
                <w:lang w:val="en-US" w:eastAsia="en-US"/>
              </w:rPr>
              <w:t xml:space="preserve"> need to be tagged with the 'after' dimension tags, </w:t>
            </w:r>
            <w:r w:rsidRPr="007137F8">
              <w:rPr>
                <w:rFonts w:eastAsia="Times New Roman" w:cs="Arial"/>
                <w:b/>
                <w:bCs/>
                <w:lang w:val="en-US" w:eastAsia="en-US"/>
              </w:rPr>
              <w:t>unless</w:t>
            </w:r>
            <w:r w:rsidRPr="007137F8">
              <w:rPr>
                <w:rFonts w:eastAsia="Times New Roman" w:cs="Arial"/>
                <w:lang w:val="en-US" w:eastAsia="en-US"/>
              </w:rPr>
              <w:t xml:space="preserve"> rules (a) or (b) above apply independently to them.  (For example, if operating profit is after exceptionals, subsequent totals, such as profit after tax, do not need to be tagged as 'after exceptionals' unless the accounts explicitly declare them as such.)  </w:t>
            </w:r>
          </w:p>
          <w:p w:rsidR="00B83151" w:rsidRPr="007137F8" w:rsidRDefault="00B83151" w:rsidP="007137F8">
            <w:pPr>
              <w:spacing w:before="60" w:after="60"/>
              <w:jc w:val="left"/>
              <w:rPr>
                <w:rFonts w:eastAsia="Times New Roman" w:cs="Arial"/>
                <w:lang w:val="en-US" w:eastAsia="en-US"/>
              </w:rPr>
            </w:pPr>
            <w:r w:rsidRPr="007137F8">
              <w:rPr>
                <w:rFonts w:eastAsia="Times New Roman" w:cs="Arial"/>
                <w:lang w:val="en-US" w:eastAsia="en-US"/>
              </w:rPr>
              <w:t xml:space="preserve">If a line item is before or after </w:t>
            </w:r>
            <w:r w:rsidRPr="007137F8">
              <w:rPr>
                <w:rFonts w:eastAsia="Times New Roman" w:cs="Arial"/>
                <w:b/>
                <w:bCs/>
                <w:lang w:val="en-US" w:eastAsia="en-US"/>
              </w:rPr>
              <w:t>both</w:t>
            </w:r>
            <w:r w:rsidRPr="007137F8">
              <w:rPr>
                <w:rFonts w:eastAsia="Times New Roman" w:cs="Arial"/>
                <w:lang w:val="en-US" w:eastAsia="en-US"/>
              </w:rPr>
              <w:t xml:space="preserve"> amortisation and exceptionals, then </w:t>
            </w:r>
            <w:r w:rsidRPr="007137F8">
              <w:rPr>
                <w:rFonts w:eastAsia="Times New Roman" w:cs="Arial"/>
                <w:b/>
                <w:bCs/>
                <w:lang w:val="en-US" w:eastAsia="en-US"/>
              </w:rPr>
              <w:t>both</w:t>
            </w:r>
            <w:r w:rsidRPr="007137F8">
              <w:rPr>
                <w:rFonts w:eastAsia="Times New Roman" w:cs="Arial"/>
                <w:lang w:val="en-US" w:eastAsia="en-US"/>
              </w:rPr>
              <w:t xml:space="preserve"> dimensions tags representing amortisation and exceptionals should be used.  </w:t>
            </w:r>
          </w:p>
        </w:tc>
      </w:tr>
      <w:tr w:rsidR="00B83151" w:rsidRPr="007137F8" w:rsidTr="00B83151">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3151" w:rsidRPr="007137F8" w:rsidRDefault="00B83151" w:rsidP="007137F8">
            <w:pPr>
              <w:spacing w:before="60" w:after="60"/>
              <w:jc w:val="left"/>
              <w:rPr>
                <w:rFonts w:eastAsia="Times New Roman" w:cs="Arial"/>
                <w:lang w:val="en-US" w:eastAsia="en-US"/>
              </w:rPr>
            </w:pPr>
            <w:r w:rsidRPr="007137F8">
              <w:rPr>
                <w:rFonts w:eastAsia="Times New Roman" w:cs="Arial"/>
                <w:lang w:val="en-US" w:eastAsia="en-US"/>
              </w:rPr>
              <w:t>8.6</w:t>
            </w:r>
          </w:p>
        </w:tc>
        <w:tc>
          <w:tcPr>
            <w:tcW w:w="1728" w:type="dxa"/>
            <w:tcBorders>
              <w:top w:val="single" w:sz="4" w:space="0" w:color="auto"/>
              <w:left w:val="nil"/>
              <w:bottom w:val="single" w:sz="4" w:space="0" w:color="auto"/>
              <w:right w:val="single" w:sz="4" w:space="0" w:color="auto"/>
            </w:tcBorders>
            <w:shd w:val="clear" w:color="auto" w:fill="auto"/>
            <w:vAlign w:val="center"/>
          </w:tcPr>
          <w:p w:rsidR="00B83151" w:rsidRPr="007137F8" w:rsidRDefault="00B83151" w:rsidP="007137F8">
            <w:pPr>
              <w:spacing w:before="60" w:after="60"/>
              <w:jc w:val="left"/>
              <w:rPr>
                <w:rFonts w:eastAsia="Times New Roman" w:cs="Arial"/>
                <w:lang w:val="en-US" w:eastAsia="en-US"/>
              </w:rPr>
            </w:pPr>
            <w:r w:rsidRPr="007137F8">
              <w:rPr>
                <w:rFonts w:eastAsia="Times New Roman" w:cs="Arial"/>
                <w:lang w:val="en-US" w:eastAsia="en-US"/>
              </w:rPr>
              <w:t>Exceptional items</w:t>
            </w:r>
          </w:p>
        </w:tc>
        <w:tc>
          <w:tcPr>
            <w:tcW w:w="7008" w:type="dxa"/>
            <w:tcBorders>
              <w:top w:val="single" w:sz="4" w:space="0" w:color="auto"/>
              <w:left w:val="nil"/>
              <w:bottom w:val="single" w:sz="4" w:space="0" w:color="auto"/>
              <w:right w:val="single" w:sz="4" w:space="0" w:color="auto"/>
            </w:tcBorders>
            <w:shd w:val="clear" w:color="auto" w:fill="auto"/>
            <w:vAlign w:val="center"/>
          </w:tcPr>
          <w:p w:rsidR="0043483A" w:rsidRDefault="00B83151" w:rsidP="007137F8">
            <w:pPr>
              <w:spacing w:before="60" w:after="60"/>
              <w:jc w:val="left"/>
              <w:rPr>
                <w:rFonts w:eastAsia="Times New Roman" w:cs="Arial"/>
                <w:lang w:val="en-US" w:eastAsia="en-US"/>
              </w:rPr>
            </w:pPr>
            <w:r w:rsidRPr="007137F8">
              <w:rPr>
                <w:rFonts w:eastAsia="Times New Roman" w:cs="Arial"/>
                <w:lang w:val="en-US" w:eastAsia="en-US"/>
              </w:rPr>
              <w:t>The ‘</w:t>
            </w:r>
            <w:r w:rsidRPr="005132AD">
              <w:rPr>
                <w:rFonts w:eastAsia="Times New Roman" w:cs="Arial"/>
                <w:i/>
                <w:color w:val="FF0000"/>
                <w:lang w:val="en-US" w:eastAsia="en-US"/>
              </w:rPr>
              <w:t>Exceptional items after operating profit</w:t>
            </w:r>
            <w:r w:rsidRPr="007137F8">
              <w:rPr>
                <w:rFonts w:eastAsia="Times New Roman" w:cs="Arial"/>
                <w:lang w:val="en-US" w:eastAsia="en-US"/>
              </w:rPr>
              <w:t xml:space="preserve">‘ section in the P&amp;L contains a number of items which companies sometimes describe as exceptional.  Most of these tags may be used for appropriate line items </w:t>
            </w:r>
            <w:r w:rsidRPr="007137F8">
              <w:rPr>
                <w:rFonts w:eastAsia="Times New Roman" w:cs="Arial"/>
                <w:b/>
                <w:bCs/>
                <w:lang w:val="en-US" w:eastAsia="en-US"/>
              </w:rPr>
              <w:t>whether or not</w:t>
            </w:r>
            <w:r w:rsidRPr="007137F8">
              <w:rPr>
                <w:rFonts w:eastAsia="Times New Roman" w:cs="Arial"/>
                <w:lang w:val="en-US" w:eastAsia="en-US"/>
              </w:rPr>
              <w:t xml:space="preserve"> a company states them to be exceptional.  For example, the tags for gain or loss from disposal of assets may be used whether or not a company happens to </w:t>
            </w:r>
            <w:r w:rsidR="00686066" w:rsidRPr="007137F8">
              <w:rPr>
                <w:rFonts w:eastAsia="Times New Roman" w:cs="Arial"/>
                <w:lang w:val="en-US" w:eastAsia="en-US"/>
              </w:rPr>
              <w:t>describe</w:t>
            </w:r>
            <w:r w:rsidRPr="007137F8">
              <w:rPr>
                <w:rFonts w:eastAsia="Times New Roman" w:cs="Arial"/>
                <w:lang w:val="en-US" w:eastAsia="en-US"/>
              </w:rPr>
              <w:t xml:space="preserve"> the item as exceptional.  (The loose approach in the taxonomy to the definition of exceptional items reflects the loose approach in accounting practice as to what is exceptional.)  </w:t>
            </w:r>
          </w:p>
          <w:p w:rsidR="0043483A" w:rsidRDefault="00B83151" w:rsidP="007137F8">
            <w:pPr>
              <w:spacing w:before="60" w:after="60"/>
              <w:jc w:val="left"/>
              <w:rPr>
                <w:rFonts w:eastAsia="Times New Roman" w:cs="Arial"/>
                <w:lang w:val="en-US" w:eastAsia="en-US"/>
              </w:rPr>
            </w:pPr>
            <w:r w:rsidRPr="007137F8">
              <w:rPr>
                <w:rFonts w:eastAsia="Times New Roman" w:cs="Arial"/>
                <w:lang w:val="en-US" w:eastAsia="en-US"/>
              </w:rPr>
              <w:t xml:space="preserve">Tags for exceptional items or items sometimes termed as exceptional may also be found in the sections of notes to the P&amp;L under: </w:t>
            </w:r>
            <w:r w:rsidRPr="007137F8">
              <w:rPr>
                <w:rFonts w:eastAsia="Times New Roman" w:cs="Arial"/>
                <w:lang w:val="en-US" w:eastAsia="en-US"/>
              </w:rPr>
              <w:br/>
            </w:r>
            <w:r w:rsidRPr="005132AD">
              <w:rPr>
                <w:rFonts w:eastAsia="Times New Roman" w:cs="Arial"/>
                <w:i/>
                <w:color w:val="008000"/>
                <w:lang w:val="en-US" w:eastAsia="en-US"/>
              </w:rPr>
              <w:t>Operating costs and credits =&gt; General operating costs</w:t>
            </w:r>
            <w:r w:rsidRPr="007137F8">
              <w:rPr>
                <w:rFonts w:eastAsia="Times New Roman" w:cs="Arial"/>
                <w:lang w:val="en-US" w:eastAsia="en-US"/>
              </w:rPr>
              <w:t xml:space="preserve">, and </w:t>
            </w:r>
            <w:r w:rsidRPr="007137F8">
              <w:rPr>
                <w:rFonts w:eastAsia="Times New Roman" w:cs="Arial"/>
                <w:lang w:val="en-US" w:eastAsia="en-US"/>
              </w:rPr>
              <w:br/>
            </w:r>
            <w:r w:rsidRPr="005132AD">
              <w:rPr>
                <w:rFonts w:eastAsia="Times New Roman" w:cs="Arial"/>
                <w:i/>
                <w:color w:val="008000"/>
                <w:lang w:val="en-US" w:eastAsia="en-US"/>
              </w:rPr>
              <w:t>Exceptional items - further analysis</w:t>
            </w:r>
            <w:r w:rsidRPr="007137F8">
              <w:rPr>
                <w:rFonts w:eastAsia="Times New Roman" w:cs="Arial"/>
                <w:lang w:val="en-US" w:eastAsia="en-US"/>
              </w:rPr>
              <w:t xml:space="preserve"> sections.  </w:t>
            </w:r>
          </w:p>
          <w:p w:rsidR="00B83151" w:rsidRPr="007137F8" w:rsidRDefault="00B83151" w:rsidP="007137F8">
            <w:pPr>
              <w:spacing w:before="60" w:after="60"/>
              <w:jc w:val="left"/>
              <w:rPr>
                <w:rFonts w:eastAsia="Times New Roman" w:cs="Arial"/>
                <w:lang w:val="en-US" w:eastAsia="en-US"/>
              </w:rPr>
            </w:pPr>
            <w:r w:rsidRPr="007137F8">
              <w:rPr>
                <w:rFonts w:eastAsia="Times New Roman" w:cs="Arial"/>
                <w:lang w:val="en-US" w:eastAsia="en-US"/>
              </w:rPr>
              <w:t>The tag '</w:t>
            </w:r>
            <w:r w:rsidRPr="005132AD">
              <w:rPr>
                <w:rFonts w:eastAsia="Times New Roman" w:cs="Arial"/>
                <w:i/>
                <w:color w:val="FF0000"/>
                <w:lang w:val="en-US" w:eastAsia="en-US"/>
              </w:rPr>
              <w:t>Exceptional items after operating profit free-text comment</w:t>
            </w:r>
            <w:r w:rsidRPr="007137F8">
              <w:rPr>
                <w:rFonts w:eastAsia="Times New Roman" w:cs="Arial"/>
                <w:lang w:val="en-US" w:eastAsia="en-US"/>
              </w:rPr>
              <w:t>' cannot be used.  It is incorrectly set to abstract.</w:t>
            </w:r>
          </w:p>
        </w:tc>
      </w:tr>
    </w:tbl>
    <w:p w:rsidR="00720B86" w:rsidRDefault="00720B86">
      <w:pPr>
        <w:rPr>
          <w:rFonts w:cs="Arial"/>
        </w:rPr>
      </w:pPr>
    </w:p>
    <w:p w:rsidR="00A3589F" w:rsidRPr="00CE3BEA" w:rsidRDefault="00B83151" w:rsidP="00CE3BEA">
      <w:pPr>
        <w:pStyle w:val="Heading2"/>
      </w:pPr>
      <w:r>
        <w:br w:type="page"/>
      </w:r>
      <w:bookmarkStart w:id="22" w:name="_Toc292036829"/>
      <w:r w:rsidR="00CE3BEA" w:rsidRPr="00CE3BEA">
        <w:lastRenderedPageBreak/>
        <w:t xml:space="preserve">GAAP </w:t>
      </w:r>
      <w:r w:rsidR="00C35E8C">
        <w:t>–</w:t>
      </w:r>
      <w:r w:rsidR="00CE3BEA" w:rsidRPr="00CE3BEA">
        <w:t xml:space="preserve"> </w:t>
      </w:r>
      <w:r w:rsidR="00C35E8C">
        <w:t>B</w:t>
      </w:r>
      <w:r w:rsidR="00CE3BEA" w:rsidRPr="00CE3BEA">
        <w:t>alance Sheet and notes</w:t>
      </w:r>
      <w:bookmarkEnd w:id="22"/>
    </w:p>
    <w:p w:rsidR="00A3589F" w:rsidRDefault="00A3589F">
      <w:pPr>
        <w:rPr>
          <w:rFonts w:cs="Arial"/>
        </w:rPr>
      </w:pPr>
    </w:p>
    <w:tbl>
      <w:tblPr>
        <w:tblW w:w="9231" w:type="dxa"/>
        <w:tblInd w:w="91" w:type="dxa"/>
        <w:tblLook w:val="0000"/>
      </w:tblPr>
      <w:tblGrid>
        <w:gridCol w:w="606"/>
        <w:gridCol w:w="1715"/>
        <w:gridCol w:w="6910"/>
      </w:tblGrid>
      <w:tr w:rsidR="00B83151" w:rsidRPr="00D50F7D" w:rsidTr="00FC5A0F">
        <w:trPr>
          <w:cantSplit/>
          <w:trHeight w:val="240"/>
          <w:tblHeader/>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ID</w:t>
            </w:r>
          </w:p>
        </w:tc>
        <w:tc>
          <w:tcPr>
            <w:tcW w:w="1715" w:type="dxa"/>
            <w:tcBorders>
              <w:top w:val="single" w:sz="4" w:space="0" w:color="auto"/>
              <w:left w:val="nil"/>
              <w:bottom w:val="single" w:sz="4" w:space="0" w:color="auto"/>
              <w:right w:val="single" w:sz="4" w:space="0" w:color="auto"/>
            </w:tcBorders>
            <w:shd w:val="clear" w:color="auto" w:fill="auto"/>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Item</w:t>
            </w:r>
          </w:p>
        </w:tc>
        <w:tc>
          <w:tcPr>
            <w:tcW w:w="6910" w:type="dxa"/>
            <w:tcBorders>
              <w:top w:val="single" w:sz="4" w:space="0" w:color="auto"/>
              <w:left w:val="nil"/>
              <w:bottom w:val="single" w:sz="4" w:space="0" w:color="auto"/>
              <w:right w:val="single" w:sz="4" w:space="0" w:color="auto"/>
            </w:tcBorders>
            <w:shd w:val="clear" w:color="auto" w:fill="auto"/>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Description</w:t>
            </w:r>
          </w:p>
        </w:tc>
      </w:tr>
      <w:tr w:rsidR="00FC5A0F" w:rsidRPr="00FC5A0F" w:rsidTr="00FC5A0F">
        <w:trPr>
          <w:cantSplit/>
          <w:trHeight w:val="240"/>
        </w:trPr>
        <w:tc>
          <w:tcPr>
            <w:tcW w:w="606" w:type="dxa"/>
            <w:tcBorders>
              <w:top w:val="single" w:sz="4" w:space="0" w:color="auto"/>
              <w:left w:val="single" w:sz="4" w:space="0" w:color="auto"/>
              <w:bottom w:val="single" w:sz="4" w:space="0" w:color="auto"/>
              <w:right w:val="single" w:sz="4" w:space="0" w:color="auto"/>
            </w:tcBorders>
            <w:noWrap/>
            <w:vAlign w:val="center"/>
          </w:tcPr>
          <w:p w:rsidR="00FC5A0F" w:rsidRPr="00FC5A0F" w:rsidRDefault="00FC5A0F" w:rsidP="00FC5A0F">
            <w:pPr>
              <w:spacing w:before="60" w:after="60"/>
              <w:jc w:val="left"/>
              <w:rPr>
                <w:rFonts w:eastAsia="Times New Roman" w:cs="Arial"/>
                <w:lang w:val="en-US" w:eastAsia="en-US"/>
              </w:rPr>
            </w:pPr>
            <w:r w:rsidRPr="00FC5A0F">
              <w:rPr>
                <w:rFonts w:eastAsia="Times New Roman" w:cs="Arial"/>
                <w:lang w:val="en-US" w:eastAsia="en-US"/>
              </w:rPr>
              <w:t>8.7</w:t>
            </w:r>
          </w:p>
        </w:tc>
        <w:tc>
          <w:tcPr>
            <w:tcW w:w="1715" w:type="dxa"/>
            <w:tcBorders>
              <w:top w:val="single" w:sz="4" w:space="0" w:color="auto"/>
              <w:left w:val="nil"/>
              <w:bottom w:val="single" w:sz="4" w:space="0" w:color="auto"/>
              <w:right w:val="single" w:sz="4" w:space="0" w:color="auto"/>
            </w:tcBorders>
            <w:shd w:val="clear" w:color="auto" w:fill="auto"/>
            <w:vAlign w:val="center"/>
          </w:tcPr>
          <w:p w:rsidR="00FC5A0F" w:rsidRPr="00FC5A0F" w:rsidRDefault="00FC5A0F" w:rsidP="00FC5A0F">
            <w:pPr>
              <w:spacing w:before="60" w:after="60"/>
              <w:jc w:val="left"/>
              <w:rPr>
                <w:rFonts w:eastAsia="Times New Roman" w:cs="Arial"/>
                <w:lang w:val="en-US" w:eastAsia="en-US"/>
              </w:rPr>
            </w:pPr>
            <w:r w:rsidRPr="00FC5A0F">
              <w:rPr>
                <w:rFonts w:eastAsia="Times New Roman" w:cs="Arial"/>
                <w:lang w:val="en-US" w:eastAsia="en-US"/>
              </w:rPr>
              <w:t>Current and non-current assets and liabilities</w:t>
            </w:r>
          </w:p>
        </w:tc>
        <w:tc>
          <w:tcPr>
            <w:tcW w:w="6910" w:type="dxa"/>
            <w:tcBorders>
              <w:top w:val="single" w:sz="4" w:space="0" w:color="auto"/>
              <w:left w:val="nil"/>
              <w:bottom w:val="single" w:sz="4" w:space="0" w:color="auto"/>
              <w:right w:val="single" w:sz="4" w:space="0" w:color="auto"/>
            </w:tcBorders>
            <w:shd w:val="clear" w:color="auto" w:fill="auto"/>
            <w:vAlign w:val="center"/>
          </w:tcPr>
          <w:p w:rsidR="00FC5A0F" w:rsidRPr="00FC5A0F" w:rsidRDefault="00FC5A0F" w:rsidP="00FC5A0F">
            <w:pPr>
              <w:spacing w:before="60" w:after="60"/>
              <w:jc w:val="left"/>
              <w:rPr>
                <w:rFonts w:eastAsia="Times New Roman" w:cs="Arial"/>
                <w:lang w:val="en-US" w:eastAsia="en-US"/>
              </w:rPr>
            </w:pPr>
            <w:r w:rsidRPr="00FC5A0F">
              <w:rPr>
                <w:rFonts w:eastAsia="Times New Roman" w:cs="Arial"/>
                <w:lang w:val="en-US" w:eastAsia="en-US"/>
              </w:rPr>
              <w:t>The GAAP taxonomy contains a</w:t>
            </w:r>
            <w:r w:rsidR="003E75D5">
              <w:rPr>
                <w:rFonts w:eastAsia="Times New Roman" w:cs="Arial"/>
                <w:lang w:val="en-US" w:eastAsia="en-US"/>
              </w:rPr>
              <w:t xml:space="preserve"> range of </w:t>
            </w:r>
            <w:r w:rsidRPr="00FC5A0F">
              <w:rPr>
                <w:rFonts w:eastAsia="Times New Roman" w:cs="Arial"/>
                <w:lang w:val="en-US" w:eastAsia="en-US"/>
              </w:rPr>
              <w:t xml:space="preserve">different line item tags to distinguish current and non-current </w:t>
            </w:r>
            <w:r w:rsidR="008E0F26">
              <w:rPr>
                <w:rFonts w:eastAsia="Times New Roman" w:cs="Arial"/>
                <w:lang w:val="en-US" w:eastAsia="en-US"/>
              </w:rPr>
              <w:t>data.</w:t>
            </w:r>
            <w:r w:rsidRPr="00FC5A0F">
              <w:rPr>
                <w:rFonts w:eastAsia="Times New Roman" w:cs="Arial"/>
                <w:lang w:val="en-US" w:eastAsia="en-US"/>
              </w:rPr>
              <w:t xml:space="preserve">  However, the current and non-current values of </w:t>
            </w:r>
            <w:r w:rsidR="008E0F26">
              <w:rPr>
                <w:rFonts w:eastAsia="Times New Roman" w:cs="Arial"/>
                <w:lang w:val="en-US" w:eastAsia="en-US"/>
              </w:rPr>
              <w:t>many</w:t>
            </w:r>
            <w:r w:rsidRPr="00FC5A0F">
              <w:rPr>
                <w:rFonts w:eastAsia="Times New Roman" w:cs="Arial"/>
                <w:lang w:val="en-US" w:eastAsia="en-US"/>
              </w:rPr>
              <w:t xml:space="preserve"> financial instrumen</w:t>
            </w:r>
            <w:r w:rsidR="005132AD">
              <w:rPr>
                <w:rFonts w:eastAsia="Times New Roman" w:cs="Arial"/>
                <w:lang w:val="en-US" w:eastAsia="en-US"/>
              </w:rPr>
              <w:t xml:space="preserve">ts are distinguished using the </w:t>
            </w:r>
            <w:r w:rsidRPr="005132AD">
              <w:rPr>
                <w:rFonts w:eastAsia="Times New Roman" w:cs="Arial"/>
                <w:i/>
                <w:lang w:val="en-US" w:eastAsia="en-US"/>
              </w:rPr>
              <w:t>Financial instrument current and non-current</w:t>
            </w:r>
            <w:r w:rsidRPr="00FC5A0F">
              <w:rPr>
                <w:rFonts w:eastAsia="Times New Roman" w:cs="Arial"/>
                <w:lang w:val="en-US" w:eastAsia="en-US"/>
              </w:rPr>
              <w:t xml:space="preserve"> dimension tags.  </w:t>
            </w:r>
            <w:r w:rsidR="00AC7F1F">
              <w:rPr>
                <w:rFonts w:eastAsia="Times New Roman" w:cs="Arial"/>
                <w:lang w:val="en-US" w:eastAsia="en-US"/>
              </w:rPr>
              <w:t xml:space="preserve">Line items </w:t>
            </w:r>
            <w:r w:rsidRPr="00FC5A0F">
              <w:rPr>
                <w:rFonts w:eastAsia="Times New Roman" w:cs="Arial"/>
                <w:lang w:val="en-US" w:eastAsia="en-US"/>
              </w:rPr>
              <w:t xml:space="preserve">covered by the latest financial instrument regulations are attached to this and other financial instrument dimensions.  Preparers should note which items are used with these dimensions.   This point is related to </w:t>
            </w:r>
            <w:hyperlink w:anchor="XR_CreditorsDebtors" w:history="1">
              <w:r w:rsidRPr="005C4817">
                <w:rPr>
                  <w:rStyle w:val="Hyperlink"/>
                  <w:rFonts w:eastAsia="Times New Roman" w:cs="Arial"/>
                  <w:lang w:val="en-US" w:eastAsia="en-US"/>
                </w:rPr>
                <w:t>item</w:t>
              </w:r>
              <w:r w:rsidRPr="005C4817">
                <w:rPr>
                  <w:rStyle w:val="Hyperlink"/>
                  <w:rFonts w:eastAsia="Times New Roman" w:cs="Arial"/>
                  <w:lang w:val="en-US" w:eastAsia="en-US"/>
                </w:rPr>
                <w:t xml:space="preserve"> </w:t>
              </w:r>
              <w:r w:rsidR="003C783B" w:rsidRPr="005C4817">
                <w:rPr>
                  <w:rStyle w:val="Hyperlink"/>
                  <w:rFonts w:eastAsia="Times New Roman" w:cs="Arial"/>
                  <w:lang w:val="en-US" w:eastAsia="en-US"/>
                </w:rPr>
                <w:t>8.2</w:t>
              </w:r>
              <w:r w:rsidR="005B6247">
                <w:rPr>
                  <w:rStyle w:val="Hyperlink"/>
                  <w:rFonts w:eastAsia="Times New Roman" w:cs="Arial"/>
                  <w:lang w:val="en-US" w:eastAsia="en-US"/>
                </w:rPr>
                <w:t>7</w:t>
              </w:r>
            </w:hyperlink>
            <w:r w:rsidRPr="00FC5A0F">
              <w:rPr>
                <w:rFonts w:eastAsia="Times New Roman" w:cs="Arial"/>
                <w:lang w:val="en-US" w:eastAsia="en-US"/>
              </w:rPr>
              <w:t xml:space="preserve"> below on creditors and debtors.</w:t>
            </w:r>
          </w:p>
        </w:tc>
      </w:tr>
      <w:tr w:rsidR="00FC5A0F" w:rsidRPr="00FC5A0F" w:rsidTr="00FC5A0F">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FC5A0F" w:rsidRPr="00FC5A0F" w:rsidRDefault="00FC5A0F" w:rsidP="00FC5A0F">
            <w:pPr>
              <w:spacing w:before="60" w:after="60"/>
              <w:jc w:val="left"/>
              <w:rPr>
                <w:rFonts w:eastAsia="Times New Roman" w:cs="Arial"/>
                <w:lang w:val="en-US" w:eastAsia="en-US"/>
              </w:rPr>
            </w:pPr>
            <w:r w:rsidRPr="00FC5A0F">
              <w:rPr>
                <w:rFonts w:eastAsia="Times New Roman" w:cs="Arial"/>
                <w:lang w:val="en-US" w:eastAsia="en-US"/>
              </w:rPr>
              <w:t>8.8</w:t>
            </w:r>
          </w:p>
        </w:tc>
        <w:tc>
          <w:tcPr>
            <w:tcW w:w="1715" w:type="dxa"/>
            <w:tcBorders>
              <w:top w:val="single" w:sz="4" w:space="0" w:color="auto"/>
              <w:left w:val="nil"/>
              <w:bottom w:val="single" w:sz="4" w:space="0" w:color="auto"/>
              <w:right w:val="single" w:sz="4" w:space="0" w:color="auto"/>
            </w:tcBorders>
            <w:shd w:val="clear" w:color="auto" w:fill="auto"/>
            <w:vAlign w:val="center"/>
          </w:tcPr>
          <w:p w:rsidR="00FC5A0F" w:rsidRPr="00FC5A0F" w:rsidRDefault="00FC5A0F" w:rsidP="00FC5A0F">
            <w:pPr>
              <w:spacing w:before="60" w:after="60"/>
              <w:jc w:val="left"/>
              <w:rPr>
                <w:rFonts w:eastAsia="Times New Roman" w:cs="Arial"/>
                <w:lang w:val="en-US" w:eastAsia="en-US"/>
              </w:rPr>
            </w:pPr>
            <w:r w:rsidRPr="00FC5A0F">
              <w:rPr>
                <w:rFonts w:eastAsia="Times New Roman" w:cs="Arial"/>
                <w:lang w:val="en-US" w:eastAsia="en-US"/>
              </w:rPr>
              <w:t>Goodwill</w:t>
            </w:r>
          </w:p>
        </w:tc>
        <w:tc>
          <w:tcPr>
            <w:tcW w:w="6910" w:type="dxa"/>
            <w:tcBorders>
              <w:top w:val="single" w:sz="4" w:space="0" w:color="auto"/>
              <w:left w:val="nil"/>
              <w:bottom w:val="single" w:sz="4" w:space="0" w:color="auto"/>
              <w:right w:val="single" w:sz="4" w:space="0" w:color="auto"/>
            </w:tcBorders>
            <w:shd w:val="clear" w:color="auto" w:fill="auto"/>
            <w:vAlign w:val="center"/>
          </w:tcPr>
          <w:p w:rsidR="00FC5A0F" w:rsidRPr="00FC5A0F" w:rsidRDefault="00FC5A0F" w:rsidP="00FC5A0F">
            <w:pPr>
              <w:spacing w:before="60" w:after="60"/>
              <w:jc w:val="left"/>
              <w:rPr>
                <w:rFonts w:eastAsia="Times New Roman" w:cs="Arial"/>
                <w:lang w:val="en-US" w:eastAsia="en-US"/>
              </w:rPr>
            </w:pPr>
            <w:r w:rsidRPr="00FC5A0F">
              <w:rPr>
                <w:rFonts w:eastAsia="Times New Roman" w:cs="Arial"/>
                <w:lang w:val="en-US" w:eastAsia="en-US"/>
              </w:rPr>
              <w:t>Goodwill should in general be represented using the dimension tag '</w:t>
            </w:r>
            <w:r w:rsidRPr="00A60AC0">
              <w:rPr>
                <w:rFonts w:eastAsia="Times New Roman" w:cs="Arial"/>
                <w:i/>
                <w:color w:val="FF0000"/>
                <w:lang w:val="en-US" w:eastAsia="en-US"/>
              </w:rPr>
              <w:t>Net goodwill</w:t>
            </w:r>
            <w:r w:rsidRPr="00FC5A0F">
              <w:rPr>
                <w:rFonts w:eastAsia="Times New Roman" w:cs="Arial"/>
                <w:lang w:val="en-US" w:eastAsia="en-US"/>
              </w:rPr>
              <w:t>'.  The '</w:t>
            </w:r>
            <w:r w:rsidRPr="005132AD">
              <w:rPr>
                <w:rFonts w:eastAsia="Times New Roman" w:cs="Arial"/>
                <w:i/>
                <w:color w:val="FF0000"/>
                <w:lang w:val="en-US" w:eastAsia="en-US"/>
              </w:rPr>
              <w:t>Positive goodwill</w:t>
            </w:r>
            <w:r w:rsidRPr="00FC5A0F">
              <w:rPr>
                <w:rFonts w:eastAsia="Times New Roman" w:cs="Arial"/>
                <w:lang w:val="en-US" w:eastAsia="en-US"/>
              </w:rPr>
              <w:t>' and '</w:t>
            </w:r>
            <w:r w:rsidRPr="005132AD">
              <w:rPr>
                <w:rFonts w:eastAsia="Times New Roman" w:cs="Arial"/>
                <w:i/>
                <w:color w:val="FF0000"/>
                <w:lang w:val="en-US" w:eastAsia="en-US"/>
              </w:rPr>
              <w:t>Negative goodwill</w:t>
            </w:r>
            <w:r w:rsidRPr="00FC5A0F">
              <w:rPr>
                <w:rFonts w:eastAsia="Times New Roman" w:cs="Arial"/>
                <w:lang w:val="en-US" w:eastAsia="en-US"/>
              </w:rPr>
              <w:t xml:space="preserve">' tags are intended to represent cases in which companies </w:t>
            </w:r>
            <w:r w:rsidRPr="00FC5A0F">
              <w:rPr>
                <w:rFonts w:eastAsia="Times New Roman" w:cs="Arial"/>
                <w:b/>
                <w:bCs/>
                <w:lang w:val="en-US" w:eastAsia="en-US"/>
              </w:rPr>
              <w:t>explicitly</w:t>
            </w:r>
            <w:r w:rsidRPr="00FC5A0F">
              <w:rPr>
                <w:rFonts w:eastAsia="Times New Roman" w:cs="Arial"/>
                <w:lang w:val="en-US" w:eastAsia="en-US"/>
              </w:rPr>
              <w:t xml:space="preserve"> provide a breakdown into positive and negative amounts.  </w:t>
            </w:r>
          </w:p>
        </w:tc>
      </w:tr>
      <w:tr w:rsidR="00FC5A0F" w:rsidRPr="00FC5A0F" w:rsidTr="00FC5A0F">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FC5A0F" w:rsidRPr="00FC5A0F" w:rsidRDefault="00FC5A0F" w:rsidP="00FC5A0F">
            <w:pPr>
              <w:spacing w:before="60" w:after="60"/>
              <w:jc w:val="left"/>
              <w:rPr>
                <w:rFonts w:eastAsia="Times New Roman" w:cs="Arial"/>
                <w:lang w:val="en-US" w:eastAsia="en-US"/>
              </w:rPr>
            </w:pPr>
            <w:r w:rsidRPr="00FC5A0F">
              <w:rPr>
                <w:rFonts w:eastAsia="Times New Roman" w:cs="Arial"/>
                <w:lang w:val="en-US" w:eastAsia="en-US"/>
              </w:rPr>
              <w:t>8.9</w:t>
            </w:r>
          </w:p>
        </w:tc>
        <w:tc>
          <w:tcPr>
            <w:tcW w:w="1715" w:type="dxa"/>
            <w:tcBorders>
              <w:top w:val="single" w:sz="4" w:space="0" w:color="auto"/>
              <w:left w:val="nil"/>
              <w:bottom w:val="single" w:sz="4" w:space="0" w:color="auto"/>
              <w:right w:val="single" w:sz="4" w:space="0" w:color="auto"/>
            </w:tcBorders>
            <w:shd w:val="clear" w:color="auto" w:fill="auto"/>
            <w:vAlign w:val="center"/>
          </w:tcPr>
          <w:p w:rsidR="00FC5A0F" w:rsidRPr="00FC5A0F" w:rsidRDefault="00FC5A0F" w:rsidP="00FC5A0F">
            <w:pPr>
              <w:spacing w:before="60" w:after="60"/>
              <w:jc w:val="left"/>
              <w:rPr>
                <w:rFonts w:eastAsia="Times New Roman" w:cs="Arial"/>
                <w:lang w:val="en-US" w:eastAsia="en-US"/>
              </w:rPr>
            </w:pPr>
            <w:r w:rsidRPr="00FC5A0F">
              <w:rPr>
                <w:rFonts w:eastAsia="Times New Roman" w:cs="Arial"/>
                <w:lang w:val="en-US" w:eastAsia="en-US"/>
              </w:rPr>
              <w:t>Net assets</w:t>
            </w:r>
          </w:p>
        </w:tc>
        <w:tc>
          <w:tcPr>
            <w:tcW w:w="6910" w:type="dxa"/>
            <w:tcBorders>
              <w:top w:val="single" w:sz="4" w:space="0" w:color="auto"/>
              <w:left w:val="nil"/>
              <w:bottom w:val="single" w:sz="4" w:space="0" w:color="auto"/>
              <w:right w:val="single" w:sz="4" w:space="0" w:color="auto"/>
            </w:tcBorders>
            <w:shd w:val="clear" w:color="auto" w:fill="auto"/>
            <w:vAlign w:val="center"/>
          </w:tcPr>
          <w:p w:rsidR="00FC5A0F" w:rsidRPr="00FC5A0F" w:rsidRDefault="00FC5A0F" w:rsidP="00FC5A0F">
            <w:pPr>
              <w:spacing w:before="60" w:after="60"/>
              <w:jc w:val="left"/>
              <w:rPr>
                <w:rFonts w:eastAsia="Times New Roman" w:cs="Arial"/>
                <w:lang w:val="en-US" w:eastAsia="en-US"/>
              </w:rPr>
            </w:pPr>
            <w:r w:rsidRPr="00FC5A0F">
              <w:rPr>
                <w:rFonts w:eastAsia="Times New Roman" w:cs="Arial"/>
                <w:lang w:val="en-US" w:eastAsia="en-US"/>
              </w:rPr>
              <w:t>If a company reports 'net assets' in the balance sheet without identifying whether this includes or excludes a pension liability, then the correct tag is ‘</w:t>
            </w:r>
            <w:r w:rsidR="008B0BCB" w:rsidRPr="008B0BCB">
              <w:rPr>
                <w:rFonts w:eastAsia="Times New Roman" w:cs="Arial"/>
                <w:i/>
                <w:color w:val="FF0000"/>
                <w:lang w:val="en-US" w:eastAsia="en-US"/>
              </w:rPr>
              <w:t>Net assets (liabilities), including pension asset (liability)</w:t>
            </w:r>
            <w:r w:rsidRPr="00FC5A0F">
              <w:rPr>
                <w:rFonts w:eastAsia="Times New Roman" w:cs="Arial"/>
                <w:lang w:val="en-US" w:eastAsia="en-US"/>
              </w:rPr>
              <w:t xml:space="preserve">’.  This is in line with the </w:t>
            </w:r>
            <w:hyperlink w:anchor="PDGuide" w:history="1">
              <w:r w:rsidR="008B0BCB" w:rsidRPr="00D87AA9">
                <w:rPr>
                  <w:rStyle w:val="Hyperlink"/>
                  <w:rFonts w:eastAsia="Times New Roman" w:cs="Arial"/>
                  <w:lang w:val="en-US" w:eastAsia="en-US"/>
                </w:rPr>
                <w:t>Preparers &amp; Developers Guide</w:t>
              </w:r>
            </w:hyperlink>
            <w:r w:rsidRPr="00FC5A0F">
              <w:rPr>
                <w:rFonts w:eastAsia="Times New Roman" w:cs="Arial"/>
                <w:lang w:val="en-US" w:eastAsia="en-US"/>
              </w:rPr>
              <w:t xml:space="preserve"> section 4.7 on alternative tags, which says that tags representing broad totals, or the more general case, should be used in primary statements.  (This approach applies whether or not the company concerned has any pension scheme.)  </w:t>
            </w:r>
          </w:p>
        </w:tc>
      </w:tr>
      <w:tr w:rsidR="00FC5A0F" w:rsidRPr="00FC5A0F" w:rsidTr="00FC5A0F">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FC5A0F" w:rsidRPr="00FC5A0F" w:rsidRDefault="00FC5A0F" w:rsidP="00FC5A0F">
            <w:pPr>
              <w:spacing w:before="60" w:after="60"/>
              <w:jc w:val="left"/>
              <w:rPr>
                <w:rFonts w:eastAsia="Times New Roman" w:cs="Arial"/>
                <w:lang w:val="en-US" w:eastAsia="en-US"/>
              </w:rPr>
            </w:pPr>
            <w:r w:rsidRPr="00FC5A0F">
              <w:rPr>
                <w:rFonts w:eastAsia="Times New Roman" w:cs="Arial"/>
                <w:lang w:val="en-US" w:eastAsia="en-US"/>
              </w:rPr>
              <w:t>8.10</w:t>
            </w:r>
          </w:p>
        </w:tc>
        <w:tc>
          <w:tcPr>
            <w:tcW w:w="1715" w:type="dxa"/>
            <w:tcBorders>
              <w:top w:val="single" w:sz="4" w:space="0" w:color="auto"/>
              <w:left w:val="nil"/>
              <w:bottom w:val="single" w:sz="4" w:space="0" w:color="auto"/>
              <w:right w:val="single" w:sz="4" w:space="0" w:color="auto"/>
            </w:tcBorders>
            <w:shd w:val="clear" w:color="auto" w:fill="auto"/>
            <w:vAlign w:val="center"/>
          </w:tcPr>
          <w:p w:rsidR="00FC5A0F" w:rsidRPr="00FC5A0F" w:rsidRDefault="00FC5A0F" w:rsidP="00FC5A0F">
            <w:pPr>
              <w:spacing w:before="60" w:after="60"/>
              <w:jc w:val="left"/>
              <w:rPr>
                <w:rFonts w:eastAsia="Times New Roman" w:cs="Arial"/>
                <w:lang w:val="en-US" w:eastAsia="en-US"/>
              </w:rPr>
            </w:pPr>
            <w:r w:rsidRPr="00FC5A0F">
              <w:rPr>
                <w:rFonts w:eastAsia="Times New Roman" w:cs="Arial"/>
                <w:lang w:val="en-US" w:eastAsia="en-US"/>
              </w:rPr>
              <w:t>Pension tags in balance sheet and notes</w:t>
            </w:r>
          </w:p>
        </w:tc>
        <w:tc>
          <w:tcPr>
            <w:tcW w:w="6910" w:type="dxa"/>
            <w:tcBorders>
              <w:top w:val="single" w:sz="4" w:space="0" w:color="auto"/>
              <w:left w:val="nil"/>
              <w:bottom w:val="single" w:sz="4" w:space="0" w:color="auto"/>
              <w:right w:val="single" w:sz="4" w:space="0" w:color="auto"/>
            </w:tcBorders>
            <w:shd w:val="clear" w:color="auto" w:fill="auto"/>
            <w:vAlign w:val="center"/>
          </w:tcPr>
          <w:p w:rsidR="0043483A" w:rsidRDefault="00FC5A0F" w:rsidP="00FC5A0F">
            <w:pPr>
              <w:spacing w:before="60" w:after="60"/>
              <w:jc w:val="left"/>
              <w:rPr>
                <w:rFonts w:eastAsia="Times New Roman" w:cs="Arial"/>
                <w:lang w:val="en-US" w:eastAsia="en-US"/>
              </w:rPr>
            </w:pPr>
            <w:r w:rsidRPr="00FC5A0F">
              <w:rPr>
                <w:rFonts w:eastAsia="Times New Roman" w:cs="Arial"/>
                <w:lang w:val="en-US" w:eastAsia="en-US"/>
              </w:rPr>
              <w:t>The '</w:t>
            </w:r>
            <w:r w:rsidRPr="008B0BCB">
              <w:rPr>
                <w:rFonts w:eastAsia="Times New Roman" w:cs="Arial"/>
                <w:i/>
                <w:color w:val="FF0000"/>
                <w:lang w:val="en-US" w:eastAsia="en-US"/>
              </w:rPr>
              <w:t>Pension asset (liability)</w:t>
            </w:r>
            <w:r w:rsidRPr="00FC5A0F">
              <w:rPr>
                <w:rFonts w:eastAsia="Times New Roman" w:cs="Arial"/>
                <w:lang w:val="en-US" w:eastAsia="en-US"/>
              </w:rPr>
              <w:t xml:space="preserve">' tag in the taxonomy balance sheet is intended purely for tagging the figure reported in the balance sheet.  It is attached to dimensions appropriate for balance sheet data - it is </w:t>
            </w:r>
            <w:r w:rsidRPr="00FC5A0F">
              <w:rPr>
                <w:rFonts w:eastAsia="Times New Roman" w:cs="Arial"/>
                <w:b/>
                <w:bCs/>
                <w:lang w:val="en-US" w:eastAsia="en-US"/>
              </w:rPr>
              <w:t>not</w:t>
            </w:r>
            <w:r w:rsidRPr="00FC5A0F">
              <w:rPr>
                <w:rFonts w:eastAsia="Times New Roman" w:cs="Arial"/>
                <w:lang w:val="en-US" w:eastAsia="en-US"/>
              </w:rPr>
              <w:t xml:space="preserve"> attached to the </w:t>
            </w:r>
            <w:r w:rsidR="00A60AC0">
              <w:rPr>
                <w:rFonts w:eastAsia="Times New Roman" w:cs="Arial"/>
                <w:i/>
                <w:lang w:val="en-US" w:eastAsia="en-US"/>
              </w:rPr>
              <w:t>Pensions s</w:t>
            </w:r>
            <w:r w:rsidRPr="00A60AC0">
              <w:rPr>
                <w:rFonts w:eastAsia="Times New Roman" w:cs="Arial"/>
                <w:i/>
                <w:lang w:val="en-US" w:eastAsia="en-US"/>
              </w:rPr>
              <w:t>cheme</w:t>
            </w:r>
            <w:r w:rsidR="00A60AC0" w:rsidRPr="00A60AC0">
              <w:rPr>
                <w:rFonts w:eastAsia="Times New Roman" w:cs="Arial"/>
                <w:i/>
                <w:lang w:val="en-US" w:eastAsia="en-US"/>
              </w:rPr>
              <w:t>s</w:t>
            </w:r>
            <w:r w:rsidRPr="00FC5A0F">
              <w:rPr>
                <w:rFonts w:eastAsia="Times New Roman" w:cs="Arial"/>
                <w:lang w:val="en-US" w:eastAsia="en-US"/>
              </w:rPr>
              <w:t xml:space="preserve"> dimension tags required for detailed reporting on individual schemes in the notes.   </w:t>
            </w:r>
          </w:p>
          <w:p w:rsidR="0043483A" w:rsidRDefault="00FC5A0F" w:rsidP="00FC5A0F">
            <w:pPr>
              <w:spacing w:before="60" w:after="60"/>
              <w:jc w:val="left"/>
              <w:rPr>
                <w:rFonts w:eastAsia="Times New Roman" w:cs="Arial"/>
                <w:lang w:val="en-US" w:eastAsia="en-US"/>
              </w:rPr>
            </w:pPr>
            <w:r w:rsidRPr="00FC5A0F">
              <w:rPr>
                <w:rFonts w:eastAsia="Times New Roman" w:cs="Arial"/>
                <w:lang w:val="en-US" w:eastAsia="en-US"/>
              </w:rPr>
              <w:t>The tag '</w:t>
            </w:r>
            <w:r w:rsidRPr="007B4B65">
              <w:rPr>
                <w:rFonts w:eastAsia="Times New Roman" w:cs="Arial"/>
                <w:i/>
                <w:color w:val="FF0000"/>
                <w:lang w:val="en-US" w:eastAsia="en-US"/>
              </w:rPr>
              <w:t>Retirement benefit obligations (surplus)</w:t>
            </w:r>
            <w:r w:rsidRPr="00FC5A0F">
              <w:rPr>
                <w:rFonts w:eastAsia="Times New Roman" w:cs="Arial"/>
                <w:lang w:val="en-US" w:eastAsia="en-US"/>
              </w:rPr>
              <w:t>’ in the Pensions section must be used for tagging the net position of pension schemes in the notes to the accounts.  Where required, this tag may be used with the dimension tags to represent for individual schemes.  (At company total level, th</w:t>
            </w:r>
            <w:r w:rsidR="008E0F26">
              <w:rPr>
                <w:rFonts w:eastAsia="Times New Roman" w:cs="Arial"/>
                <w:lang w:val="en-US" w:eastAsia="en-US"/>
              </w:rPr>
              <w:t>is and the balance sheet</w:t>
            </w:r>
            <w:r w:rsidRPr="00FC5A0F">
              <w:rPr>
                <w:rFonts w:eastAsia="Times New Roman" w:cs="Arial"/>
                <w:lang w:val="en-US" w:eastAsia="en-US"/>
              </w:rPr>
              <w:t xml:space="preserve"> tag both represent the net position, although one is defined as a debit and the other as a credit.)  </w:t>
            </w:r>
          </w:p>
          <w:p w:rsidR="00FC5A0F" w:rsidRPr="00FC5A0F" w:rsidRDefault="00FC5A0F" w:rsidP="00FC5A0F">
            <w:pPr>
              <w:spacing w:before="60" w:after="60"/>
              <w:jc w:val="left"/>
              <w:rPr>
                <w:rFonts w:eastAsia="Times New Roman" w:cs="Arial"/>
                <w:lang w:val="en-US" w:eastAsia="en-US"/>
              </w:rPr>
            </w:pPr>
            <w:r w:rsidRPr="00FC5A0F">
              <w:rPr>
                <w:rFonts w:eastAsia="Times New Roman" w:cs="Arial"/>
                <w:lang w:val="en-US" w:eastAsia="en-US"/>
              </w:rPr>
              <w:t>The tags '</w:t>
            </w:r>
            <w:r w:rsidRPr="007B4B65">
              <w:rPr>
                <w:rFonts w:eastAsia="Times New Roman" w:cs="Arial"/>
                <w:i/>
                <w:color w:val="FF0000"/>
                <w:lang w:val="en-US" w:eastAsia="en-US"/>
              </w:rPr>
              <w:t>Pension asset in respect of schemes in surplus</w:t>
            </w:r>
            <w:r w:rsidRPr="00FC5A0F">
              <w:rPr>
                <w:rFonts w:eastAsia="Times New Roman" w:cs="Arial"/>
                <w:lang w:val="en-US" w:eastAsia="en-US"/>
              </w:rPr>
              <w:t>' and '</w:t>
            </w:r>
            <w:r w:rsidRPr="007B4B65">
              <w:rPr>
                <w:rFonts w:eastAsia="Times New Roman" w:cs="Arial"/>
                <w:i/>
                <w:color w:val="FF0000"/>
                <w:lang w:val="en-US" w:eastAsia="en-US"/>
              </w:rPr>
              <w:t>Pension liability in respect of schemes in deficit</w:t>
            </w:r>
            <w:r w:rsidRPr="00FC5A0F">
              <w:rPr>
                <w:rFonts w:eastAsia="Times New Roman" w:cs="Arial"/>
                <w:lang w:val="en-US" w:eastAsia="en-US"/>
              </w:rPr>
              <w:t xml:space="preserve">' are </w:t>
            </w:r>
            <w:r w:rsidRPr="00FC5A0F">
              <w:rPr>
                <w:rFonts w:eastAsia="Times New Roman" w:cs="Arial"/>
                <w:b/>
                <w:bCs/>
                <w:lang w:val="en-US" w:eastAsia="en-US"/>
              </w:rPr>
              <w:t>only</w:t>
            </w:r>
            <w:r w:rsidRPr="00FC5A0F">
              <w:rPr>
                <w:rFonts w:eastAsia="Times New Roman" w:cs="Arial"/>
                <w:lang w:val="en-US" w:eastAsia="en-US"/>
              </w:rPr>
              <w:t xml:space="preserve"> intended for tagging this particular breakdown, which is an expected disclosure in the balance sheet.  They are not attached to the </w:t>
            </w:r>
            <w:r w:rsidR="00A60AC0" w:rsidRPr="00A60AC0">
              <w:rPr>
                <w:rFonts w:eastAsia="Times New Roman" w:cs="Arial"/>
                <w:i/>
                <w:lang w:val="en-US" w:eastAsia="en-US"/>
              </w:rPr>
              <w:t>P</w:t>
            </w:r>
            <w:r w:rsidRPr="00A60AC0">
              <w:rPr>
                <w:rFonts w:eastAsia="Times New Roman" w:cs="Arial"/>
                <w:i/>
                <w:lang w:val="en-US" w:eastAsia="en-US"/>
              </w:rPr>
              <w:t>ensions schemes</w:t>
            </w:r>
            <w:r w:rsidRPr="00FC5A0F">
              <w:rPr>
                <w:rFonts w:eastAsia="Times New Roman" w:cs="Arial"/>
                <w:lang w:val="en-US" w:eastAsia="en-US"/>
              </w:rPr>
              <w:t xml:space="preserve"> dimension tags and are </w:t>
            </w:r>
            <w:r w:rsidRPr="00FC5A0F">
              <w:rPr>
                <w:rFonts w:eastAsia="Times New Roman" w:cs="Arial"/>
                <w:b/>
                <w:bCs/>
                <w:lang w:val="en-US" w:eastAsia="en-US"/>
              </w:rPr>
              <w:t>not</w:t>
            </w:r>
            <w:r w:rsidRPr="00FC5A0F">
              <w:rPr>
                <w:rFonts w:eastAsia="Times New Roman" w:cs="Arial"/>
                <w:lang w:val="en-US" w:eastAsia="en-US"/>
              </w:rPr>
              <w:t xml:space="preserve"> intended for tagging general totals of pension assets and liabilities.   </w:t>
            </w:r>
          </w:p>
        </w:tc>
      </w:tr>
      <w:tr w:rsidR="00FC5A0F" w:rsidRPr="00FC5A0F" w:rsidTr="00FC5A0F">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FC5A0F" w:rsidRPr="00FC5A0F" w:rsidRDefault="00FC5A0F" w:rsidP="00FC5A0F">
            <w:pPr>
              <w:spacing w:before="60" w:after="60"/>
              <w:jc w:val="left"/>
              <w:rPr>
                <w:rFonts w:eastAsia="Times New Roman" w:cs="Arial"/>
                <w:lang w:val="en-US" w:eastAsia="en-US"/>
              </w:rPr>
            </w:pPr>
            <w:r w:rsidRPr="00FC5A0F">
              <w:rPr>
                <w:rFonts w:eastAsia="Times New Roman" w:cs="Arial"/>
                <w:lang w:val="en-US" w:eastAsia="en-US"/>
              </w:rPr>
              <w:t>8.11</w:t>
            </w:r>
          </w:p>
        </w:tc>
        <w:tc>
          <w:tcPr>
            <w:tcW w:w="1715" w:type="dxa"/>
            <w:tcBorders>
              <w:top w:val="single" w:sz="4" w:space="0" w:color="auto"/>
              <w:left w:val="nil"/>
              <w:bottom w:val="single" w:sz="4" w:space="0" w:color="auto"/>
              <w:right w:val="single" w:sz="4" w:space="0" w:color="auto"/>
            </w:tcBorders>
            <w:shd w:val="clear" w:color="auto" w:fill="auto"/>
            <w:vAlign w:val="center"/>
          </w:tcPr>
          <w:p w:rsidR="00FC5A0F" w:rsidRPr="00FC5A0F" w:rsidRDefault="00FC5A0F" w:rsidP="00FC5A0F">
            <w:pPr>
              <w:spacing w:before="60" w:after="60"/>
              <w:jc w:val="left"/>
              <w:rPr>
                <w:rFonts w:eastAsia="Times New Roman" w:cs="Arial"/>
                <w:lang w:val="en-US" w:eastAsia="en-US"/>
              </w:rPr>
            </w:pPr>
            <w:r w:rsidRPr="00FC5A0F">
              <w:rPr>
                <w:rFonts w:eastAsia="Times New Roman" w:cs="Arial"/>
                <w:lang w:val="en-US" w:eastAsia="en-US"/>
              </w:rPr>
              <w:t xml:space="preserve">Other aggregate reserves' and 'Other reserves' </w:t>
            </w:r>
          </w:p>
        </w:tc>
        <w:tc>
          <w:tcPr>
            <w:tcW w:w="6910" w:type="dxa"/>
            <w:tcBorders>
              <w:top w:val="single" w:sz="4" w:space="0" w:color="auto"/>
              <w:left w:val="nil"/>
              <w:bottom w:val="single" w:sz="4" w:space="0" w:color="auto"/>
              <w:right w:val="single" w:sz="4" w:space="0" w:color="auto"/>
            </w:tcBorders>
            <w:shd w:val="clear" w:color="auto" w:fill="auto"/>
            <w:vAlign w:val="center"/>
          </w:tcPr>
          <w:p w:rsidR="0043483A" w:rsidRDefault="00FC5A0F" w:rsidP="00FC5A0F">
            <w:pPr>
              <w:spacing w:before="60" w:after="60"/>
              <w:jc w:val="left"/>
              <w:rPr>
                <w:rFonts w:eastAsia="Times New Roman" w:cs="Arial"/>
                <w:lang w:val="en-US" w:eastAsia="en-US"/>
              </w:rPr>
            </w:pPr>
            <w:r w:rsidRPr="00FC5A0F">
              <w:rPr>
                <w:rFonts w:eastAsia="Times New Roman" w:cs="Arial"/>
                <w:lang w:val="en-US" w:eastAsia="en-US"/>
              </w:rPr>
              <w:t>The '</w:t>
            </w:r>
            <w:r w:rsidRPr="007B4B65">
              <w:rPr>
                <w:rFonts w:eastAsia="Times New Roman" w:cs="Arial"/>
                <w:i/>
                <w:color w:val="FF0000"/>
                <w:lang w:val="en-US" w:eastAsia="en-US"/>
              </w:rPr>
              <w:t>Other aggregate reserves</w:t>
            </w:r>
            <w:r w:rsidRPr="00FC5A0F">
              <w:rPr>
                <w:rFonts w:eastAsia="Times New Roman" w:cs="Arial"/>
                <w:lang w:val="en-US" w:eastAsia="en-US"/>
              </w:rPr>
              <w:t xml:space="preserve">' tag represents a high level aggregation of major reserves.  It corresponds broadly to the 'IV. Other reserves' item specified in the Companies Act.  (The precise reserves included in the aggregation may vary by company.  For example, the Companies Act does not specifically include a Mergers and Acquisition Reserve in the main formats, but some companies may report this.)  </w:t>
            </w:r>
          </w:p>
          <w:p w:rsidR="0043483A" w:rsidRDefault="00FC5A0F" w:rsidP="00FC5A0F">
            <w:pPr>
              <w:spacing w:before="60" w:after="60"/>
              <w:jc w:val="left"/>
              <w:rPr>
                <w:rFonts w:eastAsia="Times New Roman" w:cs="Arial"/>
                <w:lang w:val="en-US" w:eastAsia="en-US"/>
              </w:rPr>
            </w:pPr>
            <w:r w:rsidRPr="00FC5A0F">
              <w:rPr>
                <w:rFonts w:eastAsia="Times New Roman" w:cs="Arial"/>
                <w:lang w:val="en-US" w:eastAsia="en-US"/>
              </w:rPr>
              <w:t>The '</w:t>
            </w:r>
            <w:r w:rsidRPr="007B4B65">
              <w:rPr>
                <w:rFonts w:eastAsia="Times New Roman" w:cs="Arial"/>
                <w:i/>
                <w:color w:val="FF0000"/>
                <w:lang w:val="en-US" w:eastAsia="en-US"/>
              </w:rPr>
              <w:t>Other reserves</w:t>
            </w:r>
            <w:r w:rsidRPr="00FC5A0F">
              <w:rPr>
                <w:rFonts w:eastAsia="Times New Roman" w:cs="Arial"/>
                <w:lang w:val="en-US" w:eastAsia="en-US"/>
              </w:rPr>
              <w:t>' tag, by contrast, represents the residual after all other reserves.  (This corresponds to the '4. Other reserves' item in the Companies Act.)</w:t>
            </w:r>
          </w:p>
          <w:p w:rsidR="00FC5A0F" w:rsidRPr="00FC5A0F" w:rsidRDefault="00FC5A0F" w:rsidP="00FC5A0F">
            <w:pPr>
              <w:spacing w:before="60" w:after="60"/>
              <w:jc w:val="left"/>
              <w:rPr>
                <w:rFonts w:eastAsia="Times New Roman" w:cs="Arial"/>
                <w:lang w:val="en-US" w:eastAsia="en-US"/>
              </w:rPr>
            </w:pPr>
            <w:r w:rsidRPr="00FC5A0F">
              <w:rPr>
                <w:rFonts w:eastAsia="Times New Roman" w:cs="Arial"/>
                <w:lang w:val="en-US" w:eastAsia="en-US"/>
              </w:rPr>
              <w:t xml:space="preserve">The taxonomy hierarchy is intended to convey these meanings of the tags.  </w:t>
            </w:r>
          </w:p>
        </w:tc>
      </w:tr>
    </w:tbl>
    <w:p w:rsidR="00A3589F" w:rsidRDefault="00A3589F">
      <w:pPr>
        <w:rPr>
          <w:rFonts w:cs="Arial"/>
        </w:rPr>
      </w:pPr>
    </w:p>
    <w:p w:rsidR="00CF6472" w:rsidRDefault="00CF6472" w:rsidP="00CF6472">
      <w:pPr>
        <w:pStyle w:val="Heading2"/>
      </w:pPr>
      <w:bookmarkStart w:id="23" w:name="_Toc292036830"/>
      <w:r>
        <w:lastRenderedPageBreak/>
        <w:t>GAAP – Cash Flow Statement and notes</w:t>
      </w:r>
      <w:bookmarkEnd w:id="23"/>
    </w:p>
    <w:p w:rsidR="00CF6472" w:rsidRDefault="00CF6472" w:rsidP="00CF6472"/>
    <w:tbl>
      <w:tblPr>
        <w:tblW w:w="9231" w:type="dxa"/>
        <w:tblInd w:w="91" w:type="dxa"/>
        <w:tblLook w:val="0000"/>
      </w:tblPr>
      <w:tblGrid>
        <w:gridCol w:w="606"/>
        <w:gridCol w:w="1722"/>
        <w:gridCol w:w="6903"/>
      </w:tblGrid>
      <w:tr w:rsidR="00CF6472" w:rsidRPr="00D50F7D" w:rsidTr="00CF6472">
        <w:trPr>
          <w:cantSplit/>
          <w:trHeight w:val="240"/>
        </w:trPr>
        <w:tc>
          <w:tcPr>
            <w:tcW w:w="5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6472" w:rsidRPr="00D87AA9" w:rsidRDefault="00CF6472" w:rsidP="00FE7A47">
            <w:pPr>
              <w:spacing w:before="60" w:after="60"/>
              <w:jc w:val="left"/>
              <w:rPr>
                <w:rFonts w:eastAsia="Times New Roman" w:cs="Arial"/>
                <w:b/>
                <w:bCs/>
                <w:lang w:val="en-US" w:eastAsia="en-US"/>
              </w:rPr>
            </w:pPr>
            <w:r w:rsidRPr="00D87AA9">
              <w:rPr>
                <w:rFonts w:eastAsia="Times New Roman" w:cs="Arial"/>
                <w:b/>
                <w:bCs/>
                <w:lang w:val="en-US" w:eastAsia="en-US"/>
              </w:rPr>
              <w:t>ID</w:t>
            </w:r>
          </w:p>
        </w:tc>
        <w:tc>
          <w:tcPr>
            <w:tcW w:w="1726" w:type="dxa"/>
            <w:tcBorders>
              <w:top w:val="single" w:sz="4" w:space="0" w:color="auto"/>
              <w:left w:val="nil"/>
              <w:bottom w:val="single" w:sz="4" w:space="0" w:color="auto"/>
              <w:right w:val="single" w:sz="4" w:space="0" w:color="auto"/>
            </w:tcBorders>
            <w:shd w:val="clear" w:color="auto" w:fill="auto"/>
            <w:vAlign w:val="center"/>
          </w:tcPr>
          <w:p w:rsidR="00CF6472" w:rsidRPr="00D87AA9" w:rsidRDefault="00CF6472" w:rsidP="00FE7A47">
            <w:pPr>
              <w:spacing w:before="60" w:after="60"/>
              <w:jc w:val="left"/>
              <w:rPr>
                <w:rFonts w:eastAsia="Times New Roman" w:cs="Arial"/>
                <w:b/>
                <w:bCs/>
                <w:lang w:val="en-US" w:eastAsia="en-US"/>
              </w:rPr>
            </w:pPr>
            <w:r w:rsidRPr="00D87AA9">
              <w:rPr>
                <w:rFonts w:eastAsia="Times New Roman" w:cs="Arial"/>
                <w:b/>
                <w:bCs/>
                <w:lang w:val="en-US" w:eastAsia="en-US"/>
              </w:rPr>
              <w:t>Item</w:t>
            </w:r>
          </w:p>
        </w:tc>
        <w:tc>
          <w:tcPr>
            <w:tcW w:w="6989" w:type="dxa"/>
            <w:tcBorders>
              <w:top w:val="single" w:sz="4" w:space="0" w:color="auto"/>
              <w:left w:val="nil"/>
              <w:bottom w:val="single" w:sz="4" w:space="0" w:color="auto"/>
              <w:right w:val="single" w:sz="4" w:space="0" w:color="auto"/>
            </w:tcBorders>
            <w:shd w:val="clear" w:color="auto" w:fill="auto"/>
            <w:vAlign w:val="center"/>
          </w:tcPr>
          <w:p w:rsidR="00CF6472" w:rsidRPr="00D87AA9" w:rsidRDefault="00CF6472" w:rsidP="00FE7A47">
            <w:pPr>
              <w:spacing w:before="60" w:after="60"/>
              <w:jc w:val="left"/>
              <w:rPr>
                <w:rFonts w:eastAsia="Times New Roman" w:cs="Arial"/>
                <w:b/>
                <w:bCs/>
                <w:lang w:val="en-US" w:eastAsia="en-US"/>
              </w:rPr>
            </w:pPr>
            <w:r w:rsidRPr="00D87AA9">
              <w:rPr>
                <w:rFonts w:eastAsia="Times New Roman" w:cs="Arial"/>
                <w:b/>
                <w:bCs/>
                <w:lang w:val="en-US" w:eastAsia="en-US"/>
              </w:rPr>
              <w:t>Description</w:t>
            </w:r>
          </w:p>
        </w:tc>
      </w:tr>
      <w:tr w:rsidR="00CF6472" w:rsidRPr="003C783B" w:rsidTr="00CF6472">
        <w:trPr>
          <w:cantSplit/>
          <w:trHeight w:val="240"/>
        </w:trPr>
        <w:tc>
          <w:tcPr>
            <w:tcW w:w="5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6472" w:rsidRPr="00CF6472" w:rsidRDefault="00936850" w:rsidP="00FE7A47">
            <w:pPr>
              <w:spacing w:before="60" w:after="60"/>
              <w:jc w:val="left"/>
              <w:rPr>
                <w:rFonts w:eastAsia="Times New Roman" w:cs="Arial"/>
                <w:highlight w:val="magenta"/>
                <w:lang w:val="en-US" w:eastAsia="en-US"/>
              </w:rPr>
            </w:pPr>
            <w:r w:rsidRPr="00137FC7">
              <w:rPr>
                <w:rFonts w:eastAsia="Times New Roman" w:cs="Arial"/>
                <w:highlight w:val="yellow"/>
                <w:lang w:val="en-US" w:eastAsia="en-US"/>
              </w:rPr>
              <w:t>8.12</w:t>
            </w:r>
          </w:p>
        </w:tc>
        <w:tc>
          <w:tcPr>
            <w:tcW w:w="1726" w:type="dxa"/>
            <w:tcBorders>
              <w:top w:val="single" w:sz="4" w:space="0" w:color="auto"/>
              <w:left w:val="nil"/>
              <w:bottom w:val="single" w:sz="4" w:space="0" w:color="auto"/>
              <w:right w:val="single" w:sz="4" w:space="0" w:color="auto"/>
            </w:tcBorders>
            <w:shd w:val="clear" w:color="auto" w:fill="auto"/>
            <w:vAlign w:val="center"/>
          </w:tcPr>
          <w:p w:rsidR="00CF6472" w:rsidRDefault="00CF6472" w:rsidP="005144AC">
            <w:pPr>
              <w:jc w:val="left"/>
              <w:rPr>
                <w:rFonts w:cs="Arial"/>
              </w:rPr>
            </w:pPr>
            <w:r w:rsidRPr="00CF6472">
              <w:rPr>
                <w:highlight w:val="yellow"/>
              </w:rPr>
              <w:t>Reconciliation of net cash flow to movement in net debt</w:t>
            </w:r>
          </w:p>
        </w:tc>
        <w:tc>
          <w:tcPr>
            <w:tcW w:w="6989" w:type="dxa"/>
            <w:tcBorders>
              <w:top w:val="single" w:sz="4" w:space="0" w:color="auto"/>
              <w:left w:val="nil"/>
              <w:bottom w:val="single" w:sz="4" w:space="0" w:color="auto"/>
              <w:right w:val="single" w:sz="4" w:space="0" w:color="auto"/>
            </w:tcBorders>
            <w:shd w:val="clear" w:color="auto" w:fill="auto"/>
            <w:vAlign w:val="center"/>
          </w:tcPr>
          <w:p w:rsidR="00CF6472" w:rsidRDefault="00CF6472" w:rsidP="00CF6472">
            <w:pPr>
              <w:spacing w:before="60" w:after="60"/>
              <w:rPr>
                <w:rFonts w:cs="Arial"/>
              </w:rPr>
            </w:pPr>
            <w:r>
              <w:t>The positioning of the tag '</w:t>
            </w:r>
            <w:r>
              <w:rPr>
                <w:i/>
                <w:iCs/>
                <w:color w:val="DD0806"/>
              </w:rPr>
              <w:t>Increase (decrease) in net cash for the period</w:t>
            </w:r>
            <w:r>
              <w:t xml:space="preserve">' in the </w:t>
            </w:r>
            <w:r>
              <w:rPr>
                <w:i/>
                <w:iCs/>
              </w:rPr>
              <w:t>Reconciliation of net cash flow to movement in net debt</w:t>
            </w:r>
            <w:r>
              <w:t xml:space="preserve"> section of the taxonomy does not match its typical positioning in this reconciliation in company accounts.  </w:t>
            </w:r>
            <w:r w:rsidR="00434A34">
              <w:t>The item</w:t>
            </w:r>
            <w:r>
              <w:t xml:space="preserve"> may be a component of '</w:t>
            </w:r>
            <w:r>
              <w:rPr>
                <w:i/>
                <w:iCs/>
                <w:color w:val="DD0806"/>
              </w:rPr>
              <w:t>Decrease (increase) in net debt resulting from cash flows</w:t>
            </w:r>
            <w:r w:rsidR="00434A34">
              <w:t xml:space="preserve">'.  </w:t>
            </w:r>
            <w:r>
              <w:t xml:space="preserve">Preparers should use the tag as required without worrying about its </w:t>
            </w:r>
            <w:r w:rsidR="00434A34">
              <w:t xml:space="preserve">precise taxonomy positioning.  </w:t>
            </w:r>
            <w:r>
              <w:t xml:space="preserve">The latter is not necessarily </w:t>
            </w:r>
            <w:r w:rsidR="00434A34">
              <w:t xml:space="preserve">intended </w:t>
            </w:r>
            <w:r>
              <w:t xml:space="preserve">to reflect calculation relationships.  </w:t>
            </w:r>
          </w:p>
        </w:tc>
      </w:tr>
    </w:tbl>
    <w:p w:rsidR="00CF6472" w:rsidRPr="00CF6472" w:rsidRDefault="00CF6472" w:rsidP="00CF6472"/>
    <w:p w:rsidR="00A3589F" w:rsidRDefault="003C783B" w:rsidP="003C783B">
      <w:pPr>
        <w:pStyle w:val="Heading2"/>
      </w:pPr>
      <w:bookmarkStart w:id="24" w:name="_Toc292036831"/>
      <w:r>
        <w:t>GAAP – STRGL and pensions</w:t>
      </w:r>
      <w:bookmarkEnd w:id="24"/>
    </w:p>
    <w:p w:rsidR="003C783B" w:rsidRDefault="003C783B">
      <w:pPr>
        <w:rPr>
          <w:rFonts w:cs="Arial"/>
        </w:rPr>
      </w:pPr>
    </w:p>
    <w:tbl>
      <w:tblPr>
        <w:tblW w:w="9231" w:type="dxa"/>
        <w:tblInd w:w="91" w:type="dxa"/>
        <w:tblLook w:val="0000"/>
      </w:tblPr>
      <w:tblGrid>
        <w:gridCol w:w="606"/>
        <w:gridCol w:w="1718"/>
        <w:gridCol w:w="6907"/>
      </w:tblGrid>
      <w:tr w:rsidR="00B83151" w:rsidRPr="00D50F7D" w:rsidTr="008A19C4">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ID</w:t>
            </w:r>
          </w:p>
        </w:tc>
        <w:tc>
          <w:tcPr>
            <w:tcW w:w="1728" w:type="dxa"/>
            <w:tcBorders>
              <w:top w:val="single" w:sz="4" w:space="0" w:color="auto"/>
              <w:left w:val="nil"/>
              <w:bottom w:val="single" w:sz="4" w:space="0" w:color="auto"/>
              <w:right w:val="single" w:sz="4" w:space="0" w:color="auto"/>
            </w:tcBorders>
            <w:shd w:val="clear" w:color="auto" w:fill="auto"/>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Item</w:t>
            </w:r>
          </w:p>
        </w:tc>
        <w:tc>
          <w:tcPr>
            <w:tcW w:w="7008" w:type="dxa"/>
            <w:tcBorders>
              <w:top w:val="single" w:sz="4" w:space="0" w:color="auto"/>
              <w:left w:val="nil"/>
              <w:bottom w:val="single" w:sz="4" w:space="0" w:color="auto"/>
              <w:right w:val="single" w:sz="4" w:space="0" w:color="auto"/>
            </w:tcBorders>
            <w:shd w:val="clear" w:color="auto" w:fill="auto"/>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Description</w:t>
            </w:r>
          </w:p>
        </w:tc>
      </w:tr>
      <w:tr w:rsidR="003C783B" w:rsidRPr="003C783B" w:rsidTr="003C783B">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783B" w:rsidRPr="00356739" w:rsidRDefault="003C783B" w:rsidP="003C783B">
            <w:pPr>
              <w:spacing w:before="60" w:after="60"/>
              <w:jc w:val="left"/>
              <w:rPr>
                <w:rFonts w:eastAsia="Times New Roman" w:cs="Arial"/>
                <w:highlight w:val="yellow"/>
                <w:lang w:val="en-US" w:eastAsia="en-US"/>
              </w:rPr>
            </w:pPr>
            <w:r w:rsidRPr="00356739">
              <w:rPr>
                <w:rFonts w:eastAsia="Times New Roman" w:cs="Arial"/>
                <w:highlight w:val="yellow"/>
                <w:lang w:val="en-US" w:eastAsia="en-US"/>
              </w:rPr>
              <w:t>8.1</w:t>
            </w:r>
            <w:r w:rsidR="00936850">
              <w:rPr>
                <w:rFonts w:eastAsia="Times New Roman" w:cs="Arial"/>
                <w:highlight w:val="yellow"/>
                <w:lang w:val="en-US" w:eastAsia="en-US"/>
              </w:rPr>
              <w:t>3</w:t>
            </w:r>
          </w:p>
        </w:tc>
        <w:tc>
          <w:tcPr>
            <w:tcW w:w="1728" w:type="dxa"/>
            <w:tcBorders>
              <w:top w:val="single" w:sz="4" w:space="0" w:color="auto"/>
              <w:left w:val="nil"/>
              <w:bottom w:val="single" w:sz="4" w:space="0" w:color="auto"/>
              <w:right w:val="single" w:sz="4" w:space="0" w:color="auto"/>
            </w:tcBorders>
            <w:shd w:val="clear" w:color="auto" w:fill="auto"/>
            <w:vAlign w:val="center"/>
          </w:tcPr>
          <w:p w:rsidR="003C783B" w:rsidRPr="00356739" w:rsidRDefault="003C783B" w:rsidP="003C783B">
            <w:pPr>
              <w:spacing w:before="60" w:after="60"/>
              <w:jc w:val="left"/>
              <w:rPr>
                <w:rFonts w:eastAsia="Times New Roman" w:cs="Arial"/>
                <w:highlight w:val="yellow"/>
                <w:lang w:val="en-US" w:eastAsia="en-US"/>
              </w:rPr>
            </w:pPr>
            <w:bookmarkStart w:id="25" w:name="XR_STRGLPensions"/>
            <w:r w:rsidRPr="00356739">
              <w:rPr>
                <w:rFonts w:eastAsia="Times New Roman" w:cs="Arial"/>
                <w:highlight w:val="yellow"/>
                <w:lang w:val="en-US" w:eastAsia="en-US"/>
              </w:rPr>
              <w:t xml:space="preserve">Actuarial gain / loss recognised in pension schemes </w:t>
            </w:r>
            <w:bookmarkEnd w:id="25"/>
          </w:p>
        </w:tc>
        <w:tc>
          <w:tcPr>
            <w:tcW w:w="7008" w:type="dxa"/>
            <w:tcBorders>
              <w:top w:val="single" w:sz="4" w:space="0" w:color="auto"/>
              <w:left w:val="nil"/>
              <w:bottom w:val="single" w:sz="4" w:space="0" w:color="auto"/>
              <w:right w:val="single" w:sz="4" w:space="0" w:color="auto"/>
            </w:tcBorders>
            <w:shd w:val="clear" w:color="auto" w:fill="auto"/>
            <w:vAlign w:val="center"/>
          </w:tcPr>
          <w:p w:rsidR="0043483A" w:rsidRDefault="003C783B" w:rsidP="003C783B">
            <w:pPr>
              <w:spacing w:before="60" w:after="60"/>
              <w:jc w:val="left"/>
              <w:rPr>
                <w:rFonts w:eastAsia="Times New Roman" w:cs="Arial"/>
                <w:lang w:val="en-US" w:eastAsia="en-US"/>
              </w:rPr>
            </w:pPr>
            <w:r w:rsidRPr="003C783B">
              <w:rPr>
                <w:rFonts w:eastAsia="Times New Roman" w:cs="Arial"/>
                <w:lang w:val="en-US" w:eastAsia="en-US"/>
              </w:rPr>
              <w:t>Actuarial gain / loss in pension schemes should be tagged under STRGL and reserves with '</w:t>
            </w:r>
            <w:r w:rsidRPr="003C783B">
              <w:rPr>
                <w:rFonts w:eastAsia="Times New Roman" w:cs="Arial"/>
                <w:i/>
                <w:iCs/>
                <w:color w:val="DD0806"/>
                <w:lang w:val="en-US" w:eastAsia="en-US"/>
              </w:rPr>
              <w:t>Actuarial gain (loss) recognised in pension schemes</w:t>
            </w:r>
            <w:r w:rsidRPr="003C783B">
              <w:rPr>
                <w:rFonts w:eastAsia="Times New Roman" w:cs="Arial"/>
                <w:lang w:val="en-US" w:eastAsia="en-US"/>
              </w:rPr>
              <w:t>'.   This represents a company total and is attached to appropriate dimensions for such totals.</w:t>
            </w:r>
            <w:r w:rsidR="00CF6472">
              <w:rPr>
                <w:rFonts w:eastAsia="Times New Roman" w:cs="Arial"/>
                <w:lang w:val="en-US" w:eastAsia="en-US"/>
              </w:rPr>
              <w:t xml:space="preserve">  </w:t>
            </w:r>
          </w:p>
          <w:p w:rsidR="003C783B" w:rsidRPr="003C783B" w:rsidRDefault="003C783B" w:rsidP="003C783B">
            <w:pPr>
              <w:spacing w:before="60" w:after="60"/>
              <w:jc w:val="left"/>
              <w:rPr>
                <w:rFonts w:eastAsia="Times New Roman" w:cs="Arial"/>
                <w:lang w:val="en-US" w:eastAsia="en-US"/>
              </w:rPr>
            </w:pPr>
            <w:r w:rsidRPr="003C783B">
              <w:rPr>
                <w:rFonts w:eastAsia="Times New Roman" w:cs="Arial"/>
                <w:lang w:val="en-US" w:eastAsia="en-US"/>
              </w:rPr>
              <w:t>Actuarial gains and losses recognised in STRGL under the pensions note should be tagged with '</w:t>
            </w:r>
            <w:r w:rsidRPr="003C783B">
              <w:rPr>
                <w:rFonts w:eastAsia="Times New Roman" w:cs="Arial"/>
                <w:i/>
                <w:iCs/>
                <w:color w:val="DD0806"/>
                <w:lang w:val="en-US" w:eastAsia="en-US"/>
              </w:rPr>
              <w:t>Actuarial gain (loss) on defined benefit scheme recognised in statement of total recognised gains and losses</w:t>
            </w:r>
            <w:r w:rsidRPr="003C783B">
              <w:rPr>
                <w:rFonts w:eastAsia="Times New Roman" w:cs="Arial"/>
                <w:lang w:val="en-US" w:eastAsia="en-US"/>
              </w:rPr>
              <w:t xml:space="preserve">'.  This tag may represent values for individual schemes and may be used with the </w:t>
            </w:r>
            <w:r w:rsidR="004E5940" w:rsidRPr="004E5940">
              <w:rPr>
                <w:rFonts w:eastAsia="Times New Roman" w:cs="Arial"/>
                <w:i/>
                <w:lang w:val="en-US" w:eastAsia="en-US"/>
              </w:rPr>
              <w:t>P</w:t>
            </w:r>
            <w:r w:rsidRPr="004E5940">
              <w:rPr>
                <w:rFonts w:eastAsia="Times New Roman" w:cs="Arial"/>
                <w:i/>
                <w:lang w:val="en-US" w:eastAsia="en-US"/>
              </w:rPr>
              <w:t xml:space="preserve">ensions </w:t>
            </w:r>
            <w:r w:rsidR="004E5940" w:rsidRPr="004E5940">
              <w:rPr>
                <w:rFonts w:eastAsia="Times New Roman" w:cs="Arial"/>
                <w:i/>
                <w:lang w:val="en-US" w:eastAsia="en-US"/>
              </w:rPr>
              <w:t>schemes</w:t>
            </w:r>
            <w:r w:rsidR="004E5940">
              <w:rPr>
                <w:rFonts w:eastAsia="Times New Roman" w:cs="Arial"/>
                <w:lang w:val="en-US" w:eastAsia="en-US"/>
              </w:rPr>
              <w:t xml:space="preserve"> </w:t>
            </w:r>
            <w:r w:rsidR="00CF6472">
              <w:rPr>
                <w:rFonts w:eastAsia="Times New Roman" w:cs="Arial"/>
                <w:lang w:val="en-US" w:eastAsia="en-US"/>
              </w:rPr>
              <w:t xml:space="preserve">dimension.   </w:t>
            </w:r>
          </w:p>
        </w:tc>
      </w:tr>
    </w:tbl>
    <w:p w:rsidR="00B83151" w:rsidRDefault="00B83151" w:rsidP="00B83151">
      <w:pPr>
        <w:rPr>
          <w:rFonts w:cs="Arial"/>
        </w:rPr>
      </w:pPr>
    </w:p>
    <w:p w:rsidR="00B83151" w:rsidRDefault="004A354B" w:rsidP="004A354B">
      <w:pPr>
        <w:pStyle w:val="Heading2"/>
      </w:pPr>
      <w:bookmarkStart w:id="26" w:name="_Toc292036832"/>
      <w:r>
        <w:t>GAAP – Accounting policies</w:t>
      </w:r>
      <w:bookmarkEnd w:id="26"/>
    </w:p>
    <w:p w:rsidR="004A354B" w:rsidRDefault="004A354B" w:rsidP="00B83151">
      <w:pPr>
        <w:rPr>
          <w:rFonts w:cs="Arial"/>
        </w:rPr>
      </w:pPr>
    </w:p>
    <w:tbl>
      <w:tblPr>
        <w:tblW w:w="9231" w:type="dxa"/>
        <w:tblInd w:w="91" w:type="dxa"/>
        <w:tblLook w:val="0000"/>
      </w:tblPr>
      <w:tblGrid>
        <w:gridCol w:w="606"/>
        <w:gridCol w:w="1718"/>
        <w:gridCol w:w="6907"/>
      </w:tblGrid>
      <w:tr w:rsidR="00B83151" w:rsidRPr="00D50F7D" w:rsidTr="008A19C4">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ID</w:t>
            </w:r>
          </w:p>
        </w:tc>
        <w:tc>
          <w:tcPr>
            <w:tcW w:w="1728" w:type="dxa"/>
            <w:tcBorders>
              <w:top w:val="single" w:sz="4" w:space="0" w:color="auto"/>
              <w:left w:val="nil"/>
              <w:bottom w:val="single" w:sz="4" w:space="0" w:color="auto"/>
              <w:right w:val="single" w:sz="4" w:space="0" w:color="auto"/>
            </w:tcBorders>
            <w:shd w:val="clear" w:color="auto" w:fill="auto"/>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Item</w:t>
            </w:r>
          </w:p>
        </w:tc>
        <w:tc>
          <w:tcPr>
            <w:tcW w:w="7008" w:type="dxa"/>
            <w:tcBorders>
              <w:top w:val="single" w:sz="4" w:space="0" w:color="auto"/>
              <w:left w:val="nil"/>
              <w:bottom w:val="single" w:sz="4" w:space="0" w:color="auto"/>
              <w:right w:val="single" w:sz="4" w:space="0" w:color="auto"/>
            </w:tcBorders>
            <w:shd w:val="clear" w:color="auto" w:fill="auto"/>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Description</w:t>
            </w:r>
          </w:p>
        </w:tc>
      </w:tr>
      <w:tr w:rsidR="00756A14" w:rsidRPr="00756A14" w:rsidTr="00756A14">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6A14" w:rsidRPr="00756A14" w:rsidRDefault="00756A14" w:rsidP="00756A14">
            <w:pPr>
              <w:spacing w:before="60" w:after="60"/>
              <w:jc w:val="left"/>
              <w:rPr>
                <w:rFonts w:eastAsia="Times New Roman" w:cs="Arial"/>
                <w:lang w:val="en-US" w:eastAsia="en-US"/>
              </w:rPr>
            </w:pPr>
            <w:r w:rsidRPr="00756A14">
              <w:rPr>
                <w:rFonts w:eastAsia="Times New Roman" w:cs="Arial"/>
                <w:lang w:val="en-US" w:eastAsia="en-US"/>
              </w:rPr>
              <w:t>8.1</w:t>
            </w:r>
            <w:r w:rsidR="00936850">
              <w:rPr>
                <w:rFonts w:eastAsia="Times New Roman" w:cs="Arial"/>
                <w:lang w:val="en-US" w:eastAsia="en-US"/>
              </w:rPr>
              <w:t>4</w:t>
            </w:r>
          </w:p>
        </w:tc>
        <w:tc>
          <w:tcPr>
            <w:tcW w:w="1728" w:type="dxa"/>
            <w:tcBorders>
              <w:top w:val="single" w:sz="4" w:space="0" w:color="auto"/>
              <w:left w:val="nil"/>
              <w:bottom w:val="single" w:sz="4" w:space="0" w:color="auto"/>
              <w:right w:val="single" w:sz="4" w:space="0" w:color="auto"/>
            </w:tcBorders>
            <w:shd w:val="clear" w:color="auto" w:fill="auto"/>
            <w:vAlign w:val="center"/>
          </w:tcPr>
          <w:p w:rsidR="00756A14" w:rsidRPr="00756A14" w:rsidRDefault="00756A14" w:rsidP="00756A14">
            <w:pPr>
              <w:spacing w:before="60" w:after="60"/>
              <w:jc w:val="left"/>
              <w:rPr>
                <w:rFonts w:eastAsia="Times New Roman" w:cs="Arial"/>
                <w:lang w:val="en-US" w:eastAsia="en-US"/>
              </w:rPr>
            </w:pPr>
            <w:r w:rsidRPr="00756A14">
              <w:rPr>
                <w:rFonts w:eastAsia="Times New Roman" w:cs="Arial"/>
                <w:lang w:val="en-US" w:eastAsia="en-US"/>
              </w:rPr>
              <w:t>Accounting policies</w:t>
            </w:r>
          </w:p>
        </w:tc>
        <w:tc>
          <w:tcPr>
            <w:tcW w:w="7008" w:type="dxa"/>
            <w:tcBorders>
              <w:top w:val="single" w:sz="4" w:space="0" w:color="auto"/>
              <w:left w:val="nil"/>
              <w:bottom w:val="single" w:sz="4" w:space="0" w:color="auto"/>
              <w:right w:val="single" w:sz="4" w:space="0" w:color="auto"/>
            </w:tcBorders>
            <w:shd w:val="clear" w:color="auto" w:fill="auto"/>
            <w:vAlign w:val="center"/>
          </w:tcPr>
          <w:p w:rsidR="00756A14" w:rsidRPr="00756A14" w:rsidRDefault="00756A14" w:rsidP="00756A14">
            <w:pPr>
              <w:spacing w:before="60" w:after="60"/>
              <w:jc w:val="left"/>
              <w:rPr>
                <w:rFonts w:eastAsia="Times New Roman" w:cs="Arial"/>
                <w:lang w:val="en-US" w:eastAsia="en-US"/>
              </w:rPr>
            </w:pPr>
            <w:r w:rsidRPr="00756A14">
              <w:rPr>
                <w:rFonts w:eastAsia="Times New Roman" w:cs="Arial"/>
                <w:lang w:val="en-US" w:eastAsia="en-US"/>
              </w:rPr>
              <w:t>The ‘</w:t>
            </w:r>
            <w:r w:rsidRPr="007B4B65">
              <w:rPr>
                <w:rFonts w:eastAsia="Times New Roman" w:cs="Arial"/>
                <w:i/>
                <w:color w:val="FF0000"/>
                <w:lang w:val="en-US" w:eastAsia="en-US"/>
              </w:rPr>
              <w:t>Other specific accounting policy</w:t>
            </w:r>
            <w:r w:rsidRPr="00756A14">
              <w:rPr>
                <w:rFonts w:eastAsia="Times New Roman" w:cs="Arial"/>
                <w:lang w:val="en-US" w:eastAsia="en-US"/>
              </w:rPr>
              <w:t xml:space="preserve">’ grouping should be used to tag policies for which no individual policy tag exists and which are important to understanding the content of the accounts. </w:t>
            </w:r>
          </w:p>
        </w:tc>
      </w:tr>
    </w:tbl>
    <w:p w:rsidR="00B83151" w:rsidRDefault="00B83151" w:rsidP="00B83151">
      <w:pPr>
        <w:rPr>
          <w:rFonts w:cs="Arial"/>
        </w:rPr>
      </w:pPr>
    </w:p>
    <w:p w:rsidR="00B83151" w:rsidRDefault="00CF6472" w:rsidP="00756A14">
      <w:pPr>
        <w:pStyle w:val="Heading2"/>
      </w:pPr>
      <w:r>
        <w:br w:type="page"/>
      </w:r>
      <w:bookmarkStart w:id="27" w:name="_Toc292036833"/>
      <w:r w:rsidR="00756A14">
        <w:lastRenderedPageBreak/>
        <w:t>GAAP – Notes to Profit &amp; Loss</w:t>
      </w:r>
      <w:bookmarkEnd w:id="27"/>
    </w:p>
    <w:p w:rsidR="00756A14" w:rsidRDefault="00756A14" w:rsidP="00B83151">
      <w:pPr>
        <w:rPr>
          <w:rFonts w:cs="Arial"/>
        </w:rPr>
      </w:pPr>
    </w:p>
    <w:tbl>
      <w:tblPr>
        <w:tblW w:w="9231" w:type="dxa"/>
        <w:tblInd w:w="91" w:type="dxa"/>
        <w:tblLook w:val="0000"/>
      </w:tblPr>
      <w:tblGrid>
        <w:gridCol w:w="616"/>
        <w:gridCol w:w="1721"/>
        <w:gridCol w:w="6894"/>
      </w:tblGrid>
      <w:tr w:rsidR="00B83151" w:rsidRPr="00D50F7D" w:rsidTr="00CF6472">
        <w:trPr>
          <w:cantSplit/>
          <w:trHeight w:val="240"/>
          <w:tblHeader/>
        </w:trPr>
        <w:tc>
          <w:tcPr>
            <w:tcW w:w="6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ID</w:t>
            </w:r>
          </w:p>
        </w:tc>
        <w:tc>
          <w:tcPr>
            <w:tcW w:w="1721" w:type="dxa"/>
            <w:tcBorders>
              <w:top w:val="single" w:sz="4" w:space="0" w:color="auto"/>
              <w:left w:val="nil"/>
              <w:bottom w:val="single" w:sz="4" w:space="0" w:color="auto"/>
              <w:right w:val="single" w:sz="4" w:space="0" w:color="auto"/>
            </w:tcBorders>
            <w:shd w:val="clear" w:color="auto" w:fill="auto"/>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Item</w:t>
            </w:r>
          </w:p>
        </w:tc>
        <w:tc>
          <w:tcPr>
            <w:tcW w:w="6894" w:type="dxa"/>
            <w:tcBorders>
              <w:top w:val="single" w:sz="4" w:space="0" w:color="auto"/>
              <w:left w:val="nil"/>
              <w:bottom w:val="single" w:sz="4" w:space="0" w:color="auto"/>
              <w:right w:val="single" w:sz="4" w:space="0" w:color="auto"/>
            </w:tcBorders>
            <w:shd w:val="clear" w:color="auto" w:fill="auto"/>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Description</w:t>
            </w:r>
          </w:p>
        </w:tc>
      </w:tr>
      <w:tr w:rsidR="00857A0A" w:rsidRPr="00857A0A" w:rsidTr="00CF6472">
        <w:trPr>
          <w:cantSplit/>
          <w:trHeight w:val="240"/>
        </w:trPr>
        <w:tc>
          <w:tcPr>
            <w:tcW w:w="6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7A0A" w:rsidRPr="00857A0A" w:rsidRDefault="00857A0A" w:rsidP="00857A0A">
            <w:pPr>
              <w:spacing w:before="60" w:after="60"/>
              <w:jc w:val="left"/>
              <w:rPr>
                <w:rFonts w:eastAsia="Times New Roman" w:cs="Arial"/>
                <w:lang w:val="en-US" w:eastAsia="en-US"/>
              </w:rPr>
            </w:pPr>
            <w:r w:rsidRPr="00857A0A">
              <w:rPr>
                <w:rFonts w:eastAsia="Times New Roman" w:cs="Arial"/>
                <w:lang w:val="en-US" w:eastAsia="en-US"/>
              </w:rPr>
              <w:t>8.1</w:t>
            </w:r>
            <w:r w:rsidR="00936850">
              <w:rPr>
                <w:rFonts w:eastAsia="Times New Roman" w:cs="Arial"/>
                <w:lang w:val="en-US" w:eastAsia="en-US"/>
              </w:rPr>
              <w:t>5</w:t>
            </w:r>
          </w:p>
        </w:tc>
        <w:tc>
          <w:tcPr>
            <w:tcW w:w="1721" w:type="dxa"/>
            <w:tcBorders>
              <w:top w:val="single" w:sz="4" w:space="0" w:color="auto"/>
              <w:left w:val="nil"/>
              <w:bottom w:val="single" w:sz="4" w:space="0" w:color="auto"/>
              <w:right w:val="single" w:sz="4" w:space="0" w:color="auto"/>
            </w:tcBorders>
            <w:shd w:val="clear" w:color="auto" w:fill="auto"/>
            <w:vAlign w:val="center"/>
          </w:tcPr>
          <w:p w:rsidR="00857A0A" w:rsidRPr="00857A0A" w:rsidRDefault="00857A0A" w:rsidP="00857A0A">
            <w:pPr>
              <w:spacing w:before="60" w:after="60"/>
              <w:jc w:val="left"/>
              <w:rPr>
                <w:rFonts w:eastAsia="Times New Roman" w:cs="Arial"/>
                <w:lang w:val="en-US" w:eastAsia="en-US"/>
              </w:rPr>
            </w:pPr>
            <w:r w:rsidRPr="00857A0A">
              <w:rPr>
                <w:rFonts w:eastAsia="Times New Roman" w:cs="Arial"/>
                <w:lang w:val="en-US" w:eastAsia="en-US"/>
              </w:rPr>
              <w:t>Turnover by geographic segment</w:t>
            </w:r>
          </w:p>
        </w:tc>
        <w:tc>
          <w:tcPr>
            <w:tcW w:w="6894" w:type="dxa"/>
            <w:tcBorders>
              <w:top w:val="single" w:sz="4" w:space="0" w:color="auto"/>
              <w:left w:val="nil"/>
              <w:bottom w:val="single" w:sz="4" w:space="0" w:color="auto"/>
              <w:right w:val="single" w:sz="4" w:space="0" w:color="auto"/>
            </w:tcBorders>
            <w:shd w:val="clear" w:color="auto" w:fill="auto"/>
            <w:vAlign w:val="center"/>
          </w:tcPr>
          <w:p w:rsidR="00857A0A" w:rsidRPr="00857A0A" w:rsidRDefault="00857A0A" w:rsidP="00857A0A">
            <w:pPr>
              <w:spacing w:before="60" w:after="60"/>
              <w:jc w:val="left"/>
              <w:rPr>
                <w:rFonts w:eastAsia="Times New Roman" w:cs="Arial"/>
                <w:lang w:val="en-US" w:eastAsia="en-US"/>
              </w:rPr>
            </w:pPr>
            <w:r w:rsidRPr="00857A0A">
              <w:rPr>
                <w:rFonts w:eastAsia="Times New Roman" w:cs="Arial"/>
                <w:lang w:val="en-US" w:eastAsia="en-US"/>
              </w:rPr>
              <w:t>If turnover by geography is not distinguished according to destination or origin, then the general '</w:t>
            </w:r>
            <w:r w:rsidRPr="007B4B65">
              <w:rPr>
                <w:rFonts w:eastAsia="Times New Roman" w:cs="Arial"/>
                <w:i/>
                <w:color w:val="FF0000"/>
                <w:lang w:val="en-US" w:eastAsia="en-US"/>
              </w:rPr>
              <w:t>Turnover / gross operating revenue</w:t>
            </w:r>
            <w:r w:rsidRPr="00857A0A">
              <w:rPr>
                <w:rFonts w:eastAsia="Times New Roman" w:cs="Arial"/>
                <w:lang w:val="en-US" w:eastAsia="en-US"/>
              </w:rPr>
              <w:t>' tag should b</w:t>
            </w:r>
            <w:r w:rsidR="007B4B65">
              <w:rPr>
                <w:rFonts w:eastAsia="Times New Roman" w:cs="Arial"/>
                <w:lang w:val="en-US" w:eastAsia="en-US"/>
              </w:rPr>
              <w:t xml:space="preserve">e used in combination with the </w:t>
            </w:r>
            <w:r w:rsidRPr="007B4B65">
              <w:rPr>
                <w:rFonts w:eastAsia="Times New Roman" w:cs="Arial"/>
                <w:i/>
                <w:lang w:val="en-US" w:eastAsia="en-US"/>
              </w:rPr>
              <w:t>Countries</w:t>
            </w:r>
            <w:r w:rsidRPr="00857A0A">
              <w:rPr>
                <w:rFonts w:eastAsia="Times New Roman" w:cs="Arial"/>
                <w:lang w:val="en-US" w:eastAsia="en-US"/>
              </w:rPr>
              <w:t xml:space="preserve"> dimension to represent turnover by country or region.  (Clearly, if turnover by destination or origin is distinguished in accounts then the appropriate 'by destination' and 'by origin' revenue tags should be used.)  </w:t>
            </w:r>
          </w:p>
        </w:tc>
      </w:tr>
      <w:tr w:rsidR="00137FC7" w:rsidRPr="00857A0A" w:rsidTr="00CF6472">
        <w:trPr>
          <w:cantSplit/>
          <w:trHeight w:val="240"/>
        </w:trPr>
        <w:tc>
          <w:tcPr>
            <w:tcW w:w="6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7FC7" w:rsidRDefault="00137FC7">
            <w:pPr>
              <w:rPr>
                <w:rFonts w:cs="Arial"/>
              </w:rPr>
            </w:pPr>
            <w:r>
              <w:t>8.16</w:t>
            </w:r>
          </w:p>
        </w:tc>
        <w:tc>
          <w:tcPr>
            <w:tcW w:w="1721" w:type="dxa"/>
            <w:tcBorders>
              <w:top w:val="single" w:sz="4" w:space="0" w:color="auto"/>
              <w:left w:val="nil"/>
              <w:bottom w:val="single" w:sz="4" w:space="0" w:color="auto"/>
              <w:right w:val="single" w:sz="4" w:space="0" w:color="auto"/>
            </w:tcBorders>
            <w:shd w:val="clear" w:color="auto" w:fill="auto"/>
            <w:vAlign w:val="center"/>
          </w:tcPr>
          <w:p w:rsidR="00137FC7" w:rsidRPr="00857A0A" w:rsidRDefault="00137FC7" w:rsidP="00857A0A">
            <w:pPr>
              <w:spacing w:before="60" w:after="60"/>
              <w:jc w:val="left"/>
              <w:rPr>
                <w:rFonts w:eastAsia="Times New Roman" w:cs="Arial"/>
                <w:lang w:val="en-US" w:eastAsia="en-US"/>
              </w:rPr>
            </w:pPr>
            <w:r w:rsidRPr="00857A0A">
              <w:rPr>
                <w:rFonts w:eastAsia="Times New Roman" w:cs="Arial"/>
                <w:lang w:val="en-US" w:eastAsia="en-US"/>
              </w:rPr>
              <w:t>Fixed asset costs and movements</w:t>
            </w:r>
          </w:p>
        </w:tc>
        <w:tc>
          <w:tcPr>
            <w:tcW w:w="6894" w:type="dxa"/>
            <w:tcBorders>
              <w:top w:val="single" w:sz="4" w:space="0" w:color="auto"/>
              <w:left w:val="nil"/>
              <w:bottom w:val="single" w:sz="4" w:space="0" w:color="auto"/>
              <w:right w:val="single" w:sz="4" w:space="0" w:color="auto"/>
            </w:tcBorders>
            <w:shd w:val="clear" w:color="auto" w:fill="auto"/>
            <w:vAlign w:val="center"/>
          </w:tcPr>
          <w:p w:rsidR="00137FC7" w:rsidRDefault="00137FC7" w:rsidP="00857A0A">
            <w:pPr>
              <w:spacing w:before="60" w:after="60"/>
              <w:jc w:val="left"/>
              <w:rPr>
                <w:rFonts w:eastAsia="Times New Roman" w:cs="Arial"/>
                <w:lang w:val="en-US" w:eastAsia="en-US"/>
              </w:rPr>
            </w:pPr>
            <w:r w:rsidRPr="00857A0A">
              <w:rPr>
                <w:rFonts w:eastAsia="Times New Roman" w:cs="Arial"/>
                <w:lang w:val="en-US" w:eastAsia="en-US"/>
              </w:rPr>
              <w:t xml:space="preserve">Income and expenditure related to fixed assets are covered by tags in the notes to the P&amp;L - principally in the </w:t>
            </w:r>
            <w:r w:rsidRPr="00857A0A">
              <w:rPr>
                <w:rFonts w:eastAsia="Times New Roman" w:cs="Arial"/>
                <w:i/>
                <w:iCs/>
                <w:color w:val="006411"/>
                <w:lang w:val="en-US" w:eastAsia="en-US"/>
              </w:rPr>
              <w:t>Operating costs related to fixed assets</w:t>
            </w:r>
            <w:r w:rsidRPr="00857A0A">
              <w:rPr>
                <w:rFonts w:eastAsia="Times New Roman" w:cs="Arial"/>
                <w:lang w:val="en-US" w:eastAsia="en-US"/>
              </w:rPr>
              <w:t xml:space="preserve"> section.  </w:t>
            </w:r>
          </w:p>
          <w:p w:rsidR="00137FC7" w:rsidRPr="00857A0A" w:rsidRDefault="00137FC7" w:rsidP="00857A0A">
            <w:pPr>
              <w:spacing w:before="60" w:after="60"/>
              <w:jc w:val="left"/>
              <w:rPr>
                <w:rFonts w:eastAsia="Times New Roman" w:cs="Arial"/>
                <w:lang w:val="en-US" w:eastAsia="en-US"/>
              </w:rPr>
            </w:pPr>
            <w:r w:rsidRPr="00857A0A">
              <w:rPr>
                <w:rFonts w:eastAsia="Times New Roman" w:cs="Arial"/>
                <w:lang w:val="en-US" w:eastAsia="en-US"/>
              </w:rPr>
              <w:t xml:space="preserve">The tags for movements in assets related to depreciation and impairment in the </w:t>
            </w:r>
            <w:r w:rsidRPr="00857A0A">
              <w:rPr>
                <w:rFonts w:eastAsia="Times New Roman" w:cs="Arial"/>
                <w:i/>
                <w:iCs/>
                <w:color w:val="006411"/>
                <w:lang w:val="en-US" w:eastAsia="en-US"/>
              </w:rPr>
              <w:t>Notes on Balance Sheet</w:t>
            </w:r>
            <w:r w:rsidRPr="00857A0A">
              <w:rPr>
                <w:rFonts w:eastAsia="Times New Roman" w:cs="Arial"/>
                <w:lang w:val="en-US" w:eastAsia="en-US"/>
              </w:rPr>
              <w:t xml:space="preserve"> section are the </w:t>
            </w:r>
            <w:r w:rsidRPr="00857A0A">
              <w:rPr>
                <w:rFonts w:eastAsia="Times New Roman" w:cs="Arial"/>
                <w:b/>
                <w:bCs/>
                <w:lang w:val="en-US" w:eastAsia="en-US"/>
              </w:rPr>
              <w:t>counter-entries</w:t>
            </w:r>
            <w:r w:rsidRPr="00857A0A">
              <w:rPr>
                <w:rFonts w:eastAsia="Times New Roman" w:cs="Arial"/>
                <w:lang w:val="en-US" w:eastAsia="en-US"/>
              </w:rPr>
              <w:t xml:space="preserve"> for the P&amp;L items and have opposite balance attributes.  They must not be used to tag P&amp;L items.  </w:t>
            </w:r>
          </w:p>
        </w:tc>
      </w:tr>
      <w:tr w:rsidR="00137FC7" w:rsidRPr="00857A0A" w:rsidTr="00CF6472">
        <w:trPr>
          <w:cantSplit/>
          <w:trHeight w:val="240"/>
        </w:trPr>
        <w:tc>
          <w:tcPr>
            <w:tcW w:w="6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7FC7" w:rsidRDefault="00137FC7">
            <w:pPr>
              <w:rPr>
                <w:rFonts w:cs="Arial"/>
              </w:rPr>
            </w:pPr>
            <w:r>
              <w:t>8.17</w:t>
            </w:r>
          </w:p>
        </w:tc>
        <w:tc>
          <w:tcPr>
            <w:tcW w:w="1721" w:type="dxa"/>
            <w:tcBorders>
              <w:top w:val="single" w:sz="4" w:space="0" w:color="auto"/>
              <w:left w:val="nil"/>
              <w:bottom w:val="single" w:sz="4" w:space="0" w:color="auto"/>
              <w:right w:val="single" w:sz="4" w:space="0" w:color="auto"/>
            </w:tcBorders>
            <w:shd w:val="clear" w:color="auto" w:fill="auto"/>
            <w:vAlign w:val="center"/>
          </w:tcPr>
          <w:p w:rsidR="00137FC7" w:rsidRPr="00857A0A" w:rsidRDefault="00137FC7" w:rsidP="00857A0A">
            <w:pPr>
              <w:spacing w:before="60" w:after="60"/>
              <w:jc w:val="left"/>
              <w:rPr>
                <w:rFonts w:eastAsia="Times New Roman" w:cs="Arial"/>
                <w:lang w:val="en-US" w:eastAsia="en-US"/>
              </w:rPr>
            </w:pPr>
            <w:r w:rsidRPr="00857A0A">
              <w:rPr>
                <w:rFonts w:eastAsia="Times New Roman" w:cs="Arial"/>
                <w:lang w:val="en-US" w:eastAsia="en-US"/>
              </w:rPr>
              <w:t>Impairment losses and reversals</w:t>
            </w:r>
          </w:p>
        </w:tc>
        <w:tc>
          <w:tcPr>
            <w:tcW w:w="6894" w:type="dxa"/>
            <w:tcBorders>
              <w:top w:val="single" w:sz="4" w:space="0" w:color="auto"/>
              <w:left w:val="nil"/>
              <w:bottom w:val="single" w:sz="4" w:space="0" w:color="auto"/>
              <w:right w:val="single" w:sz="4" w:space="0" w:color="auto"/>
            </w:tcBorders>
            <w:shd w:val="clear" w:color="auto" w:fill="auto"/>
            <w:vAlign w:val="center"/>
          </w:tcPr>
          <w:p w:rsidR="00137FC7" w:rsidRPr="00857A0A" w:rsidRDefault="00137FC7" w:rsidP="00857A0A">
            <w:pPr>
              <w:spacing w:before="60" w:after="60"/>
              <w:jc w:val="left"/>
              <w:rPr>
                <w:rFonts w:eastAsia="Times New Roman" w:cs="Arial"/>
                <w:lang w:val="en-US" w:eastAsia="en-US"/>
              </w:rPr>
            </w:pPr>
            <w:r w:rsidRPr="00857A0A">
              <w:rPr>
                <w:rFonts w:eastAsia="Times New Roman" w:cs="Arial"/>
                <w:lang w:val="en-US" w:eastAsia="en-US"/>
              </w:rPr>
              <w:t>In tagging impairment gains and losses, preparers should note the comments on gross and net in the general section of this note.  They should take care in identifying the meaning of data in accounts and in the correct use of tags.  '</w:t>
            </w:r>
            <w:r w:rsidRPr="00CF072D">
              <w:rPr>
                <w:rFonts w:eastAsia="Times New Roman" w:cs="Arial"/>
                <w:i/>
                <w:color w:val="FF0000"/>
                <w:lang w:val="en-US" w:eastAsia="en-US"/>
              </w:rPr>
              <w:t>Impairment loss (reversal)...</w:t>
            </w:r>
            <w:r w:rsidRPr="00857A0A">
              <w:rPr>
                <w:rFonts w:eastAsia="Times New Roman" w:cs="Arial"/>
                <w:lang w:val="en-US" w:eastAsia="en-US"/>
              </w:rPr>
              <w:t>' is a tag for a net value, while '</w:t>
            </w:r>
            <w:r w:rsidRPr="00CF072D">
              <w:rPr>
                <w:rFonts w:eastAsia="Times New Roman" w:cs="Arial"/>
                <w:i/>
                <w:color w:val="FF0000"/>
                <w:lang w:val="en-US" w:eastAsia="en-US"/>
              </w:rPr>
              <w:t>Impairment loss...</w:t>
            </w:r>
            <w:r w:rsidRPr="00857A0A">
              <w:rPr>
                <w:rFonts w:eastAsia="Times New Roman" w:cs="Arial"/>
                <w:lang w:val="en-US" w:eastAsia="en-US"/>
              </w:rPr>
              <w:t>' and '</w:t>
            </w:r>
            <w:r w:rsidRPr="00CF072D">
              <w:rPr>
                <w:rFonts w:eastAsia="Times New Roman" w:cs="Arial"/>
                <w:i/>
                <w:color w:val="FF0000"/>
                <w:lang w:val="en-US" w:eastAsia="en-US"/>
              </w:rPr>
              <w:t>Impairment reversal...</w:t>
            </w:r>
            <w:r w:rsidRPr="00857A0A">
              <w:rPr>
                <w:rFonts w:eastAsia="Times New Roman" w:cs="Arial"/>
                <w:lang w:val="en-US" w:eastAsia="en-US"/>
              </w:rPr>
              <w:t xml:space="preserve">' will typically be tags for gross values.  </w:t>
            </w:r>
          </w:p>
        </w:tc>
      </w:tr>
      <w:tr w:rsidR="00137FC7" w:rsidRPr="00857A0A" w:rsidTr="00CF6472">
        <w:trPr>
          <w:cantSplit/>
          <w:trHeight w:val="240"/>
        </w:trPr>
        <w:tc>
          <w:tcPr>
            <w:tcW w:w="6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7FC7" w:rsidRDefault="00137FC7">
            <w:pPr>
              <w:rPr>
                <w:rFonts w:cs="Arial"/>
              </w:rPr>
            </w:pPr>
            <w:r>
              <w:t>8.18</w:t>
            </w:r>
          </w:p>
        </w:tc>
        <w:tc>
          <w:tcPr>
            <w:tcW w:w="1721" w:type="dxa"/>
            <w:tcBorders>
              <w:top w:val="single" w:sz="4" w:space="0" w:color="auto"/>
              <w:left w:val="nil"/>
              <w:bottom w:val="single" w:sz="4" w:space="0" w:color="auto"/>
              <w:right w:val="single" w:sz="4" w:space="0" w:color="auto"/>
            </w:tcBorders>
            <w:shd w:val="clear" w:color="auto" w:fill="auto"/>
            <w:vAlign w:val="center"/>
          </w:tcPr>
          <w:p w:rsidR="00137FC7" w:rsidRPr="00857A0A" w:rsidRDefault="00137FC7" w:rsidP="00857A0A">
            <w:pPr>
              <w:spacing w:before="60" w:after="60"/>
              <w:jc w:val="left"/>
              <w:rPr>
                <w:rFonts w:eastAsia="Times New Roman" w:cs="Arial"/>
                <w:lang w:val="en-US" w:eastAsia="en-US"/>
              </w:rPr>
            </w:pPr>
            <w:r w:rsidRPr="00857A0A">
              <w:rPr>
                <w:rFonts w:eastAsia="Times New Roman" w:cs="Arial"/>
                <w:lang w:val="en-US" w:eastAsia="en-US"/>
              </w:rPr>
              <w:t>Other operating costs</w:t>
            </w:r>
          </w:p>
        </w:tc>
        <w:tc>
          <w:tcPr>
            <w:tcW w:w="6894" w:type="dxa"/>
            <w:tcBorders>
              <w:top w:val="single" w:sz="4" w:space="0" w:color="auto"/>
              <w:left w:val="nil"/>
              <w:bottom w:val="single" w:sz="4" w:space="0" w:color="auto"/>
              <w:right w:val="single" w:sz="4" w:space="0" w:color="auto"/>
            </w:tcBorders>
            <w:shd w:val="clear" w:color="auto" w:fill="auto"/>
            <w:vAlign w:val="center"/>
          </w:tcPr>
          <w:p w:rsidR="00137FC7" w:rsidRPr="00857A0A" w:rsidRDefault="00137FC7" w:rsidP="00857A0A">
            <w:pPr>
              <w:spacing w:before="60" w:after="60"/>
              <w:jc w:val="left"/>
              <w:rPr>
                <w:rFonts w:eastAsia="Times New Roman" w:cs="Arial"/>
                <w:lang w:val="en-US" w:eastAsia="en-US"/>
              </w:rPr>
            </w:pPr>
            <w:r w:rsidRPr="00857A0A">
              <w:rPr>
                <w:rFonts w:eastAsia="Times New Roman" w:cs="Arial"/>
                <w:lang w:val="en-US" w:eastAsia="en-US"/>
              </w:rPr>
              <w:t>If 'other operating costs' are reported but not explicitly identified as exceptional or unexceptional, then this item should be tagged with '</w:t>
            </w:r>
            <w:r w:rsidRPr="00CF072D">
              <w:rPr>
                <w:rFonts w:eastAsia="Times New Roman" w:cs="Arial"/>
                <w:i/>
                <w:color w:val="FF0000"/>
                <w:lang w:val="en-US" w:eastAsia="en-US"/>
              </w:rPr>
              <w:t>Other unexceptional operating costs</w:t>
            </w:r>
            <w:r w:rsidRPr="00857A0A">
              <w:rPr>
                <w:rFonts w:eastAsia="Times New Roman" w:cs="Arial"/>
                <w:lang w:val="en-US" w:eastAsia="en-US"/>
              </w:rPr>
              <w:t>'.   (Effectively, if items are not explicitly identified as exceptional, they should be considered for tagging purposes as unexceptional.  The word 'unexceptional' only exists in this label to distinguish it from the separate '</w:t>
            </w:r>
            <w:r w:rsidRPr="00CF072D">
              <w:rPr>
                <w:rFonts w:eastAsia="Times New Roman" w:cs="Arial"/>
                <w:i/>
                <w:color w:val="FF0000"/>
                <w:lang w:val="en-US" w:eastAsia="en-US"/>
              </w:rPr>
              <w:t>Other exceptional operating costs'</w:t>
            </w:r>
            <w:r w:rsidRPr="00857A0A">
              <w:rPr>
                <w:rFonts w:eastAsia="Times New Roman" w:cs="Arial"/>
                <w:lang w:val="en-US" w:eastAsia="en-US"/>
              </w:rPr>
              <w:t xml:space="preserve"> tag.)</w:t>
            </w:r>
          </w:p>
        </w:tc>
      </w:tr>
      <w:tr w:rsidR="00137FC7" w:rsidRPr="00857A0A" w:rsidTr="00CF6472">
        <w:trPr>
          <w:cantSplit/>
          <w:trHeight w:val="240"/>
        </w:trPr>
        <w:tc>
          <w:tcPr>
            <w:tcW w:w="6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7FC7" w:rsidRDefault="00137FC7">
            <w:pPr>
              <w:rPr>
                <w:rFonts w:cs="Arial"/>
              </w:rPr>
            </w:pPr>
            <w:r w:rsidRPr="00137FC7">
              <w:rPr>
                <w:highlight w:val="yellow"/>
              </w:rPr>
              <w:t>8.19</w:t>
            </w:r>
          </w:p>
        </w:tc>
        <w:tc>
          <w:tcPr>
            <w:tcW w:w="1721" w:type="dxa"/>
            <w:tcBorders>
              <w:top w:val="single" w:sz="4" w:space="0" w:color="auto"/>
              <w:left w:val="nil"/>
              <w:bottom w:val="single" w:sz="4" w:space="0" w:color="auto"/>
              <w:right w:val="single" w:sz="4" w:space="0" w:color="auto"/>
            </w:tcBorders>
            <w:shd w:val="clear" w:color="auto" w:fill="auto"/>
            <w:vAlign w:val="center"/>
          </w:tcPr>
          <w:p w:rsidR="00137FC7" w:rsidRPr="00510B49" w:rsidRDefault="00137FC7" w:rsidP="00857A0A">
            <w:pPr>
              <w:spacing w:before="60" w:after="60"/>
              <w:jc w:val="left"/>
              <w:rPr>
                <w:rFonts w:eastAsia="Times New Roman" w:cs="Arial"/>
                <w:highlight w:val="yellow"/>
                <w:lang w:val="en-US" w:eastAsia="en-US"/>
              </w:rPr>
            </w:pPr>
            <w:r w:rsidRPr="00510B49">
              <w:rPr>
                <w:rFonts w:eastAsia="Times New Roman" w:cs="Arial"/>
                <w:highlight w:val="yellow"/>
                <w:lang w:val="en-US" w:eastAsia="en-US"/>
              </w:rPr>
              <w:t>Finance charges and costs</w:t>
            </w:r>
          </w:p>
        </w:tc>
        <w:tc>
          <w:tcPr>
            <w:tcW w:w="6894" w:type="dxa"/>
            <w:tcBorders>
              <w:top w:val="single" w:sz="4" w:space="0" w:color="auto"/>
              <w:left w:val="nil"/>
              <w:bottom w:val="single" w:sz="4" w:space="0" w:color="auto"/>
              <w:right w:val="single" w:sz="4" w:space="0" w:color="auto"/>
            </w:tcBorders>
            <w:shd w:val="clear" w:color="auto" w:fill="auto"/>
            <w:vAlign w:val="center"/>
          </w:tcPr>
          <w:p w:rsidR="00137FC7" w:rsidRDefault="00137FC7" w:rsidP="00857A0A">
            <w:pPr>
              <w:spacing w:before="60" w:after="60"/>
              <w:jc w:val="left"/>
              <w:rPr>
                <w:rFonts w:eastAsia="Times New Roman" w:cs="Arial"/>
                <w:lang w:val="en-US" w:eastAsia="en-US"/>
              </w:rPr>
            </w:pPr>
            <w:r w:rsidRPr="00857A0A">
              <w:rPr>
                <w:rFonts w:eastAsia="Times New Roman" w:cs="Arial"/>
                <w:lang w:val="en-US" w:eastAsia="en-US"/>
              </w:rPr>
              <w:t xml:space="preserve">There is some overlap between the </w:t>
            </w:r>
            <w:r w:rsidRPr="00857A0A">
              <w:rPr>
                <w:rFonts w:eastAsia="Times New Roman" w:cs="Arial"/>
                <w:i/>
                <w:iCs/>
                <w:color w:val="006411"/>
                <w:lang w:val="en-US" w:eastAsia="en-US"/>
              </w:rPr>
              <w:t>Finance charges (income)</w:t>
            </w:r>
            <w:r w:rsidRPr="00857A0A">
              <w:rPr>
                <w:rFonts w:eastAsia="Times New Roman" w:cs="Arial"/>
                <w:lang w:val="en-US" w:eastAsia="en-US"/>
              </w:rPr>
              <w:t xml:space="preserve"> and </w:t>
            </w:r>
            <w:r w:rsidRPr="00857A0A">
              <w:rPr>
                <w:rFonts w:eastAsia="Times New Roman" w:cs="Arial"/>
                <w:i/>
                <w:iCs/>
                <w:color w:val="006411"/>
                <w:lang w:val="en-US" w:eastAsia="en-US"/>
              </w:rPr>
              <w:t>Finance costs</w:t>
            </w:r>
            <w:r w:rsidRPr="00857A0A">
              <w:rPr>
                <w:rFonts w:eastAsia="Times New Roman" w:cs="Arial"/>
                <w:lang w:val="en-US" w:eastAsia="en-US"/>
              </w:rPr>
              <w:t xml:space="preserve"> sub-sections (which are located under </w:t>
            </w:r>
            <w:r w:rsidRPr="00857A0A">
              <w:rPr>
                <w:rFonts w:eastAsia="Times New Roman" w:cs="Arial"/>
                <w:i/>
                <w:iCs/>
                <w:color w:val="006411"/>
                <w:lang w:val="en-US" w:eastAsia="en-US"/>
              </w:rPr>
              <w:t>Interest payable and similar charges</w:t>
            </w:r>
            <w:r w:rsidRPr="00857A0A">
              <w:rPr>
                <w:rFonts w:eastAsia="Times New Roman" w:cs="Arial"/>
                <w:lang w:val="en-US" w:eastAsia="en-US"/>
              </w:rPr>
              <w:t xml:space="preserve">).   Items under </w:t>
            </w:r>
            <w:r w:rsidRPr="00857A0A">
              <w:rPr>
                <w:rFonts w:eastAsia="Times New Roman" w:cs="Arial"/>
                <w:i/>
                <w:iCs/>
                <w:color w:val="006411"/>
                <w:lang w:val="en-US" w:eastAsia="en-US"/>
              </w:rPr>
              <w:t>Finance costs</w:t>
            </w:r>
            <w:r w:rsidRPr="00857A0A">
              <w:rPr>
                <w:rFonts w:eastAsia="Times New Roman" w:cs="Arial"/>
                <w:lang w:val="en-US" w:eastAsia="en-US"/>
              </w:rPr>
              <w:t xml:space="preserve"> are intended to represent gross amounts.  The tags '</w:t>
            </w:r>
            <w:r w:rsidRPr="00857A0A">
              <w:rPr>
                <w:rFonts w:eastAsia="Times New Roman" w:cs="Arial"/>
                <w:i/>
                <w:iCs/>
                <w:color w:val="DD0806"/>
                <w:lang w:val="en-US" w:eastAsia="en-US"/>
              </w:rPr>
              <w:t>Other finance charges</w:t>
            </w:r>
            <w:r w:rsidRPr="00857A0A">
              <w:rPr>
                <w:rFonts w:eastAsia="Times New Roman" w:cs="Arial"/>
                <w:lang w:val="en-US" w:eastAsia="en-US"/>
              </w:rPr>
              <w:t>' and '</w:t>
            </w:r>
            <w:r w:rsidRPr="00857A0A">
              <w:rPr>
                <w:rFonts w:eastAsia="Times New Roman" w:cs="Arial"/>
                <w:i/>
                <w:iCs/>
                <w:color w:val="DD0806"/>
                <w:lang w:val="en-US" w:eastAsia="en-US"/>
              </w:rPr>
              <w:t>Other finance costs</w:t>
            </w:r>
            <w:r w:rsidRPr="00857A0A">
              <w:rPr>
                <w:rFonts w:eastAsia="Times New Roman" w:cs="Arial"/>
                <w:lang w:val="en-US" w:eastAsia="en-US"/>
              </w:rPr>
              <w:t xml:space="preserve">' duplicate each other.  Preparers may use either tag.  </w:t>
            </w:r>
          </w:p>
          <w:p w:rsidR="00137FC7" w:rsidRPr="00857A0A" w:rsidRDefault="00137FC7" w:rsidP="00857A0A">
            <w:pPr>
              <w:spacing w:before="60" w:after="60"/>
              <w:jc w:val="left"/>
              <w:rPr>
                <w:rFonts w:eastAsia="Times New Roman" w:cs="Arial"/>
                <w:lang w:val="en-US" w:eastAsia="en-US"/>
              </w:rPr>
            </w:pPr>
            <w:r w:rsidRPr="00857A0A">
              <w:rPr>
                <w:rFonts w:eastAsia="Times New Roman" w:cs="Arial"/>
                <w:lang w:val="en-US" w:eastAsia="en-US"/>
              </w:rPr>
              <w:t>Tags labelled as '...finance charges...' represent interest and similar payments.  They may be used to tag items which are purely interest payments if no more explicit tag covering interest charges alone is available.</w:t>
            </w:r>
          </w:p>
        </w:tc>
      </w:tr>
      <w:tr w:rsidR="00137FC7" w:rsidRPr="00857A0A" w:rsidTr="00CF6472">
        <w:trPr>
          <w:cantSplit/>
          <w:trHeight w:val="240"/>
        </w:trPr>
        <w:tc>
          <w:tcPr>
            <w:tcW w:w="6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7FC7" w:rsidRDefault="00137FC7">
            <w:pPr>
              <w:rPr>
                <w:rFonts w:cs="Arial"/>
              </w:rPr>
            </w:pPr>
            <w:r>
              <w:t>8.20</w:t>
            </w:r>
          </w:p>
        </w:tc>
        <w:tc>
          <w:tcPr>
            <w:tcW w:w="1721" w:type="dxa"/>
            <w:tcBorders>
              <w:top w:val="single" w:sz="4" w:space="0" w:color="auto"/>
              <w:left w:val="nil"/>
              <w:bottom w:val="single" w:sz="4" w:space="0" w:color="auto"/>
              <w:right w:val="single" w:sz="4" w:space="0" w:color="auto"/>
            </w:tcBorders>
            <w:shd w:val="clear" w:color="auto" w:fill="auto"/>
            <w:vAlign w:val="center"/>
          </w:tcPr>
          <w:p w:rsidR="00137FC7" w:rsidRPr="00857A0A" w:rsidRDefault="00137FC7" w:rsidP="00857A0A">
            <w:pPr>
              <w:spacing w:before="60" w:after="60"/>
              <w:jc w:val="left"/>
              <w:rPr>
                <w:rFonts w:eastAsia="Times New Roman" w:cs="Arial"/>
                <w:lang w:val="en-US" w:eastAsia="en-US"/>
              </w:rPr>
            </w:pPr>
            <w:r w:rsidRPr="00857A0A">
              <w:rPr>
                <w:rFonts w:eastAsia="Times New Roman" w:cs="Arial"/>
                <w:lang w:val="en-US" w:eastAsia="en-US"/>
              </w:rPr>
              <w:t>Gains (losses) on other non-operating activities</w:t>
            </w:r>
          </w:p>
        </w:tc>
        <w:tc>
          <w:tcPr>
            <w:tcW w:w="6894" w:type="dxa"/>
            <w:tcBorders>
              <w:top w:val="single" w:sz="4" w:space="0" w:color="auto"/>
              <w:left w:val="nil"/>
              <w:bottom w:val="single" w:sz="4" w:space="0" w:color="auto"/>
              <w:right w:val="single" w:sz="4" w:space="0" w:color="auto"/>
            </w:tcBorders>
            <w:shd w:val="clear" w:color="auto" w:fill="auto"/>
            <w:vAlign w:val="center"/>
          </w:tcPr>
          <w:p w:rsidR="00137FC7" w:rsidRPr="00857A0A" w:rsidRDefault="00137FC7" w:rsidP="00857A0A">
            <w:pPr>
              <w:spacing w:before="60" w:after="60"/>
              <w:jc w:val="left"/>
              <w:rPr>
                <w:rFonts w:eastAsia="Times New Roman" w:cs="Arial"/>
                <w:lang w:val="en-US" w:eastAsia="en-US"/>
              </w:rPr>
            </w:pPr>
            <w:r w:rsidRPr="00857A0A">
              <w:rPr>
                <w:rFonts w:eastAsia="Times New Roman" w:cs="Arial"/>
                <w:lang w:val="en-US" w:eastAsia="en-US"/>
              </w:rPr>
              <w:t>The tag '</w:t>
            </w:r>
            <w:r w:rsidRPr="00857A0A">
              <w:rPr>
                <w:rFonts w:eastAsia="Times New Roman" w:cs="Arial"/>
                <w:i/>
                <w:iCs/>
                <w:color w:val="DD0806"/>
                <w:lang w:val="en-US" w:eastAsia="en-US"/>
              </w:rPr>
              <w:t>Gains (losses) on other non-operating activities</w:t>
            </w:r>
            <w:r w:rsidRPr="00857A0A">
              <w:rPr>
                <w:rFonts w:eastAsia="Times New Roman" w:cs="Arial"/>
                <w:lang w:val="en-US" w:eastAsia="en-US"/>
              </w:rPr>
              <w:t xml:space="preserve">' in the </w:t>
            </w:r>
            <w:r w:rsidRPr="00857A0A">
              <w:rPr>
                <w:rFonts w:eastAsia="Times New Roman" w:cs="Arial"/>
                <w:i/>
                <w:iCs/>
                <w:color w:val="006411"/>
                <w:lang w:val="en-US" w:eastAsia="en-US"/>
              </w:rPr>
              <w:t>Financial instruments net gains (losses)</w:t>
            </w:r>
            <w:r w:rsidRPr="00857A0A">
              <w:rPr>
                <w:rFonts w:eastAsia="Times New Roman" w:cs="Arial"/>
                <w:lang w:val="en-US" w:eastAsia="en-US"/>
              </w:rPr>
              <w:t xml:space="preserve"> section may be used for gains/losses on any non-operating activities, whether or not they relate directly to financial instruments.  </w:t>
            </w:r>
          </w:p>
        </w:tc>
      </w:tr>
      <w:tr w:rsidR="00137FC7" w:rsidRPr="00857A0A" w:rsidTr="00CF6472">
        <w:trPr>
          <w:cantSplit/>
          <w:trHeight w:val="240"/>
        </w:trPr>
        <w:tc>
          <w:tcPr>
            <w:tcW w:w="6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7FC7" w:rsidRDefault="00137FC7">
            <w:pPr>
              <w:rPr>
                <w:rFonts w:cs="Arial"/>
              </w:rPr>
            </w:pPr>
            <w:r w:rsidRPr="00137FC7">
              <w:rPr>
                <w:highlight w:val="yellow"/>
              </w:rPr>
              <w:t>8.21</w:t>
            </w:r>
          </w:p>
        </w:tc>
        <w:tc>
          <w:tcPr>
            <w:tcW w:w="1721" w:type="dxa"/>
            <w:tcBorders>
              <w:top w:val="single" w:sz="4" w:space="0" w:color="auto"/>
              <w:left w:val="nil"/>
              <w:bottom w:val="single" w:sz="4" w:space="0" w:color="auto"/>
              <w:right w:val="single" w:sz="4" w:space="0" w:color="auto"/>
            </w:tcBorders>
            <w:shd w:val="clear" w:color="auto" w:fill="auto"/>
            <w:vAlign w:val="center"/>
          </w:tcPr>
          <w:p w:rsidR="00137FC7" w:rsidRPr="00510B49" w:rsidRDefault="00137FC7" w:rsidP="00857A0A">
            <w:pPr>
              <w:spacing w:before="60" w:after="60"/>
              <w:jc w:val="left"/>
              <w:rPr>
                <w:rFonts w:eastAsia="Times New Roman" w:cs="Arial"/>
                <w:highlight w:val="yellow"/>
                <w:lang w:val="en-US" w:eastAsia="en-US"/>
              </w:rPr>
            </w:pPr>
            <w:r w:rsidRPr="00510B49">
              <w:rPr>
                <w:rFonts w:eastAsia="Times New Roman" w:cs="Arial"/>
                <w:highlight w:val="yellow"/>
                <w:lang w:val="en-US" w:eastAsia="en-US"/>
              </w:rPr>
              <w:t>Gain (loss) on financial instruments</w:t>
            </w:r>
          </w:p>
        </w:tc>
        <w:tc>
          <w:tcPr>
            <w:tcW w:w="6894" w:type="dxa"/>
            <w:tcBorders>
              <w:top w:val="single" w:sz="4" w:space="0" w:color="auto"/>
              <w:left w:val="nil"/>
              <w:bottom w:val="single" w:sz="4" w:space="0" w:color="auto"/>
              <w:right w:val="single" w:sz="4" w:space="0" w:color="auto"/>
            </w:tcBorders>
            <w:shd w:val="clear" w:color="auto" w:fill="auto"/>
            <w:vAlign w:val="center"/>
          </w:tcPr>
          <w:p w:rsidR="00137FC7" w:rsidRPr="00857A0A" w:rsidRDefault="00137FC7" w:rsidP="00857A0A">
            <w:pPr>
              <w:spacing w:before="60" w:after="60"/>
              <w:jc w:val="left"/>
              <w:rPr>
                <w:rFonts w:eastAsia="Times New Roman" w:cs="Arial"/>
                <w:lang w:val="en-US" w:eastAsia="en-US"/>
              </w:rPr>
            </w:pPr>
            <w:r w:rsidRPr="00857A0A">
              <w:rPr>
                <w:rFonts w:eastAsia="Times New Roman" w:cs="Arial"/>
                <w:lang w:val="en-US" w:eastAsia="en-US"/>
              </w:rPr>
              <w:t>The tag '</w:t>
            </w:r>
            <w:r w:rsidRPr="00857A0A">
              <w:rPr>
                <w:rFonts w:eastAsia="Times New Roman" w:cs="Arial"/>
                <w:i/>
                <w:iCs/>
                <w:color w:val="DD0806"/>
                <w:lang w:val="en-US" w:eastAsia="en-US"/>
              </w:rPr>
              <w:t>Gain (loss) on financial instruments</w:t>
            </w:r>
            <w:r w:rsidRPr="00857A0A">
              <w:rPr>
                <w:rFonts w:eastAsia="Times New Roman" w:cs="Arial"/>
                <w:lang w:val="en-US" w:eastAsia="en-US"/>
              </w:rPr>
              <w:t>' effectively duplicates the tag '</w:t>
            </w:r>
            <w:r w:rsidRPr="00857A0A">
              <w:rPr>
                <w:rFonts w:eastAsia="Times New Roman" w:cs="Arial"/>
                <w:i/>
                <w:iCs/>
                <w:color w:val="DD0806"/>
                <w:lang w:val="en-US" w:eastAsia="en-US"/>
              </w:rPr>
              <w:t>Financial instruments net gains (losses), before tax</w:t>
            </w:r>
            <w:r w:rsidRPr="00857A0A">
              <w:rPr>
                <w:rFonts w:eastAsia="Times New Roman" w:cs="Arial"/>
                <w:lang w:val="en-US" w:eastAsia="en-US"/>
              </w:rPr>
              <w:t xml:space="preserve">'.  Preparers may use either tag, but the latter tag is recommended.  The former is expected to be deprecated in a future version of the taxonomy.  </w:t>
            </w:r>
          </w:p>
        </w:tc>
      </w:tr>
      <w:tr w:rsidR="00137FC7" w:rsidRPr="00857A0A" w:rsidTr="00CF6472">
        <w:trPr>
          <w:cantSplit/>
          <w:trHeight w:val="240"/>
        </w:trPr>
        <w:tc>
          <w:tcPr>
            <w:tcW w:w="6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7FC7" w:rsidRDefault="00137FC7">
            <w:pPr>
              <w:rPr>
                <w:rFonts w:cs="Arial"/>
              </w:rPr>
            </w:pPr>
            <w:r>
              <w:lastRenderedPageBreak/>
              <w:t>8.22</w:t>
            </w:r>
          </w:p>
        </w:tc>
        <w:tc>
          <w:tcPr>
            <w:tcW w:w="1721" w:type="dxa"/>
            <w:tcBorders>
              <w:top w:val="single" w:sz="4" w:space="0" w:color="auto"/>
              <w:left w:val="nil"/>
              <w:bottom w:val="single" w:sz="4" w:space="0" w:color="auto"/>
              <w:right w:val="single" w:sz="4" w:space="0" w:color="auto"/>
            </w:tcBorders>
            <w:shd w:val="clear" w:color="auto" w:fill="auto"/>
            <w:vAlign w:val="center"/>
          </w:tcPr>
          <w:p w:rsidR="00137FC7" w:rsidRPr="00857A0A" w:rsidRDefault="00137FC7" w:rsidP="00857A0A">
            <w:pPr>
              <w:spacing w:before="60" w:after="60"/>
              <w:jc w:val="left"/>
              <w:rPr>
                <w:rFonts w:eastAsia="Times New Roman" w:cs="Arial"/>
                <w:lang w:val="en-US" w:eastAsia="en-US"/>
              </w:rPr>
            </w:pPr>
            <w:r w:rsidRPr="00857A0A">
              <w:rPr>
                <w:rFonts w:eastAsia="Times New Roman" w:cs="Arial"/>
                <w:lang w:val="en-US" w:eastAsia="en-US"/>
              </w:rPr>
              <w:t>Adjustments to tax reflecting prior periods</w:t>
            </w:r>
          </w:p>
        </w:tc>
        <w:tc>
          <w:tcPr>
            <w:tcW w:w="6894" w:type="dxa"/>
            <w:tcBorders>
              <w:top w:val="single" w:sz="4" w:space="0" w:color="auto"/>
              <w:left w:val="nil"/>
              <w:bottom w:val="single" w:sz="4" w:space="0" w:color="auto"/>
              <w:right w:val="single" w:sz="4" w:space="0" w:color="auto"/>
            </w:tcBorders>
            <w:shd w:val="clear" w:color="auto" w:fill="auto"/>
            <w:vAlign w:val="center"/>
          </w:tcPr>
          <w:p w:rsidR="00137FC7" w:rsidRPr="00857A0A" w:rsidRDefault="00137FC7" w:rsidP="00857A0A">
            <w:pPr>
              <w:spacing w:before="60" w:after="60"/>
              <w:jc w:val="left"/>
              <w:rPr>
                <w:rFonts w:eastAsia="Times New Roman" w:cs="Arial"/>
                <w:lang w:val="en-US" w:eastAsia="en-US"/>
              </w:rPr>
            </w:pPr>
            <w:r w:rsidRPr="00857A0A">
              <w:rPr>
                <w:rFonts w:eastAsia="Times New Roman" w:cs="Arial"/>
                <w:lang w:val="en-US" w:eastAsia="en-US"/>
              </w:rPr>
              <w:t xml:space="preserve">As stated in the general section of this note, adjustments to tax related to prior periods are handled by the specific line item tags shown in the tax sections - not the prior period adjustment tags in the </w:t>
            </w:r>
            <w:r w:rsidRPr="00CF072D">
              <w:rPr>
                <w:rFonts w:eastAsia="Times New Roman" w:cs="Arial"/>
                <w:i/>
                <w:lang w:val="en-US" w:eastAsia="en-US"/>
              </w:rPr>
              <w:t>Restatements</w:t>
            </w:r>
            <w:r w:rsidRPr="00857A0A">
              <w:rPr>
                <w:rFonts w:eastAsia="Times New Roman" w:cs="Arial"/>
                <w:lang w:val="en-US" w:eastAsia="en-US"/>
              </w:rPr>
              <w:t xml:space="preserve"> dimension.  This is because such adjustments do not involve restatements as such.  They reflect adjustments made in the current period and should take current period contexts.  </w:t>
            </w:r>
          </w:p>
        </w:tc>
      </w:tr>
      <w:tr w:rsidR="00137FC7" w:rsidRPr="00857A0A" w:rsidTr="00CF6472">
        <w:trPr>
          <w:cantSplit/>
          <w:trHeight w:val="240"/>
        </w:trPr>
        <w:tc>
          <w:tcPr>
            <w:tcW w:w="6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7FC7" w:rsidRDefault="00137FC7">
            <w:pPr>
              <w:rPr>
                <w:rFonts w:cs="Arial"/>
              </w:rPr>
            </w:pPr>
            <w:r>
              <w:t>8.23</w:t>
            </w:r>
          </w:p>
        </w:tc>
        <w:tc>
          <w:tcPr>
            <w:tcW w:w="1721" w:type="dxa"/>
            <w:tcBorders>
              <w:top w:val="single" w:sz="4" w:space="0" w:color="auto"/>
              <w:left w:val="nil"/>
              <w:bottom w:val="single" w:sz="4" w:space="0" w:color="auto"/>
              <w:right w:val="single" w:sz="4" w:space="0" w:color="auto"/>
            </w:tcBorders>
            <w:shd w:val="clear" w:color="auto" w:fill="auto"/>
            <w:vAlign w:val="center"/>
          </w:tcPr>
          <w:p w:rsidR="00137FC7" w:rsidRPr="00857A0A" w:rsidRDefault="00137FC7" w:rsidP="00857A0A">
            <w:pPr>
              <w:spacing w:before="60" w:after="60"/>
              <w:jc w:val="left"/>
              <w:rPr>
                <w:rFonts w:eastAsia="Times New Roman" w:cs="Arial"/>
                <w:lang w:val="en-US" w:eastAsia="en-US"/>
              </w:rPr>
            </w:pPr>
            <w:r w:rsidRPr="00857A0A">
              <w:rPr>
                <w:rFonts w:eastAsia="Times New Roman" w:cs="Arial"/>
                <w:lang w:val="en-US" w:eastAsia="en-US"/>
              </w:rPr>
              <w:t>Tax reconciliation</w:t>
            </w:r>
          </w:p>
        </w:tc>
        <w:tc>
          <w:tcPr>
            <w:tcW w:w="6894" w:type="dxa"/>
            <w:tcBorders>
              <w:top w:val="single" w:sz="4" w:space="0" w:color="auto"/>
              <w:left w:val="nil"/>
              <w:bottom w:val="single" w:sz="4" w:space="0" w:color="auto"/>
              <w:right w:val="single" w:sz="4" w:space="0" w:color="auto"/>
            </w:tcBorders>
            <w:shd w:val="clear" w:color="auto" w:fill="auto"/>
            <w:vAlign w:val="center"/>
          </w:tcPr>
          <w:p w:rsidR="00137FC7" w:rsidRPr="00857A0A" w:rsidRDefault="00137FC7" w:rsidP="00857A0A">
            <w:pPr>
              <w:spacing w:before="60" w:after="60"/>
              <w:jc w:val="left"/>
              <w:rPr>
                <w:rFonts w:eastAsia="Times New Roman" w:cs="Arial"/>
                <w:lang w:val="en-US" w:eastAsia="en-US"/>
              </w:rPr>
            </w:pPr>
            <w:r w:rsidRPr="00857A0A">
              <w:rPr>
                <w:rFonts w:eastAsia="Times New Roman" w:cs="Arial"/>
                <w:lang w:val="en-US" w:eastAsia="en-US"/>
              </w:rPr>
              <w:t>Care should be taken on the choice of tags used in reconciliations of tax paid to tax on profit at the standard rate.  In general, these should be selected from the reconciliation section of the taxonomy.  Tags which appear elsewhere may not be appropriate, since they may not represent reconciling values.  For example, '</w:t>
            </w:r>
            <w:r w:rsidRPr="00CF072D">
              <w:rPr>
                <w:rFonts w:eastAsia="Times New Roman" w:cs="Arial"/>
                <w:i/>
                <w:iCs/>
                <w:color w:val="DD0806"/>
                <w:lang w:val="en-US" w:eastAsia="en-US"/>
              </w:rPr>
              <w:t>Group taxation relief receivable (payable)</w:t>
            </w:r>
            <w:r w:rsidRPr="00857A0A">
              <w:rPr>
                <w:rFonts w:eastAsia="Times New Roman" w:cs="Arial"/>
                <w:lang w:val="en-US" w:eastAsia="en-US"/>
              </w:rPr>
              <w:t xml:space="preserve">' under the calculation of total current tax will </w:t>
            </w:r>
            <w:r w:rsidRPr="00857A0A">
              <w:rPr>
                <w:rFonts w:eastAsia="Times New Roman" w:cs="Arial"/>
                <w:b/>
                <w:bCs/>
                <w:lang w:val="en-US" w:eastAsia="en-US"/>
              </w:rPr>
              <w:t>not</w:t>
            </w:r>
            <w:r w:rsidRPr="00857A0A">
              <w:rPr>
                <w:rFonts w:eastAsia="Times New Roman" w:cs="Arial"/>
                <w:lang w:val="en-US" w:eastAsia="en-US"/>
              </w:rPr>
              <w:t xml:space="preserve"> necessarily match any reconciling value for group relief under the reconciliation.  There is no tag for the latter amount.  </w:t>
            </w:r>
          </w:p>
        </w:tc>
      </w:tr>
      <w:tr w:rsidR="00137FC7" w:rsidRPr="00857A0A" w:rsidTr="00FE7A47">
        <w:trPr>
          <w:cantSplit/>
          <w:trHeight w:val="240"/>
        </w:trPr>
        <w:tc>
          <w:tcPr>
            <w:tcW w:w="6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7FC7" w:rsidRDefault="00137FC7">
            <w:pPr>
              <w:rPr>
                <w:rFonts w:cs="Arial"/>
              </w:rPr>
            </w:pPr>
            <w:r>
              <w:t>8.24</w:t>
            </w:r>
          </w:p>
        </w:tc>
        <w:tc>
          <w:tcPr>
            <w:tcW w:w="1721" w:type="dxa"/>
            <w:tcBorders>
              <w:top w:val="single" w:sz="4" w:space="0" w:color="auto"/>
              <w:left w:val="nil"/>
              <w:bottom w:val="single" w:sz="4" w:space="0" w:color="auto"/>
              <w:right w:val="single" w:sz="4" w:space="0" w:color="auto"/>
            </w:tcBorders>
            <w:shd w:val="clear" w:color="auto" w:fill="auto"/>
            <w:vAlign w:val="center"/>
          </w:tcPr>
          <w:p w:rsidR="00B54B4C" w:rsidRPr="00B54B4C" w:rsidRDefault="00B54B4C" w:rsidP="005144AC">
            <w:pPr>
              <w:jc w:val="left"/>
            </w:pPr>
            <w:r>
              <w:t>Dividends</w:t>
            </w:r>
            <w:r w:rsidR="0098029B">
              <w:t xml:space="preserve"> on different share classes</w:t>
            </w:r>
          </w:p>
        </w:tc>
        <w:tc>
          <w:tcPr>
            <w:tcW w:w="6894" w:type="dxa"/>
            <w:tcBorders>
              <w:top w:val="single" w:sz="4" w:space="0" w:color="auto"/>
              <w:left w:val="nil"/>
              <w:bottom w:val="single" w:sz="4" w:space="0" w:color="auto"/>
              <w:right w:val="single" w:sz="4" w:space="0" w:color="auto"/>
            </w:tcBorders>
            <w:shd w:val="clear" w:color="auto" w:fill="auto"/>
            <w:vAlign w:val="center"/>
          </w:tcPr>
          <w:p w:rsidR="00E520A4" w:rsidRDefault="00137FC7" w:rsidP="00FE7A47">
            <w:pPr>
              <w:spacing w:before="60" w:after="60"/>
            </w:pPr>
            <w:r>
              <w:t xml:space="preserve">Dividends on </w:t>
            </w:r>
            <w:r w:rsidR="0098029B">
              <w:t xml:space="preserve">ordinary or </w:t>
            </w:r>
            <w:r w:rsidR="00E520A4">
              <w:t>‘</w:t>
            </w:r>
            <w:r>
              <w:t>equity</w:t>
            </w:r>
            <w:r w:rsidR="0098029B">
              <w:t>’</w:t>
            </w:r>
            <w:r>
              <w:t xml:space="preserve"> shares in the notes to the P&amp;L </w:t>
            </w:r>
            <w:r w:rsidR="0098029B">
              <w:t>should be tagged</w:t>
            </w:r>
            <w:r>
              <w:t xml:space="preserve"> </w:t>
            </w:r>
            <w:r w:rsidR="0098029B">
              <w:t xml:space="preserve">by </w:t>
            </w:r>
            <w:r>
              <w:t>combining the appropriate dividend</w:t>
            </w:r>
            <w:r w:rsidR="0098029B">
              <w:t xml:space="preserve"> payment</w:t>
            </w:r>
            <w:r>
              <w:t xml:space="preserve"> line item tags and </w:t>
            </w:r>
            <w:r w:rsidR="00E520A4">
              <w:t xml:space="preserve">ordinary shares dimension tags.  </w:t>
            </w:r>
            <w:r w:rsidR="00E520A4" w:rsidRPr="00E520A4">
              <w:t xml:space="preserve">Dividends on </w:t>
            </w:r>
            <w:r w:rsidR="0098029B">
              <w:t xml:space="preserve">preference or </w:t>
            </w:r>
            <w:r w:rsidR="00E520A4">
              <w:t>‘</w:t>
            </w:r>
            <w:r w:rsidR="00E520A4" w:rsidRPr="00E520A4">
              <w:t>non-equity</w:t>
            </w:r>
            <w:r w:rsidR="00E520A4">
              <w:t>’</w:t>
            </w:r>
            <w:r w:rsidR="00E520A4" w:rsidRPr="00E520A4">
              <w:t xml:space="preserve"> shares </w:t>
            </w:r>
            <w:r w:rsidR="0098029B">
              <w:t xml:space="preserve">should be tagged by </w:t>
            </w:r>
            <w:r w:rsidR="00E520A4" w:rsidRPr="00E520A4">
              <w:t>combining dividend</w:t>
            </w:r>
            <w:r w:rsidR="0098029B">
              <w:t xml:space="preserve"> payment</w:t>
            </w:r>
            <w:r w:rsidR="00E520A4" w:rsidRPr="00E520A4">
              <w:t xml:space="preserve"> line item tags with the preference share dimension tags. </w:t>
            </w:r>
            <w:r w:rsidR="00E520A4">
              <w:t xml:space="preserve"> </w:t>
            </w:r>
          </w:p>
          <w:p w:rsidR="00137FC7" w:rsidRPr="00E520A4" w:rsidRDefault="00E520A4" w:rsidP="00FE7A47">
            <w:pPr>
              <w:spacing w:before="60" w:after="60"/>
            </w:pPr>
            <w:r w:rsidRPr="00E520A4">
              <w:t xml:space="preserve">See </w:t>
            </w:r>
            <w:hyperlink w:anchor="XR_ShareCapital" w:history="1">
              <w:r w:rsidRPr="00E520A4">
                <w:rPr>
                  <w:rStyle w:val="Hyperlink"/>
                </w:rPr>
                <w:t>item</w:t>
              </w:r>
              <w:r w:rsidRPr="00E520A4">
                <w:rPr>
                  <w:rStyle w:val="Hyperlink"/>
                </w:rPr>
                <w:t xml:space="preserve"> </w:t>
              </w:r>
              <w:r w:rsidRPr="00E520A4">
                <w:rPr>
                  <w:rStyle w:val="Hyperlink"/>
                </w:rPr>
                <w:t>8</w:t>
              </w:r>
              <w:r w:rsidRPr="00E520A4">
                <w:rPr>
                  <w:rStyle w:val="Hyperlink"/>
                </w:rPr>
                <w:t>.4</w:t>
              </w:r>
              <w:r w:rsidR="00321B67">
                <w:rPr>
                  <w:rStyle w:val="Hyperlink"/>
                </w:rPr>
                <w:t>2</w:t>
              </w:r>
            </w:hyperlink>
            <w:r w:rsidRPr="00E520A4">
              <w:t xml:space="preserve"> on Share capital for more information on use of the </w:t>
            </w:r>
            <w:r w:rsidRPr="0098029B">
              <w:rPr>
                <w:i/>
              </w:rPr>
              <w:t>Share classes</w:t>
            </w:r>
            <w:r w:rsidRPr="00E520A4">
              <w:t xml:space="preserve"> and </w:t>
            </w:r>
            <w:r w:rsidRPr="0098029B">
              <w:rPr>
                <w:i/>
              </w:rPr>
              <w:t>Share types</w:t>
            </w:r>
            <w:r w:rsidRPr="00E520A4">
              <w:t xml:space="preserve"> dimensions.  </w:t>
            </w:r>
          </w:p>
          <w:p w:rsidR="00137FC7" w:rsidRDefault="00137FC7" w:rsidP="00FE7A47">
            <w:pPr>
              <w:spacing w:before="60" w:after="60"/>
              <w:rPr>
                <w:rFonts w:cs="Arial"/>
              </w:rPr>
            </w:pPr>
            <w:r>
              <w:t>Note, however, that dividends reported under cash flow may not match dividends reported under notes to the P&amp;L, principally for timing reasons.  The tags '</w:t>
            </w:r>
            <w:r>
              <w:rPr>
                <w:i/>
                <w:iCs/>
                <w:color w:val="DD0806"/>
              </w:rPr>
              <w:t>Equity dividends paid</w:t>
            </w:r>
            <w:r>
              <w:t>' and '</w:t>
            </w:r>
            <w:r>
              <w:rPr>
                <w:i/>
                <w:iCs/>
                <w:color w:val="DD0806"/>
              </w:rPr>
              <w:t>Preference dividends paid, cash flow</w:t>
            </w:r>
            <w:r>
              <w:t xml:space="preserve">' exist under the </w:t>
            </w:r>
            <w:r>
              <w:rPr>
                <w:i/>
                <w:iCs/>
                <w:color w:val="006411"/>
              </w:rPr>
              <w:t>Cash Flow Statement</w:t>
            </w:r>
            <w:r>
              <w:t xml:space="preserve"> and </w:t>
            </w:r>
            <w:r w:rsidR="00B54B4C">
              <w:t xml:space="preserve">its </w:t>
            </w:r>
            <w:r>
              <w:t xml:space="preserve">related notes section to represent the amount reported for dividends under cash flow for ordinary and preference shares respectively.  </w:t>
            </w:r>
          </w:p>
        </w:tc>
      </w:tr>
      <w:tr w:rsidR="00137FC7" w:rsidRPr="00857A0A" w:rsidTr="00CF6472">
        <w:trPr>
          <w:cantSplit/>
          <w:trHeight w:val="240"/>
        </w:trPr>
        <w:tc>
          <w:tcPr>
            <w:tcW w:w="6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7FC7" w:rsidRDefault="00137FC7">
            <w:pPr>
              <w:rPr>
                <w:rFonts w:cs="Arial"/>
              </w:rPr>
            </w:pPr>
            <w:r>
              <w:t>8.25</w:t>
            </w:r>
          </w:p>
        </w:tc>
        <w:tc>
          <w:tcPr>
            <w:tcW w:w="1721" w:type="dxa"/>
            <w:tcBorders>
              <w:top w:val="single" w:sz="4" w:space="0" w:color="auto"/>
              <w:left w:val="nil"/>
              <w:bottom w:val="single" w:sz="4" w:space="0" w:color="auto"/>
              <w:right w:val="single" w:sz="4" w:space="0" w:color="auto"/>
            </w:tcBorders>
            <w:shd w:val="clear" w:color="auto" w:fill="auto"/>
            <w:vAlign w:val="center"/>
          </w:tcPr>
          <w:p w:rsidR="00137FC7" w:rsidRPr="00857A0A" w:rsidRDefault="00137FC7" w:rsidP="00857A0A">
            <w:pPr>
              <w:spacing w:before="60" w:after="60"/>
              <w:jc w:val="left"/>
              <w:rPr>
                <w:rFonts w:eastAsia="Times New Roman" w:cs="Arial"/>
                <w:lang w:val="en-US" w:eastAsia="en-US"/>
              </w:rPr>
            </w:pPr>
            <w:r w:rsidRPr="00857A0A">
              <w:rPr>
                <w:rFonts w:eastAsia="Times New Roman" w:cs="Arial"/>
                <w:lang w:val="en-US" w:eastAsia="en-US"/>
              </w:rPr>
              <w:t>Final dividends</w:t>
            </w:r>
          </w:p>
        </w:tc>
        <w:tc>
          <w:tcPr>
            <w:tcW w:w="6894" w:type="dxa"/>
            <w:tcBorders>
              <w:top w:val="single" w:sz="4" w:space="0" w:color="auto"/>
              <w:left w:val="nil"/>
              <w:bottom w:val="single" w:sz="4" w:space="0" w:color="auto"/>
              <w:right w:val="single" w:sz="4" w:space="0" w:color="auto"/>
            </w:tcBorders>
            <w:shd w:val="clear" w:color="auto" w:fill="auto"/>
            <w:vAlign w:val="center"/>
          </w:tcPr>
          <w:p w:rsidR="00137FC7" w:rsidRDefault="00137FC7" w:rsidP="00857A0A">
            <w:pPr>
              <w:spacing w:before="60" w:after="60"/>
              <w:jc w:val="left"/>
              <w:rPr>
                <w:rFonts w:eastAsia="Times New Roman" w:cs="Arial"/>
                <w:lang w:val="en-US" w:eastAsia="en-US"/>
              </w:rPr>
            </w:pPr>
            <w:r w:rsidRPr="00857A0A">
              <w:rPr>
                <w:rFonts w:eastAsia="Times New Roman" w:cs="Arial"/>
                <w:lang w:val="en-US" w:eastAsia="en-US"/>
              </w:rPr>
              <w:t>If a final dividend paid in the current year is described as being in respect of the prior year, it should still be tagged as a final dividend payment with current year context.  (If, in very unusual circumstances, two final dividends are paid, one in respect of the current year and one in respect of the prior year, the latter should be identified with the '</w:t>
            </w:r>
            <w:r w:rsidRPr="00CF072D">
              <w:rPr>
                <w:rFonts w:eastAsia="Times New Roman" w:cs="Arial"/>
                <w:i/>
                <w:iCs/>
                <w:color w:val="DD0806"/>
                <w:lang w:val="en-US" w:eastAsia="en-US"/>
              </w:rPr>
              <w:t>Final other dividend payment</w:t>
            </w:r>
            <w:r>
              <w:rPr>
                <w:rFonts w:eastAsia="Times New Roman" w:cs="Arial"/>
                <w:lang w:val="en-US" w:eastAsia="en-US"/>
              </w:rPr>
              <w:t xml:space="preserve">‘ </w:t>
            </w:r>
            <w:r w:rsidRPr="00857A0A">
              <w:rPr>
                <w:rFonts w:eastAsia="Times New Roman" w:cs="Arial"/>
                <w:lang w:val="en-US" w:eastAsia="en-US"/>
              </w:rPr>
              <w:t>tag.)</w:t>
            </w:r>
          </w:p>
          <w:p w:rsidR="00137FC7" w:rsidRPr="00857A0A" w:rsidRDefault="00137FC7" w:rsidP="00857A0A">
            <w:pPr>
              <w:spacing w:before="60" w:after="60"/>
              <w:jc w:val="left"/>
              <w:rPr>
                <w:rFonts w:eastAsia="Times New Roman" w:cs="Arial"/>
                <w:lang w:val="en-US" w:eastAsia="en-US"/>
              </w:rPr>
            </w:pPr>
            <w:r w:rsidRPr="00857A0A">
              <w:rPr>
                <w:rFonts w:eastAsia="Times New Roman" w:cs="Arial"/>
                <w:lang w:val="en-US" w:eastAsia="en-US"/>
              </w:rPr>
              <w:t xml:space="preserve">Dividends proposed, but not paid in the current year can be distinguished by use of the </w:t>
            </w:r>
            <w:r w:rsidRPr="00857A0A">
              <w:rPr>
                <w:rFonts w:eastAsia="Times New Roman" w:cs="Arial"/>
                <w:i/>
                <w:iCs/>
                <w:lang w:val="en-US" w:eastAsia="en-US"/>
              </w:rPr>
              <w:t>Dividends</w:t>
            </w:r>
            <w:r w:rsidRPr="00857A0A">
              <w:rPr>
                <w:rFonts w:eastAsia="Times New Roman" w:cs="Arial"/>
                <w:lang w:val="en-US" w:eastAsia="en-US"/>
              </w:rPr>
              <w:t xml:space="preserve"> dimension.   The tag '</w:t>
            </w:r>
            <w:r w:rsidRPr="00CF072D">
              <w:rPr>
                <w:rFonts w:eastAsia="Times New Roman" w:cs="Arial"/>
                <w:i/>
                <w:iCs/>
                <w:color w:val="DD0806"/>
                <w:lang w:val="en-US" w:eastAsia="en-US"/>
              </w:rPr>
              <w:t>Aggregate dividends proposed before date of approval of accounts and not otherwise disclosed</w:t>
            </w:r>
            <w:r>
              <w:rPr>
                <w:rFonts w:eastAsia="Times New Roman" w:cs="Arial"/>
                <w:lang w:val="en-US" w:eastAsia="en-US"/>
              </w:rPr>
              <w:t xml:space="preserve">' is also available in the </w:t>
            </w:r>
            <w:r w:rsidRPr="00CF072D">
              <w:rPr>
                <w:rFonts w:eastAsia="Times New Roman" w:cs="Arial"/>
                <w:i/>
                <w:iCs/>
                <w:color w:val="008000"/>
                <w:lang w:val="en-US" w:eastAsia="en-US"/>
              </w:rPr>
              <w:t>Reserves and dividends</w:t>
            </w:r>
            <w:r w:rsidRPr="00857A0A">
              <w:rPr>
                <w:rFonts w:eastAsia="Times New Roman" w:cs="Arial"/>
                <w:lang w:val="en-US" w:eastAsia="en-US"/>
              </w:rPr>
              <w:t xml:space="preserve"> section of the taxonomy, if that fits the data being disclosed.</w:t>
            </w:r>
          </w:p>
        </w:tc>
      </w:tr>
      <w:tr w:rsidR="00137FC7" w:rsidRPr="00857A0A" w:rsidTr="00CF6472">
        <w:trPr>
          <w:cantSplit/>
          <w:trHeight w:val="240"/>
        </w:trPr>
        <w:tc>
          <w:tcPr>
            <w:tcW w:w="6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7FC7" w:rsidRDefault="00137FC7">
            <w:pPr>
              <w:rPr>
                <w:rFonts w:cs="Arial"/>
              </w:rPr>
            </w:pPr>
            <w:r w:rsidRPr="00137FC7">
              <w:rPr>
                <w:highlight w:val="yellow"/>
              </w:rPr>
              <w:t>8.26</w:t>
            </w:r>
          </w:p>
        </w:tc>
        <w:tc>
          <w:tcPr>
            <w:tcW w:w="1721" w:type="dxa"/>
            <w:tcBorders>
              <w:top w:val="single" w:sz="4" w:space="0" w:color="auto"/>
              <w:left w:val="nil"/>
              <w:bottom w:val="single" w:sz="4" w:space="0" w:color="auto"/>
              <w:right w:val="single" w:sz="4" w:space="0" w:color="auto"/>
            </w:tcBorders>
            <w:shd w:val="clear" w:color="auto" w:fill="auto"/>
            <w:vAlign w:val="center"/>
          </w:tcPr>
          <w:p w:rsidR="00137FC7" w:rsidRPr="009C0E81" w:rsidRDefault="00137FC7" w:rsidP="00857A0A">
            <w:pPr>
              <w:spacing w:before="60" w:after="60"/>
              <w:jc w:val="left"/>
              <w:rPr>
                <w:rFonts w:eastAsia="Times New Roman" w:cs="Arial"/>
                <w:highlight w:val="yellow"/>
                <w:lang w:val="en-US" w:eastAsia="en-US"/>
              </w:rPr>
            </w:pPr>
            <w:r w:rsidRPr="009C0E81">
              <w:rPr>
                <w:rFonts w:eastAsia="Times New Roman" w:cs="Arial"/>
                <w:highlight w:val="yellow"/>
                <w:lang w:val="en-US" w:eastAsia="en-US"/>
              </w:rPr>
              <w:t>Extraordinary items</w:t>
            </w:r>
          </w:p>
        </w:tc>
        <w:tc>
          <w:tcPr>
            <w:tcW w:w="6894" w:type="dxa"/>
            <w:tcBorders>
              <w:top w:val="single" w:sz="4" w:space="0" w:color="auto"/>
              <w:left w:val="nil"/>
              <w:bottom w:val="single" w:sz="4" w:space="0" w:color="auto"/>
              <w:right w:val="single" w:sz="4" w:space="0" w:color="auto"/>
            </w:tcBorders>
            <w:shd w:val="clear" w:color="auto" w:fill="auto"/>
            <w:vAlign w:val="center"/>
          </w:tcPr>
          <w:p w:rsidR="00137FC7" w:rsidRPr="00857A0A" w:rsidRDefault="00137FC7" w:rsidP="00857A0A">
            <w:pPr>
              <w:spacing w:before="60" w:after="60"/>
              <w:jc w:val="left"/>
              <w:rPr>
                <w:rFonts w:eastAsia="Times New Roman" w:cs="Arial"/>
                <w:lang w:val="en-US" w:eastAsia="en-US"/>
              </w:rPr>
            </w:pPr>
            <w:r w:rsidRPr="00857A0A">
              <w:rPr>
                <w:rFonts w:eastAsia="Times New Roman" w:cs="Arial"/>
                <w:lang w:val="en-US" w:eastAsia="en-US"/>
              </w:rPr>
              <w:t xml:space="preserve">The tag 'Description of basis of apportionment of tax between extraordinary and exceptional items' is incorrectly set as a monetary instead of a string item and cannot be used.  </w:t>
            </w:r>
          </w:p>
        </w:tc>
      </w:tr>
    </w:tbl>
    <w:p w:rsidR="00B83151" w:rsidRDefault="00B83151" w:rsidP="00B83151">
      <w:pPr>
        <w:rPr>
          <w:rFonts w:cs="Arial"/>
        </w:rPr>
      </w:pPr>
    </w:p>
    <w:p w:rsidR="00756A14" w:rsidRDefault="00936850" w:rsidP="00510B49">
      <w:pPr>
        <w:pStyle w:val="Heading2"/>
      </w:pPr>
      <w:r>
        <w:br w:type="page"/>
      </w:r>
      <w:bookmarkStart w:id="28" w:name="_Toc292036834"/>
      <w:r w:rsidR="00510B49">
        <w:lastRenderedPageBreak/>
        <w:t>GAAP – Notes to Balance Sheet</w:t>
      </w:r>
      <w:bookmarkEnd w:id="28"/>
    </w:p>
    <w:p w:rsidR="00756A14" w:rsidRDefault="00756A14" w:rsidP="00B83151">
      <w:pPr>
        <w:rPr>
          <w:rFonts w:cs="Arial"/>
        </w:rPr>
      </w:pPr>
    </w:p>
    <w:tbl>
      <w:tblPr>
        <w:tblW w:w="9231" w:type="dxa"/>
        <w:tblInd w:w="91" w:type="dxa"/>
        <w:tblLook w:val="0000"/>
      </w:tblPr>
      <w:tblGrid>
        <w:gridCol w:w="606"/>
        <w:gridCol w:w="1720"/>
        <w:gridCol w:w="6905"/>
      </w:tblGrid>
      <w:tr w:rsidR="00B83151" w:rsidRPr="00D50F7D" w:rsidTr="00B54B4C">
        <w:trPr>
          <w:cantSplit/>
          <w:trHeight w:val="240"/>
          <w:tblHeader/>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ID</w:t>
            </w:r>
          </w:p>
        </w:tc>
        <w:tc>
          <w:tcPr>
            <w:tcW w:w="1720" w:type="dxa"/>
            <w:tcBorders>
              <w:top w:val="single" w:sz="4" w:space="0" w:color="auto"/>
              <w:left w:val="nil"/>
              <w:bottom w:val="single" w:sz="4" w:space="0" w:color="auto"/>
              <w:right w:val="single" w:sz="4" w:space="0" w:color="auto"/>
            </w:tcBorders>
            <w:shd w:val="clear" w:color="auto" w:fill="auto"/>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Item</w:t>
            </w:r>
          </w:p>
        </w:tc>
        <w:tc>
          <w:tcPr>
            <w:tcW w:w="6905" w:type="dxa"/>
            <w:tcBorders>
              <w:top w:val="single" w:sz="4" w:space="0" w:color="auto"/>
              <w:left w:val="nil"/>
              <w:bottom w:val="single" w:sz="4" w:space="0" w:color="auto"/>
              <w:right w:val="single" w:sz="4" w:space="0" w:color="auto"/>
            </w:tcBorders>
            <w:shd w:val="clear" w:color="auto" w:fill="auto"/>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Description</w:t>
            </w:r>
          </w:p>
        </w:tc>
      </w:tr>
      <w:tr w:rsidR="009C0E81" w:rsidRPr="009C0E81" w:rsidTr="00B54B4C">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9C0E81" w:rsidRPr="009C0E81" w:rsidRDefault="00B54B4C" w:rsidP="009C0E81">
            <w:pPr>
              <w:spacing w:before="60" w:after="60"/>
              <w:jc w:val="left"/>
              <w:rPr>
                <w:rFonts w:eastAsia="Times New Roman" w:cs="Arial"/>
                <w:lang w:val="en-US" w:eastAsia="en-US"/>
              </w:rPr>
            </w:pPr>
            <w:r>
              <w:rPr>
                <w:rFonts w:eastAsia="Times New Roman" w:cs="Arial"/>
                <w:lang w:val="en-US" w:eastAsia="en-US"/>
              </w:rPr>
              <w:t>8.2</w:t>
            </w:r>
            <w:r w:rsidR="00321B67">
              <w:rPr>
                <w:rFonts w:eastAsia="Times New Roman" w:cs="Arial"/>
                <w:lang w:val="en-US" w:eastAsia="en-US"/>
              </w:rPr>
              <w:t>7</w:t>
            </w:r>
          </w:p>
        </w:tc>
        <w:tc>
          <w:tcPr>
            <w:tcW w:w="1720" w:type="dxa"/>
            <w:tcBorders>
              <w:top w:val="single" w:sz="4" w:space="0" w:color="auto"/>
              <w:left w:val="nil"/>
              <w:bottom w:val="single" w:sz="4" w:space="0" w:color="auto"/>
              <w:right w:val="single" w:sz="4" w:space="0" w:color="auto"/>
            </w:tcBorders>
            <w:shd w:val="clear" w:color="auto" w:fill="auto"/>
            <w:vAlign w:val="center"/>
          </w:tcPr>
          <w:p w:rsidR="009C0E81" w:rsidRPr="009C0E81" w:rsidRDefault="009C0E81" w:rsidP="009C0E81">
            <w:pPr>
              <w:spacing w:before="60" w:after="60"/>
              <w:jc w:val="left"/>
              <w:rPr>
                <w:rFonts w:eastAsia="Times New Roman" w:cs="Arial"/>
                <w:lang w:val="en-US" w:eastAsia="en-US"/>
              </w:rPr>
            </w:pPr>
            <w:bookmarkStart w:id="29" w:name="XR_CreditorsDebtors"/>
            <w:r w:rsidRPr="009C0E81">
              <w:rPr>
                <w:rFonts w:eastAsia="Times New Roman" w:cs="Arial"/>
                <w:lang w:val="en-US" w:eastAsia="en-US"/>
              </w:rPr>
              <w:t>Creditors and debtors, borrowings and loans</w:t>
            </w:r>
            <w:bookmarkEnd w:id="29"/>
          </w:p>
        </w:tc>
        <w:tc>
          <w:tcPr>
            <w:tcW w:w="6905" w:type="dxa"/>
            <w:tcBorders>
              <w:top w:val="single" w:sz="4" w:space="0" w:color="auto"/>
              <w:left w:val="nil"/>
              <w:bottom w:val="single" w:sz="4" w:space="0" w:color="auto"/>
              <w:right w:val="single" w:sz="4" w:space="0" w:color="auto"/>
            </w:tcBorders>
            <w:shd w:val="clear" w:color="auto" w:fill="auto"/>
            <w:vAlign w:val="center"/>
          </w:tcPr>
          <w:p w:rsidR="00832C07" w:rsidRDefault="009C0E81" w:rsidP="009C0E81">
            <w:pPr>
              <w:spacing w:before="60" w:after="60"/>
              <w:jc w:val="left"/>
              <w:rPr>
                <w:rFonts w:eastAsia="Times New Roman" w:cs="Arial"/>
                <w:lang w:val="en-US" w:eastAsia="en-US"/>
              </w:rPr>
            </w:pPr>
            <w:r w:rsidRPr="009C0E81">
              <w:rPr>
                <w:rFonts w:eastAsia="Times New Roman" w:cs="Arial"/>
                <w:lang w:val="en-US" w:eastAsia="en-US"/>
              </w:rPr>
              <w:t xml:space="preserve">The 'creditors' and 'debtors' sections of the taxonomy contain tags which represent typical GAAP disclosures, including those for 'within one year' and 'after one </w:t>
            </w:r>
            <w:r w:rsidR="00686066" w:rsidRPr="009C0E81">
              <w:rPr>
                <w:rFonts w:eastAsia="Times New Roman" w:cs="Arial"/>
                <w:lang w:val="en-US" w:eastAsia="en-US"/>
              </w:rPr>
              <w:t>year’.</w:t>
            </w:r>
            <w:r w:rsidRPr="009C0E81">
              <w:rPr>
                <w:rFonts w:eastAsia="Times New Roman" w:cs="Arial"/>
                <w:lang w:val="en-US" w:eastAsia="en-US"/>
              </w:rPr>
              <w:t xml:space="preserve">  </w:t>
            </w:r>
          </w:p>
          <w:p w:rsidR="0043483A" w:rsidRDefault="009C0E81" w:rsidP="009C0E81">
            <w:pPr>
              <w:spacing w:before="60" w:after="60"/>
              <w:jc w:val="left"/>
              <w:rPr>
                <w:rFonts w:eastAsia="Times New Roman" w:cs="Arial"/>
                <w:lang w:val="en-US" w:eastAsia="en-US"/>
              </w:rPr>
            </w:pPr>
            <w:r w:rsidRPr="009C0E81">
              <w:rPr>
                <w:rFonts w:eastAsia="Times New Roman" w:cs="Arial"/>
                <w:lang w:val="en-US" w:eastAsia="en-US"/>
              </w:rPr>
              <w:t>However, tags for borrowings and other financial instruments</w:t>
            </w:r>
            <w:r w:rsidR="00832C07">
              <w:rPr>
                <w:rFonts w:eastAsia="Times New Roman" w:cs="Arial"/>
                <w:lang w:val="en-US" w:eastAsia="en-US"/>
              </w:rPr>
              <w:t xml:space="preserve"> covered by</w:t>
            </w:r>
            <w:r w:rsidR="00832C07" w:rsidRPr="00FC5A0F">
              <w:rPr>
                <w:rFonts w:eastAsia="Times New Roman" w:cs="Arial"/>
                <w:lang w:val="en-US" w:eastAsia="en-US"/>
              </w:rPr>
              <w:t xml:space="preserve"> the latest financial instrument regulations</w:t>
            </w:r>
            <w:r w:rsidRPr="009C0E81">
              <w:rPr>
                <w:rFonts w:eastAsia="Times New Roman" w:cs="Arial"/>
                <w:lang w:val="en-US" w:eastAsia="en-US"/>
              </w:rPr>
              <w:t xml:space="preserve"> are in </w:t>
            </w:r>
            <w:r w:rsidRPr="009C0E81">
              <w:rPr>
                <w:rFonts w:eastAsia="Times New Roman" w:cs="Arial"/>
                <w:b/>
                <w:bCs/>
                <w:lang w:val="en-US" w:eastAsia="en-US"/>
              </w:rPr>
              <w:t>separate</w:t>
            </w:r>
            <w:r w:rsidRPr="009C0E81">
              <w:rPr>
                <w:rFonts w:eastAsia="Times New Roman" w:cs="Arial"/>
                <w:lang w:val="en-US" w:eastAsia="en-US"/>
              </w:rPr>
              <w:t xml:space="preserve"> sections and are attached to financial instrument dimensions.   Their tagging follows a different pattern:  for example, values for such financial instruments within and after one year are</w:t>
            </w:r>
            <w:r w:rsidR="004E5940">
              <w:rPr>
                <w:rFonts w:eastAsia="Times New Roman" w:cs="Arial"/>
                <w:lang w:val="en-US" w:eastAsia="en-US"/>
              </w:rPr>
              <w:t xml:space="preserve"> distinguished using the </w:t>
            </w:r>
            <w:r w:rsidR="004E5940" w:rsidRPr="004E5940">
              <w:rPr>
                <w:rFonts w:eastAsia="Times New Roman" w:cs="Arial"/>
                <w:i/>
                <w:lang w:val="en-US" w:eastAsia="en-US"/>
              </w:rPr>
              <w:t>M</w:t>
            </w:r>
            <w:r w:rsidRPr="004E5940">
              <w:rPr>
                <w:rFonts w:eastAsia="Times New Roman" w:cs="Arial"/>
                <w:i/>
                <w:lang w:val="en-US" w:eastAsia="en-US"/>
              </w:rPr>
              <w:t>aturities</w:t>
            </w:r>
            <w:r w:rsidRPr="009C0E81">
              <w:rPr>
                <w:rFonts w:eastAsia="Times New Roman" w:cs="Arial"/>
                <w:lang w:val="en-US" w:eastAsia="en-US"/>
              </w:rPr>
              <w:t xml:space="preserve"> dimension.   </w:t>
            </w:r>
          </w:p>
          <w:p w:rsidR="009C0E81" w:rsidRPr="009C0E81" w:rsidRDefault="009C0E81" w:rsidP="009C0E81">
            <w:pPr>
              <w:spacing w:before="60" w:after="60"/>
              <w:jc w:val="left"/>
              <w:rPr>
                <w:rFonts w:eastAsia="Times New Roman" w:cs="Arial"/>
                <w:lang w:val="en-US" w:eastAsia="en-US"/>
              </w:rPr>
            </w:pPr>
            <w:r w:rsidRPr="009C0E81">
              <w:rPr>
                <w:rFonts w:eastAsia="Times New Roman" w:cs="Arial"/>
                <w:lang w:val="en-US" w:eastAsia="en-US"/>
              </w:rPr>
              <w:t>The taxonomy thus mixes two approaches.  One uses line item tags to represent typical GAAP items, including items with different maturities.  The other uses line item tags in combination with dimensions to represent a range of finan</w:t>
            </w:r>
            <w:r w:rsidR="00CF072D">
              <w:rPr>
                <w:rFonts w:eastAsia="Times New Roman" w:cs="Arial"/>
                <w:lang w:val="en-US" w:eastAsia="en-US"/>
              </w:rPr>
              <w:t xml:space="preserve">cial instrument disclosures.  </w:t>
            </w:r>
            <w:r w:rsidRPr="009C0E81">
              <w:rPr>
                <w:rFonts w:eastAsia="Times New Roman" w:cs="Arial"/>
                <w:lang w:val="en-US" w:eastAsia="en-US"/>
              </w:rPr>
              <w:t>This mix reflects the present nature in GAAP itself</w:t>
            </w:r>
            <w:r w:rsidR="00686066" w:rsidRPr="009C0E81">
              <w:rPr>
                <w:rFonts w:eastAsia="Times New Roman" w:cs="Arial"/>
                <w:lang w:val="en-US" w:eastAsia="en-US"/>
              </w:rPr>
              <w:t>, which</w:t>
            </w:r>
            <w:r w:rsidRPr="009C0E81">
              <w:rPr>
                <w:rFonts w:eastAsia="Times New Roman" w:cs="Arial"/>
                <w:lang w:val="en-US" w:eastAsia="en-US"/>
              </w:rPr>
              <w:t xml:space="preserve"> combines long established approaches with new regulations on financial instruments taken from International Accounting Standards.  </w:t>
            </w:r>
          </w:p>
        </w:tc>
      </w:tr>
      <w:tr w:rsidR="009C0E81" w:rsidRPr="009C0E81" w:rsidTr="00B54B4C">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9C0E81" w:rsidRPr="009C0E81" w:rsidRDefault="00B54B4C" w:rsidP="009C0E81">
            <w:pPr>
              <w:spacing w:before="60" w:after="60"/>
              <w:jc w:val="left"/>
              <w:rPr>
                <w:rFonts w:eastAsia="Times New Roman" w:cs="Arial"/>
                <w:lang w:val="en-US" w:eastAsia="en-US"/>
              </w:rPr>
            </w:pPr>
            <w:r>
              <w:rPr>
                <w:rFonts w:eastAsia="Times New Roman" w:cs="Arial"/>
                <w:lang w:val="en-US" w:eastAsia="en-US"/>
              </w:rPr>
              <w:t>8.2</w:t>
            </w:r>
            <w:r w:rsidR="00321B67">
              <w:rPr>
                <w:rFonts w:eastAsia="Times New Roman" w:cs="Arial"/>
                <w:lang w:val="en-US" w:eastAsia="en-US"/>
              </w:rPr>
              <w:t>8</w:t>
            </w:r>
          </w:p>
        </w:tc>
        <w:tc>
          <w:tcPr>
            <w:tcW w:w="1720" w:type="dxa"/>
            <w:tcBorders>
              <w:top w:val="single" w:sz="4" w:space="0" w:color="auto"/>
              <w:left w:val="nil"/>
              <w:bottom w:val="single" w:sz="4" w:space="0" w:color="auto"/>
              <w:right w:val="single" w:sz="4" w:space="0" w:color="auto"/>
            </w:tcBorders>
            <w:shd w:val="clear" w:color="auto" w:fill="auto"/>
            <w:vAlign w:val="center"/>
          </w:tcPr>
          <w:p w:rsidR="009C0E81" w:rsidRPr="009C0E81" w:rsidRDefault="009C0E81" w:rsidP="009C0E81">
            <w:pPr>
              <w:spacing w:before="60" w:after="60"/>
              <w:jc w:val="left"/>
              <w:rPr>
                <w:rFonts w:eastAsia="Times New Roman" w:cs="Arial"/>
                <w:lang w:val="en-US" w:eastAsia="en-US"/>
              </w:rPr>
            </w:pPr>
            <w:r w:rsidRPr="009C0E81">
              <w:rPr>
                <w:rFonts w:eastAsia="Times New Roman" w:cs="Arial"/>
                <w:lang w:val="en-US" w:eastAsia="en-US"/>
              </w:rPr>
              <w:t>Leased assets included in tangible assets</w:t>
            </w:r>
          </w:p>
        </w:tc>
        <w:tc>
          <w:tcPr>
            <w:tcW w:w="6905" w:type="dxa"/>
            <w:tcBorders>
              <w:top w:val="single" w:sz="4" w:space="0" w:color="auto"/>
              <w:left w:val="nil"/>
              <w:bottom w:val="single" w:sz="4" w:space="0" w:color="auto"/>
              <w:right w:val="single" w:sz="4" w:space="0" w:color="auto"/>
            </w:tcBorders>
            <w:shd w:val="clear" w:color="auto" w:fill="auto"/>
            <w:vAlign w:val="center"/>
          </w:tcPr>
          <w:p w:rsidR="0043483A" w:rsidRDefault="009C0E81" w:rsidP="009C0E81">
            <w:pPr>
              <w:spacing w:before="60" w:after="60"/>
              <w:jc w:val="left"/>
              <w:rPr>
                <w:rFonts w:eastAsia="Times New Roman" w:cs="Arial"/>
                <w:lang w:val="en-US" w:eastAsia="en-US"/>
              </w:rPr>
            </w:pPr>
            <w:r w:rsidRPr="009C0E81">
              <w:rPr>
                <w:rFonts w:eastAsia="Times New Roman" w:cs="Arial"/>
                <w:lang w:val="en-US" w:eastAsia="en-US"/>
              </w:rPr>
              <w:t>The suggested means of tagging leased assets included in tangible assets is to use the appropriate leas</w:t>
            </w:r>
            <w:r w:rsidR="00CE30B2">
              <w:rPr>
                <w:rFonts w:eastAsia="Times New Roman" w:cs="Arial"/>
                <w:lang w:val="en-US" w:eastAsia="en-US"/>
              </w:rPr>
              <w:t xml:space="preserve">ed asset dimension tags in the </w:t>
            </w:r>
            <w:r w:rsidRPr="00CE30B2">
              <w:rPr>
                <w:rFonts w:eastAsia="Times New Roman" w:cs="Arial"/>
                <w:i/>
                <w:lang w:val="en-US" w:eastAsia="en-US"/>
              </w:rPr>
              <w:t>Fixed asset ownership</w:t>
            </w:r>
            <w:r w:rsidRPr="009C0E81">
              <w:rPr>
                <w:rFonts w:eastAsia="Times New Roman" w:cs="Arial"/>
                <w:lang w:val="en-US" w:eastAsia="en-US"/>
              </w:rPr>
              <w:t xml:space="preserve"> dimension.  </w:t>
            </w:r>
          </w:p>
          <w:p w:rsidR="009C0E81" w:rsidRPr="009C0E81" w:rsidRDefault="009C0E81" w:rsidP="009C0E81">
            <w:pPr>
              <w:spacing w:before="60" w:after="60"/>
              <w:jc w:val="left"/>
              <w:rPr>
                <w:rFonts w:eastAsia="Times New Roman" w:cs="Arial"/>
                <w:lang w:val="en-US" w:eastAsia="en-US"/>
              </w:rPr>
            </w:pPr>
            <w:r w:rsidRPr="009C0E81">
              <w:rPr>
                <w:rFonts w:eastAsia="Times New Roman" w:cs="Arial"/>
                <w:lang w:val="en-US" w:eastAsia="en-US"/>
              </w:rPr>
              <w:t>However, preparers may alternatively use the tags in the</w:t>
            </w:r>
            <w:r w:rsidR="00CE30B2">
              <w:rPr>
                <w:rFonts w:eastAsia="Times New Roman" w:cs="Arial"/>
                <w:lang w:val="en-US" w:eastAsia="en-US"/>
              </w:rPr>
              <w:t xml:space="preserve"> </w:t>
            </w:r>
            <w:r w:rsidRPr="00CE30B2">
              <w:rPr>
                <w:rFonts w:eastAsia="Times New Roman" w:cs="Arial"/>
                <w:i/>
                <w:iCs/>
                <w:color w:val="008000"/>
                <w:lang w:val="en-US" w:eastAsia="en-US"/>
              </w:rPr>
              <w:t>Leased assets included in figures, tangible fixed assets - movement analysis</w:t>
            </w:r>
            <w:r w:rsidR="00CE30B2">
              <w:rPr>
                <w:rFonts w:eastAsia="Times New Roman" w:cs="Arial"/>
                <w:lang w:val="en-US" w:eastAsia="en-US"/>
              </w:rPr>
              <w:t xml:space="preserve"> </w:t>
            </w:r>
            <w:r w:rsidRPr="009C0E81">
              <w:rPr>
                <w:rFonts w:eastAsia="Times New Roman" w:cs="Arial"/>
                <w:lang w:val="en-US" w:eastAsia="en-US"/>
              </w:rPr>
              <w:t>section if they find that section matches their form of disclosure and is more convenient.  (This set of tags effectively covers the same data as some tag combinations from the main tangible assets sections.)  Preparers should note that the '</w:t>
            </w:r>
            <w:r w:rsidRPr="00CE30B2">
              <w:rPr>
                <w:rFonts w:eastAsia="Times New Roman" w:cs="Arial"/>
                <w:i/>
                <w:iCs/>
                <w:color w:val="DD0806"/>
                <w:lang w:val="en-US" w:eastAsia="en-US"/>
              </w:rPr>
              <w:t>Aggregate depreciation on leased assets included in tangible fixed assets</w:t>
            </w:r>
            <w:r w:rsidRPr="009C0E81">
              <w:rPr>
                <w:rFonts w:eastAsia="Times New Roman" w:cs="Arial"/>
                <w:lang w:val="en-US" w:eastAsia="en-US"/>
              </w:rPr>
              <w:t xml:space="preserve">' tag in the leased section has an 'instant duration' and represents the depreciation balance.  If a company reports the </w:t>
            </w:r>
            <w:r w:rsidRPr="009C0E81">
              <w:rPr>
                <w:rFonts w:eastAsia="Times New Roman" w:cs="Arial"/>
                <w:b/>
                <w:bCs/>
                <w:lang w:val="en-US" w:eastAsia="en-US"/>
              </w:rPr>
              <w:t>movements</w:t>
            </w:r>
            <w:r w:rsidRPr="009C0E81">
              <w:rPr>
                <w:rFonts w:eastAsia="Times New Roman" w:cs="Arial"/>
                <w:lang w:val="en-US" w:eastAsia="en-US"/>
              </w:rPr>
              <w:t xml:space="preserve"> in depreciation on leased tangible assets during the period, then it must use the tags in the main movements section in combination with the appropriate leased asset dimension tags.  </w:t>
            </w:r>
          </w:p>
        </w:tc>
      </w:tr>
      <w:tr w:rsidR="009C0E81" w:rsidRPr="009C0E81" w:rsidTr="00B54B4C">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9C0E81" w:rsidRPr="009C0E81" w:rsidRDefault="009C0E81" w:rsidP="009C0E81">
            <w:pPr>
              <w:spacing w:before="60" w:after="60"/>
              <w:jc w:val="left"/>
              <w:rPr>
                <w:rFonts w:eastAsia="Times New Roman" w:cs="Arial"/>
                <w:highlight w:val="yellow"/>
                <w:lang w:val="en-US" w:eastAsia="en-US"/>
              </w:rPr>
            </w:pPr>
            <w:r w:rsidRPr="009C0E81">
              <w:rPr>
                <w:rFonts w:eastAsia="Times New Roman" w:cs="Arial"/>
                <w:highlight w:val="yellow"/>
                <w:lang w:val="en-US" w:eastAsia="en-US"/>
              </w:rPr>
              <w:t>8.2</w:t>
            </w:r>
            <w:r w:rsidR="00321B67">
              <w:rPr>
                <w:rFonts w:eastAsia="Times New Roman" w:cs="Arial"/>
                <w:highlight w:val="yellow"/>
                <w:lang w:val="en-US" w:eastAsia="en-US"/>
              </w:rPr>
              <w:t>9</w:t>
            </w:r>
          </w:p>
        </w:tc>
        <w:tc>
          <w:tcPr>
            <w:tcW w:w="1720" w:type="dxa"/>
            <w:tcBorders>
              <w:top w:val="single" w:sz="4" w:space="0" w:color="auto"/>
              <w:left w:val="nil"/>
              <w:bottom w:val="single" w:sz="4" w:space="0" w:color="auto"/>
              <w:right w:val="single" w:sz="4" w:space="0" w:color="auto"/>
            </w:tcBorders>
            <w:shd w:val="clear" w:color="auto" w:fill="auto"/>
            <w:vAlign w:val="center"/>
          </w:tcPr>
          <w:p w:rsidR="009C0E81" w:rsidRPr="009C0E81" w:rsidRDefault="009C0E81" w:rsidP="009C0E81">
            <w:pPr>
              <w:spacing w:before="60" w:after="60"/>
              <w:jc w:val="left"/>
              <w:rPr>
                <w:rFonts w:eastAsia="Times New Roman" w:cs="Arial"/>
                <w:highlight w:val="yellow"/>
                <w:lang w:val="en-US" w:eastAsia="en-US"/>
              </w:rPr>
            </w:pPr>
            <w:r w:rsidRPr="009C0E81">
              <w:rPr>
                <w:rFonts w:eastAsia="Times New Roman" w:cs="Arial"/>
                <w:highlight w:val="yellow"/>
                <w:lang w:val="en-US" w:eastAsia="en-US"/>
              </w:rPr>
              <w:t>Finance lease and hire purchase contracts - maturity profile</w:t>
            </w:r>
          </w:p>
        </w:tc>
        <w:tc>
          <w:tcPr>
            <w:tcW w:w="6905" w:type="dxa"/>
            <w:tcBorders>
              <w:top w:val="single" w:sz="4" w:space="0" w:color="auto"/>
              <w:left w:val="nil"/>
              <w:bottom w:val="single" w:sz="4" w:space="0" w:color="auto"/>
              <w:right w:val="single" w:sz="4" w:space="0" w:color="auto"/>
            </w:tcBorders>
            <w:shd w:val="clear" w:color="auto" w:fill="auto"/>
            <w:vAlign w:val="center"/>
          </w:tcPr>
          <w:p w:rsidR="0043483A" w:rsidRDefault="00CE30B2" w:rsidP="009C0E81">
            <w:pPr>
              <w:spacing w:before="60" w:after="60"/>
              <w:jc w:val="left"/>
              <w:rPr>
                <w:rFonts w:eastAsia="Times New Roman" w:cs="Arial"/>
                <w:lang w:val="en-US" w:eastAsia="en-US"/>
              </w:rPr>
            </w:pPr>
            <w:r>
              <w:rPr>
                <w:rFonts w:eastAsia="Times New Roman" w:cs="Arial"/>
                <w:lang w:val="en-US" w:eastAsia="en-US"/>
              </w:rPr>
              <w:t xml:space="preserve">The maturities tags in the </w:t>
            </w:r>
            <w:r w:rsidR="009C0E81" w:rsidRPr="00CE30B2">
              <w:rPr>
                <w:rFonts w:eastAsia="Times New Roman" w:cs="Arial"/>
                <w:i/>
                <w:iCs/>
                <w:color w:val="008000"/>
                <w:lang w:val="en-US" w:eastAsia="en-US"/>
              </w:rPr>
              <w:t>Obligations under finance leases and hire purchase contracts - Maturity Profile</w:t>
            </w:r>
            <w:r w:rsidR="009C0E81" w:rsidRPr="009C0E81">
              <w:rPr>
                <w:rFonts w:eastAsia="Times New Roman" w:cs="Arial"/>
                <w:lang w:val="en-US" w:eastAsia="en-US"/>
              </w:rPr>
              <w:t xml:space="preserve"> section represent figures which are </w:t>
            </w:r>
            <w:r w:rsidR="009C0E81" w:rsidRPr="009C0E81">
              <w:rPr>
                <w:rFonts w:eastAsia="Times New Roman" w:cs="Arial"/>
                <w:b/>
                <w:bCs/>
                <w:lang w:val="en-US" w:eastAsia="en-US"/>
              </w:rPr>
              <w:t>net</w:t>
            </w:r>
            <w:r w:rsidR="009C0E81" w:rsidRPr="009C0E81">
              <w:rPr>
                <w:rFonts w:eastAsia="Times New Roman" w:cs="Arial"/>
                <w:lang w:val="en-US" w:eastAsia="en-US"/>
              </w:rPr>
              <w:t xml:space="preserve"> of finance charges.  The tags may be used where a company does not distinguish whether it is reporting net or gross, e.g. if finance charges are immaterial, but the tags are not appropriate for gross figures.  The latter cannot be tagged.  </w:t>
            </w:r>
          </w:p>
          <w:p w:rsidR="009C0E81" w:rsidRPr="009C0E81" w:rsidRDefault="009C0E81" w:rsidP="009C0E81">
            <w:pPr>
              <w:spacing w:before="60" w:after="60"/>
              <w:jc w:val="left"/>
              <w:rPr>
                <w:rFonts w:eastAsia="Times New Roman" w:cs="Arial"/>
                <w:lang w:val="en-US" w:eastAsia="en-US"/>
              </w:rPr>
            </w:pPr>
            <w:r w:rsidRPr="009C0E81">
              <w:rPr>
                <w:rFonts w:eastAsia="Times New Roman" w:cs="Arial"/>
                <w:lang w:val="en-US" w:eastAsia="en-US"/>
              </w:rPr>
              <w:t>(The relevant standard, SSAP 21, para 52</w:t>
            </w:r>
            <w:r w:rsidR="00686066" w:rsidRPr="009C0E81">
              <w:rPr>
                <w:rFonts w:eastAsia="Times New Roman" w:cs="Arial"/>
                <w:lang w:val="en-US" w:eastAsia="en-US"/>
              </w:rPr>
              <w:t>, allows</w:t>
            </w:r>
            <w:r w:rsidRPr="009C0E81">
              <w:rPr>
                <w:rFonts w:eastAsia="Times New Roman" w:cs="Arial"/>
                <w:lang w:val="en-US" w:eastAsia="en-US"/>
              </w:rPr>
              <w:t xml:space="preserve"> companies the alternative of reporting these maturity figures as either net or gross of finance charges.  Finance charges are anyway required to be disclosed, under SSAP 21, para 53.  It may only be possible to determine if a company is reporting gross figures by a careful examination of the finance lease obligation data.)  </w:t>
            </w:r>
          </w:p>
        </w:tc>
      </w:tr>
      <w:tr w:rsidR="00321B67" w:rsidRPr="009C0E81" w:rsidTr="00B54B4C">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21B67" w:rsidRDefault="00321B67">
            <w:pPr>
              <w:rPr>
                <w:rFonts w:cs="Arial"/>
              </w:rPr>
            </w:pPr>
            <w:r w:rsidRPr="00321B67">
              <w:rPr>
                <w:highlight w:val="yellow"/>
              </w:rPr>
              <w:lastRenderedPageBreak/>
              <w:t>8.30</w:t>
            </w:r>
          </w:p>
        </w:tc>
        <w:tc>
          <w:tcPr>
            <w:tcW w:w="1720" w:type="dxa"/>
            <w:tcBorders>
              <w:top w:val="single" w:sz="4" w:space="0" w:color="auto"/>
              <w:left w:val="nil"/>
              <w:bottom w:val="single" w:sz="4" w:space="0" w:color="auto"/>
              <w:right w:val="single" w:sz="4" w:space="0" w:color="auto"/>
            </w:tcBorders>
            <w:shd w:val="clear" w:color="auto" w:fill="auto"/>
            <w:vAlign w:val="center"/>
          </w:tcPr>
          <w:p w:rsidR="00321B67" w:rsidRPr="009C0E81" w:rsidRDefault="00321B67" w:rsidP="009C0E81">
            <w:pPr>
              <w:spacing w:before="60" w:after="60"/>
              <w:jc w:val="left"/>
              <w:rPr>
                <w:rFonts w:eastAsia="Times New Roman" w:cs="Arial"/>
                <w:highlight w:val="yellow"/>
                <w:lang w:val="en-US" w:eastAsia="en-US"/>
              </w:rPr>
            </w:pPr>
            <w:r w:rsidRPr="009C0E81">
              <w:rPr>
                <w:rFonts w:eastAsia="Times New Roman" w:cs="Arial"/>
                <w:highlight w:val="yellow"/>
                <w:lang w:val="en-US" w:eastAsia="en-US"/>
              </w:rPr>
              <w:t>Maturities between two to five years for finance leases and bank borrowings</w:t>
            </w:r>
          </w:p>
        </w:tc>
        <w:tc>
          <w:tcPr>
            <w:tcW w:w="6905" w:type="dxa"/>
            <w:tcBorders>
              <w:top w:val="single" w:sz="4" w:space="0" w:color="auto"/>
              <w:left w:val="nil"/>
              <w:bottom w:val="single" w:sz="4" w:space="0" w:color="auto"/>
              <w:right w:val="single" w:sz="4" w:space="0" w:color="auto"/>
            </w:tcBorders>
            <w:shd w:val="clear" w:color="auto" w:fill="auto"/>
            <w:vAlign w:val="center"/>
          </w:tcPr>
          <w:p w:rsidR="00321B67" w:rsidRDefault="00321B67" w:rsidP="009C0E81">
            <w:pPr>
              <w:spacing w:before="60" w:after="60"/>
              <w:jc w:val="left"/>
              <w:rPr>
                <w:rFonts w:eastAsia="Times New Roman" w:cs="Arial"/>
                <w:lang w:val="en-US" w:eastAsia="en-US"/>
              </w:rPr>
            </w:pPr>
            <w:r w:rsidRPr="009C0E81">
              <w:rPr>
                <w:rFonts w:eastAsia="Times New Roman" w:cs="Arial"/>
                <w:lang w:val="en-US" w:eastAsia="en-US"/>
              </w:rPr>
              <w:t>The line item tag for maturities 'between two to five years</w:t>
            </w:r>
            <w:r>
              <w:rPr>
                <w:rFonts w:eastAsia="Times New Roman" w:cs="Arial"/>
                <w:lang w:val="en-US" w:eastAsia="en-US"/>
              </w:rPr>
              <w:t xml:space="preserve">' which appears under both the </w:t>
            </w:r>
            <w:r w:rsidRPr="001162DA">
              <w:rPr>
                <w:rFonts w:eastAsia="Times New Roman" w:cs="Arial"/>
                <w:i/>
                <w:iCs/>
                <w:color w:val="008000"/>
                <w:lang w:val="en-US" w:eastAsia="en-US"/>
              </w:rPr>
              <w:t>Obligations under finance leases</w:t>
            </w:r>
            <w:r w:rsidRPr="009C0E81">
              <w:rPr>
                <w:rFonts w:eastAsia="Times New Roman" w:cs="Arial"/>
                <w:lang w:val="en-US" w:eastAsia="en-US"/>
              </w:rPr>
              <w:t xml:space="preserve"> and </w:t>
            </w:r>
            <w:r w:rsidRPr="001162DA">
              <w:rPr>
                <w:rFonts w:eastAsia="Times New Roman" w:cs="Arial"/>
                <w:i/>
                <w:iCs/>
                <w:color w:val="008000"/>
                <w:lang w:val="en-US" w:eastAsia="en-US"/>
              </w:rPr>
              <w:t>Bank borrowings and debentures maturities analyses</w:t>
            </w:r>
            <w:r w:rsidRPr="009C0E81">
              <w:rPr>
                <w:rFonts w:eastAsia="Times New Roman" w:cs="Arial"/>
                <w:lang w:val="en-US" w:eastAsia="en-US"/>
              </w:rPr>
              <w:t xml:space="preserve"> is ambiguous in that it could be taken to mean either 'including year two' or 'after year two'.  </w:t>
            </w:r>
          </w:p>
          <w:p w:rsidR="00321B67" w:rsidRPr="009C0E81" w:rsidRDefault="00321B67" w:rsidP="009C0E81">
            <w:pPr>
              <w:spacing w:before="60" w:after="60"/>
              <w:jc w:val="left"/>
              <w:rPr>
                <w:rFonts w:eastAsia="Times New Roman" w:cs="Arial"/>
                <w:lang w:val="en-US" w:eastAsia="en-US"/>
              </w:rPr>
            </w:pPr>
            <w:r w:rsidRPr="009C0E81">
              <w:rPr>
                <w:rFonts w:eastAsia="Times New Roman" w:cs="Arial"/>
                <w:lang w:val="en-US" w:eastAsia="en-US"/>
              </w:rPr>
              <w:t xml:space="preserve">It is generally expected that it will be used to tag maturity values which include year two.  However, it </w:t>
            </w:r>
            <w:r w:rsidRPr="009C0E81">
              <w:rPr>
                <w:rFonts w:eastAsia="Times New Roman" w:cs="Arial"/>
                <w:b/>
                <w:bCs/>
                <w:lang w:val="en-US" w:eastAsia="en-US"/>
              </w:rPr>
              <w:t>may</w:t>
            </w:r>
            <w:r w:rsidRPr="009C0E81">
              <w:rPr>
                <w:rFonts w:eastAsia="Times New Roman" w:cs="Arial"/>
                <w:lang w:val="en-US" w:eastAsia="en-US"/>
              </w:rPr>
              <w:t xml:space="preserve"> be used to tag </w:t>
            </w:r>
            <w:r w:rsidRPr="009C0E81">
              <w:rPr>
                <w:rFonts w:eastAsia="Times New Roman" w:cs="Arial"/>
                <w:b/>
                <w:bCs/>
                <w:lang w:val="en-US" w:eastAsia="en-US"/>
              </w:rPr>
              <w:t>either</w:t>
            </w:r>
            <w:r w:rsidRPr="009C0E81">
              <w:rPr>
                <w:rFonts w:eastAsia="Times New Roman" w:cs="Arial"/>
                <w:lang w:val="en-US" w:eastAsia="en-US"/>
              </w:rPr>
              <w:t xml:space="preserve"> meaning under the current taxonomy.  (It is recognised that the values concerned will generally be different, but other tagged data should generally allow the meaning to be distinguished.)</w:t>
            </w:r>
          </w:p>
        </w:tc>
      </w:tr>
      <w:tr w:rsidR="00321B67" w:rsidRPr="009C0E81" w:rsidTr="00B54B4C">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21B67" w:rsidRDefault="00321B67">
            <w:pPr>
              <w:rPr>
                <w:rFonts w:cs="Arial"/>
              </w:rPr>
            </w:pPr>
            <w:r>
              <w:t>8.31</w:t>
            </w:r>
          </w:p>
        </w:tc>
        <w:tc>
          <w:tcPr>
            <w:tcW w:w="1720" w:type="dxa"/>
            <w:tcBorders>
              <w:top w:val="single" w:sz="4" w:space="0" w:color="auto"/>
              <w:left w:val="nil"/>
              <w:bottom w:val="single" w:sz="4" w:space="0" w:color="auto"/>
              <w:right w:val="single" w:sz="4" w:space="0" w:color="auto"/>
            </w:tcBorders>
            <w:shd w:val="clear" w:color="auto" w:fill="auto"/>
            <w:vAlign w:val="center"/>
          </w:tcPr>
          <w:p w:rsidR="00321B67" w:rsidRPr="009C0E81" w:rsidRDefault="00321B67" w:rsidP="009C0E81">
            <w:pPr>
              <w:spacing w:before="60" w:after="60"/>
              <w:jc w:val="left"/>
              <w:rPr>
                <w:rFonts w:eastAsia="Times New Roman" w:cs="Arial"/>
                <w:lang w:val="en-US" w:eastAsia="en-US"/>
              </w:rPr>
            </w:pPr>
            <w:r w:rsidRPr="009C0E81">
              <w:rPr>
                <w:rFonts w:eastAsia="Times New Roman" w:cs="Arial"/>
                <w:lang w:val="en-US" w:eastAsia="en-US"/>
              </w:rPr>
              <w:t>Use of current / non-current and maturities tags with financial instruments</w:t>
            </w:r>
          </w:p>
        </w:tc>
        <w:tc>
          <w:tcPr>
            <w:tcW w:w="6905" w:type="dxa"/>
            <w:tcBorders>
              <w:top w:val="single" w:sz="4" w:space="0" w:color="auto"/>
              <w:left w:val="nil"/>
              <w:bottom w:val="single" w:sz="4" w:space="0" w:color="auto"/>
              <w:right w:val="single" w:sz="4" w:space="0" w:color="auto"/>
            </w:tcBorders>
            <w:shd w:val="clear" w:color="auto" w:fill="auto"/>
            <w:vAlign w:val="center"/>
          </w:tcPr>
          <w:p w:rsidR="00321B67" w:rsidRPr="009C0E81" w:rsidRDefault="00321B67" w:rsidP="009C0E81">
            <w:pPr>
              <w:spacing w:before="60" w:after="60"/>
              <w:jc w:val="left"/>
              <w:rPr>
                <w:rFonts w:eastAsia="Times New Roman" w:cs="Arial"/>
                <w:lang w:val="en-US" w:eastAsia="en-US"/>
              </w:rPr>
            </w:pPr>
            <w:r w:rsidRPr="009C0E81">
              <w:rPr>
                <w:rFonts w:eastAsia="Times New Roman" w:cs="Arial"/>
                <w:lang w:val="en-US" w:eastAsia="en-US"/>
              </w:rPr>
              <w:t>In tagging some financial instruments reported as being 'within one year' or 'after one year', preparers may face a choice between the use of current / non-current dimension tags and the use of the 'within one year' and 'after one year' dimension</w:t>
            </w:r>
            <w:r>
              <w:rPr>
                <w:rFonts w:eastAsia="Times New Roman" w:cs="Arial"/>
                <w:lang w:val="en-US" w:eastAsia="en-US"/>
              </w:rPr>
              <w:t xml:space="preserve"> tag</w:t>
            </w:r>
            <w:r w:rsidRPr="009C0E81">
              <w:rPr>
                <w:rFonts w:eastAsia="Times New Roman" w:cs="Arial"/>
                <w:lang w:val="en-US" w:eastAsia="en-US"/>
              </w:rPr>
              <w:t xml:space="preserve">s.   It is expected that the current / non-current tags will be used in general current / non-current breakdowns of assets and liabilities in primary statements and notes.   However, the maturities tags should be used in maturities analyses and in all financial risk management notes.   </w:t>
            </w:r>
          </w:p>
        </w:tc>
      </w:tr>
      <w:tr w:rsidR="00321B67" w:rsidRPr="009C0E81" w:rsidTr="00B54B4C">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21B67" w:rsidRDefault="00321B67">
            <w:pPr>
              <w:rPr>
                <w:rFonts w:cs="Arial"/>
              </w:rPr>
            </w:pPr>
            <w:r>
              <w:t>8.32</w:t>
            </w:r>
          </w:p>
        </w:tc>
        <w:tc>
          <w:tcPr>
            <w:tcW w:w="1720" w:type="dxa"/>
            <w:tcBorders>
              <w:top w:val="single" w:sz="4" w:space="0" w:color="auto"/>
              <w:left w:val="nil"/>
              <w:bottom w:val="single" w:sz="4" w:space="0" w:color="auto"/>
              <w:right w:val="single" w:sz="4" w:space="0" w:color="auto"/>
            </w:tcBorders>
            <w:shd w:val="clear" w:color="auto" w:fill="auto"/>
            <w:vAlign w:val="center"/>
          </w:tcPr>
          <w:p w:rsidR="00321B67" w:rsidRPr="009C0E81" w:rsidRDefault="00321B67" w:rsidP="009C0E81">
            <w:pPr>
              <w:spacing w:before="60" w:after="60"/>
              <w:jc w:val="left"/>
              <w:rPr>
                <w:rFonts w:eastAsia="Times New Roman" w:cs="Arial"/>
                <w:lang w:val="en-US" w:eastAsia="en-US"/>
              </w:rPr>
            </w:pPr>
            <w:r w:rsidRPr="009C0E81">
              <w:rPr>
                <w:rFonts w:eastAsia="Times New Roman" w:cs="Arial"/>
                <w:lang w:val="en-US" w:eastAsia="en-US"/>
              </w:rPr>
              <w:t>Fixed asset investments - holdings</w:t>
            </w:r>
          </w:p>
        </w:tc>
        <w:tc>
          <w:tcPr>
            <w:tcW w:w="6905" w:type="dxa"/>
            <w:tcBorders>
              <w:top w:val="single" w:sz="4" w:space="0" w:color="auto"/>
              <w:left w:val="nil"/>
              <w:bottom w:val="single" w:sz="4" w:space="0" w:color="auto"/>
              <w:right w:val="single" w:sz="4" w:space="0" w:color="auto"/>
            </w:tcBorders>
            <w:shd w:val="clear" w:color="auto" w:fill="auto"/>
            <w:vAlign w:val="center"/>
          </w:tcPr>
          <w:p w:rsidR="00321B67" w:rsidRPr="009C0E81" w:rsidRDefault="00321B67" w:rsidP="009C0E81">
            <w:pPr>
              <w:spacing w:before="60" w:after="60"/>
              <w:jc w:val="left"/>
              <w:rPr>
                <w:rFonts w:eastAsia="Times New Roman" w:cs="Arial"/>
                <w:lang w:val="en-US" w:eastAsia="en-US"/>
              </w:rPr>
            </w:pPr>
            <w:r w:rsidRPr="009C0E81">
              <w:rPr>
                <w:rFonts w:eastAsia="Times New Roman" w:cs="Arial"/>
                <w:lang w:val="en-US" w:eastAsia="en-US"/>
              </w:rPr>
              <w:t xml:space="preserve">Preparers should take care </w:t>
            </w:r>
            <w:r>
              <w:rPr>
                <w:rFonts w:eastAsia="Times New Roman" w:cs="Arial"/>
                <w:lang w:val="en-US" w:eastAsia="en-US"/>
              </w:rPr>
              <w:t xml:space="preserve">in using the </w:t>
            </w:r>
            <w:r w:rsidRPr="001162DA">
              <w:rPr>
                <w:rFonts w:eastAsia="Times New Roman" w:cs="Arial"/>
                <w:i/>
                <w:lang w:val="en-US" w:eastAsia="en-US"/>
              </w:rPr>
              <w:t>Fixed assets holdings</w:t>
            </w:r>
            <w:r w:rsidRPr="009C0E81">
              <w:rPr>
                <w:rFonts w:eastAsia="Times New Roman" w:cs="Arial"/>
                <w:lang w:val="en-US" w:eastAsia="en-US"/>
              </w:rPr>
              <w:t xml:space="preserve"> dimension.  If a range of fixed asset investment data has been tagged as investments in group undertakings (or similar), then other fixed asset investment data should carry the '</w:t>
            </w:r>
            <w:r w:rsidRPr="001162DA">
              <w:rPr>
                <w:rFonts w:eastAsia="Times New Roman" w:cs="Arial"/>
                <w:i/>
                <w:iCs/>
                <w:color w:val="DD0806"/>
                <w:lang w:val="en-US" w:eastAsia="en-US"/>
              </w:rPr>
              <w:t>Total other investments</w:t>
            </w:r>
            <w:r w:rsidRPr="009C0E81">
              <w:rPr>
                <w:rFonts w:eastAsia="Times New Roman" w:cs="Arial"/>
                <w:lang w:val="en-US" w:eastAsia="en-US"/>
              </w:rPr>
              <w:t xml:space="preserve">' dimension tag wherever this meaning is intended (even if it is not explicitly stated in the accounts).  </w:t>
            </w:r>
          </w:p>
        </w:tc>
      </w:tr>
      <w:tr w:rsidR="00321B67" w:rsidRPr="009C0E81" w:rsidTr="00B54B4C">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21B67" w:rsidRDefault="00321B67">
            <w:pPr>
              <w:rPr>
                <w:rFonts w:cs="Arial"/>
              </w:rPr>
            </w:pPr>
            <w:r>
              <w:t>8.33</w:t>
            </w:r>
          </w:p>
        </w:tc>
        <w:tc>
          <w:tcPr>
            <w:tcW w:w="1720" w:type="dxa"/>
            <w:tcBorders>
              <w:top w:val="single" w:sz="4" w:space="0" w:color="auto"/>
              <w:left w:val="nil"/>
              <w:bottom w:val="single" w:sz="4" w:space="0" w:color="auto"/>
              <w:right w:val="single" w:sz="4" w:space="0" w:color="auto"/>
            </w:tcBorders>
            <w:shd w:val="clear" w:color="auto" w:fill="auto"/>
            <w:vAlign w:val="center"/>
          </w:tcPr>
          <w:p w:rsidR="00321B67" w:rsidRPr="009C0E81" w:rsidRDefault="00321B67" w:rsidP="009C0E81">
            <w:pPr>
              <w:spacing w:before="60" w:after="60"/>
              <w:jc w:val="left"/>
              <w:rPr>
                <w:rFonts w:eastAsia="Times New Roman" w:cs="Arial"/>
                <w:lang w:val="en-US" w:eastAsia="en-US"/>
              </w:rPr>
            </w:pPr>
            <w:r w:rsidRPr="009C0E81">
              <w:rPr>
                <w:rFonts w:eastAsia="Times New Roman" w:cs="Arial"/>
                <w:lang w:val="en-US" w:eastAsia="en-US"/>
              </w:rPr>
              <w:t>Fixed asset investments - loans</w:t>
            </w:r>
          </w:p>
        </w:tc>
        <w:tc>
          <w:tcPr>
            <w:tcW w:w="6905" w:type="dxa"/>
            <w:tcBorders>
              <w:top w:val="single" w:sz="4" w:space="0" w:color="auto"/>
              <w:left w:val="nil"/>
              <w:bottom w:val="single" w:sz="4" w:space="0" w:color="auto"/>
              <w:right w:val="single" w:sz="4" w:space="0" w:color="auto"/>
            </w:tcBorders>
            <w:shd w:val="clear" w:color="auto" w:fill="auto"/>
            <w:vAlign w:val="center"/>
          </w:tcPr>
          <w:p w:rsidR="00321B67" w:rsidRPr="009C0E81" w:rsidRDefault="00321B67" w:rsidP="009C0E81">
            <w:pPr>
              <w:spacing w:before="60" w:after="60"/>
              <w:jc w:val="left"/>
              <w:rPr>
                <w:rFonts w:eastAsia="Times New Roman" w:cs="Arial"/>
                <w:lang w:val="en-US" w:eastAsia="en-US"/>
              </w:rPr>
            </w:pPr>
            <w:r>
              <w:rPr>
                <w:rFonts w:eastAsia="Times New Roman" w:cs="Arial"/>
                <w:lang w:val="en-US" w:eastAsia="en-US"/>
              </w:rPr>
              <w:t xml:space="preserve">The </w:t>
            </w:r>
            <w:r w:rsidRPr="001162DA">
              <w:rPr>
                <w:rFonts w:eastAsia="Times New Roman" w:cs="Arial"/>
                <w:i/>
                <w:color w:val="008000"/>
                <w:lang w:val="en-US" w:eastAsia="en-US"/>
              </w:rPr>
              <w:t>Loans, fixed asset investments</w:t>
            </w:r>
            <w:r w:rsidRPr="009C0E81">
              <w:rPr>
                <w:rFonts w:eastAsia="Times New Roman" w:cs="Arial"/>
                <w:lang w:val="en-US" w:eastAsia="en-US"/>
              </w:rPr>
              <w:t xml:space="preserve"> section contains tags which are specifically suited for movement analyses of such loans.  Where appropriate, they should be used for such movements in preference to the general fixed asset investment movement tags.  This avoids the need to use the '</w:t>
            </w:r>
            <w:r w:rsidRPr="001162DA">
              <w:rPr>
                <w:rFonts w:eastAsia="Times New Roman" w:cs="Arial"/>
                <w:i/>
                <w:iCs/>
                <w:color w:val="DD0806"/>
                <w:lang w:val="en-US" w:eastAsia="en-US"/>
              </w:rPr>
              <w:t>Loans held as fixed asset investments</w:t>
            </w:r>
            <w:r w:rsidRPr="009C0E81">
              <w:rPr>
                <w:rFonts w:eastAsia="Times New Roman" w:cs="Arial"/>
                <w:lang w:val="en-US" w:eastAsia="en-US"/>
              </w:rPr>
              <w:t xml:space="preserve">' dimension tag.  The section includes a 'repayments' line item tag, which is not available for other types of fixed asset investments.  </w:t>
            </w:r>
          </w:p>
        </w:tc>
      </w:tr>
      <w:tr w:rsidR="00321B67" w:rsidRPr="009C0E81" w:rsidTr="00B54B4C">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21B67" w:rsidRDefault="00321B67">
            <w:pPr>
              <w:rPr>
                <w:rFonts w:cs="Arial"/>
              </w:rPr>
            </w:pPr>
            <w:r>
              <w:t>8.34</w:t>
            </w:r>
          </w:p>
        </w:tc>
        <w:tc>
          <w:tcPr>
            <w:tcW w:w="1720" w:type="dxa"/>
            <w:tcBorders>
              <w:top w:val="single" w:sz="4" w:space="0" w:color="auto"/>
              <w:left w:val="nil"/>
              <w:bottom w:val="single" w:sz="4" w:space="0" w:color="auto"/>
              <w:right w:val="single" w:sz="4" w:space="0" w:color="auto"/>
            </w:tcBorders>
            <w:shd w:val="clear" w:color="auto" w:fill="auto"/>
            <w:vAlign w:val="center"/>
          </w:tcPr>
          <w:p w:rsidR="00321B67" w:rsidRPr="009C0E81" w:rsidRDefault="00321B67" w:rsidP="009C0E81">
            <w:pPr>
              <w:spacing w:before="60" w:after="60"/>
              <w:jc w:val="left"/>
              <w:rPr>
                <w:rFonts w:eastAsia="Times New Roman" w:cs="Arial"/>
                <w:lang w:val="en-US" w:eastAsia="en-US"/>
              </w:rPr>
            </w:pPr>
            <w:r w:rsidRPr="009C0E81">
              <w:rPr>
                <w:rFonts w:eastAsia="Times New Roman" w:cs="Arial"/>
                <w:lang w:val="en-US" w:eastAsia="en-US"/>
              </w:rPr>
              <w:t xml:space="preserve">Fixed asset investment provisions, used in period </w:t>
            </w:r>
          </w:p>
        </w:tc>
        <w:tc>
          <w:tcPr>
            <w:tcW w:w="6905" w:type="dxa"/>
            <w:tcBorders>
              <w:top w:val="single" w:sz="4" w:space="0" w:color="auto"/>
              <w:left w:val="nil"/>
              <w:bottom w:val="single" w:sz="4" w:space="0" w:color="auto"/>
              <w:right w:val="single" w:sz="4" w:space="0" w:color="auto"/>
            </w:tcBorders>
            <w:shd w:val="clear" w:color="auto" w:fill="auto"/>
            <w:vAlign w:val="center"/>
          </w:tcPr>
          <w:p w:rsidR="00321B67" w:rsidRPr="009C0E81" w:rsidRDefault="00321B67" w:rsidP="009C0E81">
            <w:pPr>
              <w:spacing w:before="60" w:after="60"/>
              <w:jc w:val="left"/>
              <w:rPr>
                <w:rFonts w:eastAsia="Times New Roman" w:cs="Arial"/>
                <w:lang w:val="en-US" w:eastAsia="en-US"/>
              </w:rPr>
            </w:pPr>
            <w:r w:rsidRPr="009C0E81">
              <w:rPr>
                <w:rFonts w:eastAsia="Times New Roman" w:cs="Arial"/>
                <w:lang w:val="en-US" w:eastAsia="en-US"/>
              </w:rPr>
              <w:t>The correct tag for 'Fixed asset investment provisions utilised in period' or similar descriptions is '</w:t>
            </w:r>
            <w:r w:rsidRPr="009C0E81">
              <w:rPr>
                <w:rFonts w:eastAsia="Times New Roman" w:cs="Arial"/>
                <w:i/>
                <w:iCs/>
                <w:color w:val="DD0806"/>
                <w:lang w:val="en-US" w:eastAsia="en-US"/>
              </w:rPr>
              <w:t>Fixed asset investments, provisions, impairment losses / amounts written off</w:t>
            </w:r>
            <w:r>
              <w:rPr>
                <w:rFonts w:eastAsia="Times New Roman" w:cs="Arial"/>
                <w:lang w:val="en-US" w:eastAsia="en-US"/>
              </w:rPr>
              <w:t xml:space="preserve">'.  </w:t>
            </w:r>
          </w:p>
        </w:tc>
      </w:tr>
      <w:tr w:rsidR="00321B67" w:rsidRPr="009C0E81" w:rsidTr="00B54B4C">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21B67" w:rsidRDefault="00321B67">
            <w:pPr>
              <w:rPr>
                <w:rFonts w:cs="Arial"/>
              </w:rPr>
            </w:pPr>
            <w:r w:rsidRPr="00321B67">
              <w:rPr>
                <w:highlight w:val="yellow"/>
              </w:rPr>
              <w:t>8.35</w:t>
            </w:r>
          </w:p>
        </w:tc>
        <w:tc>
          <w:tcPr>
            <w:tcW w:w="1720" w:type="dxa"/>
            <w:tcBorders>
              <w:top w:val="single" w:sz="4" w:space="0" w:color="auto"/>
              <w:left w:val="nil"/>
              <w:bottom w:val="single" w:sz="4" w:space="0" w:color="auto"/>
              <w:right w:val="single" w:sz="4" w:space="0" w:color="auto"/>
            </w:tcBorders>
            <w:shd w:val="clear" w:color="auto" w:fill="auto"/>
            <w:vAlign w:val="center"/>
          </w:tcPr>
          <w:p w:rsidR="00321B67" w:rsidRPr="009C0E81" w:rsidRDefault="00321B67" w:rsidP="009C0E81">
            <w:pPr>
              <w:spacing w:before="60" w:after="60"/>
              <w:jc w:val="left"/>
              <w:rPr>
                <w:rFonts w:eastAsia="Times New Roman" w:cs="Arial"/>
                <w:highlight w:val="yellow"/>
                <w:lang w:val="en-US" w:eastAsia="en-US"/>
              </w:rPr>
            </w:pPr>
            <w:r w:rsidRPr="009C0E81">
              <w:rPr>
                <w:rFonts w:eastAsia="Times New Roman" w:cs="Arial"/>
                <w:highlight w:val="yellow"/>
                <w:lang w:val="en-US" w:eastAsia="en-US"/>
              </w:rPr>
              <w:t>Provisions for property</w:t>
            </w:r>
          </w:p>
        </w:tc>
        <w:tc>
          <w:tcPr>
            <w:tcW w:w="6905" w:type="dxa"/>
            <w:tcBorders>
              <w:top w:val="single" w:sz="4" w:space="0" w:color="auto"/>
              <w:left w:val="nil"/>
              <w:bottom w:val="single" w:sz="4" w:space="0" w:color="auto"/>
              <w:right w:val="single" w:sz="4" w:space="0" w:color="auto"/>
            </w:tcBorders>
            <w:shd w:val="clear" w:color="auto" w:fill="auto"/>
            <w:vAlign w:val="center"/>
          </w:tcPr>
          <w:p w:rsidR="00321B67" w:rsidRPr="009C0E81" w:rsidRDefault="00321B67" w:rsidP="009C0E81">
            <w:pPr>
              <w:spacing w:before="60" w:after="60"/>
              <w:jc w:val="left"/>
              <w:rPr>
                <w:rFonts w:eastAsia="Times New Roman" w:cs="Arial"/>
                <w:lang w:val="en-US" w:eastAsia="en-US"/>
              </w:rPr>
            </w:pPr>
            <w:r w:rsidRPr="009C0E81">
              <w:rPr>
                <w:rFonts w:eastAsia="Times New Roman" w:cs="Arial"/>
                <w:lang w:val="en-US" w:eastAsia="en-US"/>
              </w:rPr>
              <w:t>There is no dimension tag to represent 'Property provision'.  If the '</w:t>
            </w:r>
            <w:r>
              <w:rPr>
                <w:rFonts w:eastAsia="Times New Roman" w:cs="Arial"/>
                <w:i/>
                <w:iCs/>
                <w:color w:val="DD0806"/>
                <w:lang w:val="en-US" w:eastAsia="en-US"/>
              </w:rPr>
              <w:t>V</w:t>
            </w:r>
            <w:r w:rsidRPr="001162DA">
              <w:rPr>
                <w:rFonts w:eastAsia="Times New Roman" w:cs="Arial"/>
                <w:i/>
                <w:iCs/>
                <w:color w:val="DD0806"/>
                <w:lang w:val="en-US" w:eastAsia="en-US"/>
              </w:rPr>
              <w:t>acant properties</w:t>
            </w:r>
            <w:r w:rsidRPr="009C0E81">
              <w:rPr>
                <w:rFonts w:eastAsia="Times New Roman" w:cs="Arial"/>
                <w:lang w:val="en-US" w:eastAsia="en-US"/>
              </w:rPr>
              <w:t>' dimension tag is not appropriate for particular property provisions data, the latter should be left untagged - unless it is the only class of provision and can be represented by the default total.</w:t>
            </w:r>
          </w:p>
        </w:tc>
      </w:tr>
      <w:tr w:rsidR="00321B67" w:rsidRPr="009C0E81" w:rsidTr="00B54B4C">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21B67" w:rsidRDefault="00321B67">
            <w:pPr>
              <w:rPr>
                <w:rFonts w:cs="Arial"/>
              </w:rPr>
            </w:pPr>
            <w:r>
              <w:t>8.36</w:t>
            </w:r>
          </w:p>
        </w:tc>
        <w:tc>
          <w:tcPr>
            <w:tcW w:w="1720" w:type="dxa"/>
            <w:tcBorders>
              <w:top w:val="single" w:sz="4" w:space="0" w:color="auto"/>
              <w:left w:val="nil"/>
              <w:bottom w:val="single" w:sz="4" w:space="0" w:color="auto"/>
              <w:right w:val="single" w:sz="4" w:space="0" w:color="auto"/>
            </w:tcBorders>
            <w:shd w:val="clear" w:color="auto" w:fill="auto"/>
            <w:vAlign w:val="center"/>
          </w:tcPr>
          <w:p w:rsidR="00321B67" w:rsidRPr="009C0E81" w:rsidRDefault="00321B67" w:rsidP="009C0E81">
            <w:pPr>
              <w:spacing w:before="60" w:after="60"/>
              <w:jc w:val="left"/>
              <w:rPr>
                <w:rFonts w:eastAsia="Times New Roman" w:cs="Arial"/>
                <w:lang w:val="en-US" w:eastAsia="en-US"/>
              </w:rPr>
            </w:pPr>
            <w:r w:rsidRPr="009C0E81">
              <w:rPr>
                <w:rFonts w:eastAsia="Times New Roman" w:cs="Arial"/>
                <w:lang w:val="en-US" w:eastAsia="en-US"/>
              </w:rPr>
              <w:t>Deferred tax</w:t>
            </w:r>
          </w:p>
        </w:tc>
        <w:tc>
          <w:tcPr>
            <w:tcW w:w="6905" w:type="dxa"/>
            <w:tcBorders>
              <w:top w:val="single" w:sz="4" w:space="0" w:color="auto"/>
              <w:left w:val="nil"/>
              <w:bottom w:val="single" w:sz="4" w:space="0" w:color="auto"/>
              <w:right w:val="single" w:sz="4" w:space="0" w:color="auto"/>
            </w:tcBorders>
            <w:shd w:val="clear" w:color="auto" w:fill="auto"/>
            <w:vAlign w:val="center"/>
          </w:tcPr>
          <w:p w:rsidR="00321B67" w:rsidRDefault="00321B67" w:rsidP="009C0E81">
            <w:pPr>
              <w:spacing w:before="60" w:after="60"/>
              <w:jc w:val="left"/>
              <w:rPr>
                <w:rFonts w:eastAsia="Times New Roman" w:cs="Arial"/>
                <w:lang w:val="en-US" w:eastAsia="en-US"/>
              </w:rPr>
            </w:pPr>
            <w:r w:rsidRPr="009C0E81">
              <w:rPr>
                <w:rFonts w:eastAsia="Times New Roman" w:cs="Arial"/>
                <w:lang w:val="en-US" w:eastAsia="en-US"/>
              </w:rPr>
              <w:t>Most information on provisions for deferred taxation should be tagged using the '</w:t>
            </w:r>
            <w:r w:rsidRPr="001162DA">
              <w:rPr>
                <w:rFonts w:eastAsia="Times New Roman" w:cs="Arial"/>
                <w:i/>
                <w:iCs/>
                <w:color w:val="DD0806"/>
                <w:lang w:val="en-US" w:eastAsia="en-US"/>
              </w:rPr>
              <w:t>Provisions for liabilities and charges</w:t>
            </w:r>
            <w:r w:rsidRPr="009C0E81">
              <w:rPr>
                <w:rFonts w:eastAsia="Times New Roman" w:cs="Arial"/>
                <w:lang w:val="en-US" w:eastAsia="en-US"/>
              </w:rPr>
              <w:t>' tag in combination with the '</w:t>
            </w:r>
            <w:r w:rsidRPr="001162DA">
              <w:rPr>
                <w:rFonts w:eastAsia="Times New Roman" w:cs="Arial"/>
                <w:i/>
                <w:iCs/>
                <w:color w:val="DD0806"/>
                <w:lang w:val="en-US" w:eastAsia="en-US"/>
              </w:rPr>
              <w:t>Provisions for deferred taxation</w:t>
            </w:r>
            <w:r w:rsidRPr="009C0E81">
              <w:rPr>
                <w:rFonts w:eastAsia="Times New Roman" w:cs="Arial"/>
                <w:lang w:val="en-US" w:eastAsia="en-US"/>
              </w:rPr>
              <w:t>' dimension tag.  (Note that the tag '</w:t>
            </w:r>
            <w:r w:rsidRPr="001162DA">
              <w:rPr>
                <w:rFonts w:eastAsia="Times New Roman" w:cs="Arial"/>
                <w:i/>
                <w:iCs/>
                <w:color w:val="DD0806"/>
                <w:lang w:val="en-US" w:eastAsia="en-US"/>
              </w:rPr>
              <w:t>Provisions for taxation, including deferred taxation</w:t>
            </w:r>
            <w:r w:rsidRPr="009C0E81">
              <w:rPr>
                <w:rFonts w:eastAsia="Times New Roman" w:cs="Arial"/>
                <w:lang w:val="en-US" w:eastAsia="en-US"/>
              </w:rPr>
              <w:t xml:space="preserve">' identifies total provisions for taxation, not just provisions for deferred tax.)    </w:t>
            </w:r>
          </w:p>
          <w:p w:rsidR="00321B67" w:rsidRPr="009C0E81" w:rsidRDefault="00321B67" w:rsidP="009C0E81">
            <w:pPr>
              <w:spacing w:before="60" w:after="60"/>
              <w:jc w:val="left"/>
              <w:rPr>
                <w:rFonts w:eastAsia="Times New Roman" w:cs="Arial"/>
                <w:lang w:val="en-US" w:eastAsia="en-US"/>
              </w:rPr>
            </w:pPr>
            <w:r w:rsidRPr="009C0E81">
              <w:rPr>
                <w:rFonts w:eastAsia="Times New Roman" w:cs="Arial"/>
                <w:lang w:val="en-US" w:eastAsia="en-US"/>
              </w:rPr>
              <w:t xml:space="preserve">A special section under provisions, </w:t>
            </w:r>
            <w:r w:rsidRPr="009C0E81">
              <w:rPr>
                <w:rFonts w:eastAsia="Times New Roman" w:cs="Arial"/>
                <w:i/>
                <w:iCs/>
                <w:color w:val="006411"/>
                <w:lang w:val="en-US" w:eastAsia="en-US"/>
              </w:rPr>
              <w:t>Provisions for deferred taxation - further analysis</w:t>
            </w:r>
            <w:r w:rsidRPr="009C0E81">
              <w:rPr>
                <w:rFonts w:eastAsia="Times New Roman" w:cs="Arial"/>
                <w:lang w:val="en-US" w:eastAsia="en-US"/>
              </w:rPr>
              <w:t xml:space="preserve">, adds further tags for deferred tax.  Since these tags are specifically for deferred tax, it is </w:t>
            </w:r>
            <w:r w:rsidRPr="009C0E81">
              <w:rPr>
                <w:rFonts w:eastAsia="Times New Roman" w:cs="Arial"/>
                <w:b/>
                <w:bCs/>
                <w:lang w:val="en-US" w:eastAsia="en-US"/>
              </w:rPr>
              <w:t>not</w:t>
            </w:r>
            <w:r w:rsidRPr="009C0E81">
              <w:rPr>
                <w:rFonts w:eastAsia="Times New Roman" w:cs="Arial"/>
                <w:lang w:val="en-US" w:eastAsia="en-US"/>
              </w:rPr>
              <w:t xml:space="preserve"> necessary to use them with the '</w:t>
            </w:r>
            <w:r w:rsidRPr="001162DA">
              <w:rPr>
                <w:rFonts w:eastAsia="Times New Roman" w:cs="Arial"/>
                <w:i/>
                <w:iCs/>
                <w:color w:val="DD0806"/>
                <w:lang w:val="en-US" w:eastAsia="en-US"/>
              </w:rPr>
              <w:t>Provisions for deferred taxation</w:t>
            </w:r>
            <w:r w:rsidRPr="009C0E81">
              <w:rPr>
                <w:rFonts w:eastAsia="Times New Roman" w:cs="Arial"/>
                <w:lang w:val="en-US" w:eastAsia="en-US"/>
              </w:rPr>
              <w:t xml:space="preserve">' dimension tag.  They may be used with the default total.  (Using them with the deferred tax dimension tag is not an error, but is not necessary.) </w:t>
            </w:r>
          </w:p>
        </w:tc>
      </w:tr>
      <w:tr w:rsidR="009C0E81" w:rsidRPr="009C0E81" w:rsidTr="00B54B4C">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9C0E81" w:rsidRPr="009C0E81" w:rsidRDefault="00B54B4C" w:rsidP="009C0E81">
            <w:pPr>
              <w:spacing w:before="60" w:after="60"/>
              <w:jc w:val="left"/>
              <w:rPr>
                <w:rFonts w:eastAsia="Times New Roman" w:cs="Arial"/>
                <w:lang w:val="en-US" w:eastAsia="en-US"/>
              </w:rPr>
            </w:pPr>
            <w:r>
              <w:rPr>
                <w:rFonts w:eastAsia="Times New Roman" w:cs="Arial"/>
                <w:lang w:val="en-US" w:eastAsia="en-US"/>
              </w:rPr>
              <w:lastRenderedPageBreak/>
              <w:t>8.3</w:t>
            </w:r>
            <w:r w:rsidR="00321B67">
              <w:rPr>
                <w:rFonts w:eastAsia="Times New Roman" w:cs="Arial"/>
                <w:lang w:val="en-US" w:eastAsia="en-US"/>
              </w:rPr>
              <w:t>7</w:t>
            </w:r>
          </w:p>
        </w:tc>
        <w:tc>
          <w:tcPr>
            <w:tcW w:w="1720" w:type="dxa"/>
            <w:tcBorders>
              <w:top w:val="single" w:sz="4" w:space="0" w:color="auto"/>
              <w:left w:val="nil"/>
              <w:bottom w:val="single" w:sz="4" w:space="0" w:color="auto"/>
              <w:right w:val="single" w:sz="4" w:space="0" w:color="auto"/>
            </w:tcBorders>
            <w:shd w:val="clear" w:color="auto" w:fill="auto"/>
            <w:vAlign w:val="center"/>
          </w:tcPr>
          <w:p w:rsidR="009C0E81" w:rsidRPr="009C0E81" w:rsidRDefault="009C0E81" w:rsidP="009C0E81">
            <w:pPr>
              <w:spacing w:before="60" w:after="60"/>
              <w:jc w:val="left"/>
              <w:rPr>
                <w:rFonts w:eastAsia="Times New Roman" w:cs="Arial"/>
                <w:lang w:val="en-US" w:eastAsia="en-US"/>
              </w:rPr>
            </w:pPr>
            <w:r w:rsidRPr="009C0E81">
              <w:rPr>
                <w:rFonts w:eastAsia="Times New Roman" w:cs="Arial"/>
                <w:lang w:val="en-US" w:eastAsia="en-US"/>
              </w:rPr>
              <w:t>Contingent liabilities</w:t>
            </w:r>
          </w:p>
        </w:tc>
        <w:tc>
          <w:tcPr>
            <w:tcW w:w="6905" w:type="dxa"/>
            <w:tcBorders>
              <w:top w:val="single" w:sz="4" w:space="0" w:color="auto"/>
              <w:left w:val="nil"/>
              <w:bottom w:val="single" w:sz="4" w:space="0" w:color="auto"/>
              <w:right w:val="single" w:sz="4" w:space="0" w:color="auto"/>
            </w:tcBorders>
            <w:shd w:val="clear" w:color="auto" w:fill="auto"/>
            <w:vAlign w:val="center"/>
          </w:tcPr>
          <w:p w:rsidR="009C0E81" w:rsidRPr="009C0E81" w:rsidRDefault="009C0E81" w:rsidP="009C0E81">
            <w:pPr>
              <w:spacing w:before="60" w:after="60"/>
              <w:jc w:val="left"/>
              <w:rPr>
                <w:rFonts w:eastAsia="Times New Roman" w:cs="Arial"/>
                <w:lang w:val="en-US" w:eastAsia="en-US"/>
              </w:rPr>
            </w:pPr>
            <w:r w:rsidRPr="009C0E81">
              <w:rPr>
                <w:rFonts w:eastAsia="Times New Roman" w:cs="Arial"/>
                <w:lang w:val="en-US" w:eastAsia="en-US"/>
              </w:rPr>
              <w:t>Contingent liabilities are represented by the tag '</w:t>
            </w:r>
            <w:r w:rsidRPr="001162DA">
              <w:rPr>
                <w:rFonts w:eastAsia="Times New Roman" w:cs="Arial"/>
                <w:i/>
                <w:iCs/>
                <w:color w:val="DD0806"/>
                <w:lang w:val="en-US" w:eastAsia="en-US"/>
              </w:rPr>
              <w:t xml:space="preserve">Contingent considerations, </w:t>
            </w:r>
            <w:r w:rsidR="00686066" w:rsidRPr="001162DA">
              <w:rPr>
                <w:rFonts w:eastAsia="Times New Roman" w:cs="Arial"/>
                <w:i/>
                <w:iCs/>
                <w:color w:val="DD0806"/>
                <w:lang w:val="en-US" w:eastAsia="en-US"/>
              </w:rPr>
              <w:t>liabilities</w:t>
            </w:r>
            <w:r w:rsidR="00686066" w:rsidRPr="009C0E81">
              <w:rPr>
                <w:rFonts w:eastAsia="Times New Roman" w:cs="Arial"/>
                <w:lang w:val="en-US" w:eastAsia="en-US"/>
              </w:rPr>
              <w:t>’ which</w:t>
            </w:r>
            <w:r w:rsidRPr="009C0E81">
              <w:rPr>
                <w:rFonts w:eastAsia="Times New Roman" w:cs="Arial"/>
                <w:lang w:val="en-US" w:eastAsia="en-US"/>
              </w:rPr>
              <w:t xml:space="preserve"> can be found under financial liabilities.   (A groupi</w:t>
            </w:r>
            <w:r w:rsidR="001162DA">
              <w:rPr>
                <w:rFonts w:eastAsia="Times New Roman" w:cs="Arial"/>
                <w:lang w:val="en-US" w:eastAsia="en-US"/>
              </w:rPr>
              <w:t xml:space="preserve">ng is also available under the </w:t>
            </w:r>
            <w:r w:rsidRPr="001162DA">
              <w:rPr>
                <w:rFonts w:eastAsia="Times New Roman" w:cs="Arial"/>
                <w:i/>
                <w:color w:val="008000"/>
                <w:lang w:val="en-US" w:eastAsia="en-US"/>
              </w:rPr>
              <w:t>Contingent liabilities and ass</w:t>
            </w:r>
            <w:r w:rsidR="001162DA" w:rsidRPr="001162DA">
              <w:rPr>
                <w:rFonts w:eastAsia="Times New Roman" w:cs="Arial"/>
                <w:i/>
                <w:color w:val="008000"/>
                <w:lang w:val="en-US" w:eastAsia="en-US"/>
              </w:rPr>
              <w:t>ets</w:t>
            </w:r>
            <w:r w:rsidR="001162DA">
              <w:rPr>
                <w:rFonts w:eastAsia="Times New Roman" w:cs="Arial"/>
                <w:lang w:val="en-US" w:eastAsia="en-US"/>
              </w:rPr>
              <w:t xml:space="preserve"> section to cover '</w:t>
            </w:r>
            <w:r w:rsidR="001162DA" w:rsidRPr="001162DA">
              <w:rPr>
                <w:rFonts w:eastAsia="Times New Roman" w:cs="Arial"/>
                <w:i/>
                <w:iCs/>
                <w:color w:val="DD0806"/>
                <w:lang w:val="en-US" w:eastAsia="en-US"/>
              </w:rPr>
              <w:t>S</w:t>
            </w:r>
            <w:r w:rsidRPr="001162DA">
              <w:rPr>
                <w:rFonts w:eastAsia="Times New Roman" w:cs="Arial"/>
                <w:i/>
                <w:iCs/>
                <w:color w:val="DD0806"/>
                <w:lang w:val="en-US" w:eastAsia="en-US"/>
              </w:rPr>
              <w:t>pecific guarantees, contingent liabilities</w:t>
            </w:r>
            <w:r w:rsidRPr="009C0E81">
              <w:rPr>
                <w:rFonts w:eastAsia="Times New Roman" w:cs="Arial"/>
                <w:lang w:val="en-US" w:eastAsia="en-US"/>
              </w:rPr>
              <w:t>'.  No tags are available for the subtotals of guaranteed and non-guaranteed contingent liabilities.)</w:t>
            </w:r>
          </w:p>
        </w:tc>
      </w:tr>
      <w:tr w:rsidR="009C0E81" w:rsidRPr="009C0E81" w:rsidTr="00B54B4C">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9C0E81" w:rsidRPr="000C6D79" w:rsidRDefault="009C0E81" w:rsidP="009C0E81">
            <w:pPr>
              <w:spacing w:before="60" w:after="60"/>
              <w:jc w:val="left"/>
              <w:rPr>
                <w:rFonts w:eastAsia="Times New Roman" w:cs="Arial"/>
                <w:highlight w:val="yellow"/>
                <w:lang w:val="en-US" w:eastAsia="en-US"/>
              </w:rPr>
            </w:pPr>
            <w:r w:rsidRPr="000C6D79">
              <w:rPr>
                <w:rFonts w:eastAsia="Times New Roman" w:cs="Arial"/>
                <w:highlight w:val="yellow"/>
                <w:lang w:val="en-US" w:eastAsia="en-US"/>
              </w:rPr>
              <w:t>8.3</w:t>
            </w:r>
            <w:r w:rsidR="00321B67">
              <w:rPr>
                <w:rFonts w:eastAsia="Times New Roman" w:cs="Arial"/>
                <w:highlight w:val="yellow"/>
                <w:lang w:val="en-US" w:eastAsia="en-US"/>
              </w:rPr>
              <w:t>8</w:t>
            </w:r>
          </w:p>
        </w:tc>
        <w:tc>
          <w:tcPr>
            <w:tcW w:w="1720" w:type="dxa"/>
            <w:tcBorders>
              <w:top w:val="single" w:sz="4" w:space="0" w:color="auto"/>
              <w:left w:val="nil"/>
              <w:bottom w:val="single" w:sz="4" w:space="0" w:color="auto"/>
              <w:right w:val="single" w:sz="4" w:space="0" w:color="auto"/>
            </w:tcBorders>
            <w:shd w:val="clear" w:color="auto" w:fill="auto"/>
            <w:vAlign w:val="center"/>
          </w:tcPr>
          <w:p w:rsidR="009C0E81" w:rsidRPr="000C6D79" w:rsidRDefault="009C0E81" w:rsidP="009C0E81">
            <w:pPr>
              <w:spacing w:before="60" w:after="60"/>
              <w:jc w:val="left"/>
              <w:rPr>
                <w:rFonts w:eastAsia="Times New Roman" w:cs="Arial"/>
                <w:highlight w:val="yellow"/>
                <w:lang w:val="en-US" w:eastAsia="en-US"/>
              </w:rPr>
            </w:pPr>
            <w:r w:rsidRPr="000C6D79">
              <w:rPr>
                <w:rFonts w:eastAsia="Times New Roman" w:cs="Arial"/>
                <w:highlight w:val="yellow"/>
                <w:lang w:val="en-US" w:eastAsia="en-US"/>
              </w:rPr>
              <w:t>Derivative financial instruments</w:t>
            </w:r>
          </w:p>
        </w:tc>
        <w:tc>
          <w:tcPr>
            <w:tcW w:w="6905" w:type="dxa"/>
            <w:tcBorders>
              <w:top w:val="single" w:sz="4" w:space="0" w:color="auto"/>
              <w:left w:val="nil"/>
              <w:bottom w:val="single" w:sz="4" w:space="0" w:color="auto"/>
              <w:right w:val="single" w:sz="4" w:space="0" w:color="auto"/>
            </w:tcBorders>
            <w:shd w:val="clear" w:color="auto" w:fill="auto"/>
            <w:vAlign w:val="center"/>
          </w:tcPr>
          <w:p w:rsidR="009C0E81" w:rsidRPr="009C0E81" w:rsidRDefault="009C0E81" w:rsidP="009C0E81">
            <w:pPr>
              <w:spacing w:before="60" w:after="60"/>
              <w:jc w:val="left"/>
              <w:rPr>
                <w:rFonts w:eastAsia="Times New Roman" w:cs="Arial"/>
                <w:lang w:val="en-US" w:eastAsia="en-US"/>
              </w:rPr>
            </w:pPr>
            <w:r w:rsidRPr="009C0E81">
              <w:rPr>
                <w:rFonts w:eastAsia="Times New Roman" w:cs="Arial"/>
                <w:lang w:val="en-US" w:eastAsia="en-US"/>
              </w:rPr>
              <w:t>The tag '</w:t>
            </w:r>
            <w:r w:rsidRPr="001162DA">
              <w:rPr>
                <w:rFonts w:eastAsia="Times New Roman" w:cs="Arial"/>
                <w:i/>
                <w:iCs/>
                <w:color w:val="DD0806"/>
                <w:lang w:val="en-US" w:eastAsia="en-US"/>
              </w:rPr>
              <w:t>Description of compound financial instruments with multiple embedded derivatives</w:t>
            </w:r>
            <w:r w:rsidR="001162DA">
              <w:rPr>
                <w:rFonts w:eastAsia="Times New Roman" w:cs="Arial"/>
                <w:lang w:val="en-US" w:eastAsia="en-US"/>
              </w:rPr>
              <w:t xml:space="preserve">' within the </w:t>
            </w:r>
            <w:r w:rsidRPr="001162DA">
              <w:rPr>
                <w:rFonts w:eastAsia="Times New Roman" w:cs="Arial"/>
                <w:i/>
                <w:color w:val="008000"/>
                <w:lang w:val="en-US" w:eastAsia="en-US"/>
              </w:rPr>
              <w:t>Derivative financial i</w:t>
            </w:r>
            <w:r w:rsidR="001162DA" w:rsidRPr="001162DA">
              <w:rPr>
                <w:rFonts w:eastAsia="Times New Roman" w:cs="Arial"/>
                <w:i/>
                <w:color w:val="008000"/>
                <w:lang w:val="en-US" w:eastAsia="en-US"/>
              </w:rPr>
              <w:t>nstruments and hedge accounting</w:t>
            </w:r>
            <w:r w:rsidRPr="009C0E81">
              <w:rPr>
                <w:rFonts w:eastAsia="Times New Roman" w:cs="Arial"/>
                <w:lang w:val="en-US" w:eastAsia="en-US"/>
              </w:rPr>
              <w:t xml:space="preserve"> section is incorrectly set as abstract and cannot be used.   </w:t>
            </w:r>
          </w:p>
        </w:tc>
      </w:tr>
      <w:tr w:rsidR="009C0E81" w:rsidRPr="009C0E81" w:rsidTr="00B54B4C">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9C0E81" w:rsidRPr="009C0E81" w:rsidRDefault="009C0E81" w:rsidP="009C0E81">
            <w:pPr>
              <w:spacing w:before="60" w:after="60"/>
              <w:jc w:val="left"/>
              <w:rPr>
                <w:rFonts w:eastAsia="Times New Roman" w:cs="Arial"/>
                <w:lang w:val="en-US" w:eastAsia="en-US"/>
              </w:rPr>
            </w:pPr>
            <w:r w:rsidRPr="009C0E81">
              <w:rPr>
                <w:rFonts w:eastAsia="Times New Roman" w:cs="Arial"/>
                <w:lang w:val="en-US" w:eastAsia="en-US"/>
              </w:rPr>
              <w:t>8.3</w:t>
            </w:r>
            <w:r w:rsidR="00321B67">
              <w:rPr>
                <w:rFonts w:eastAsia="Times New Roman" w:cs="Arial"/>
                <w:lang w:val="en-US" w:eastAsia="en-US"/>
              </w:rPr>
              <w:t>9</w:t>
            </w:r>
          </w:p>
        </w:tc>
        <w:tc>
          <w:tcPr>
            <w:tcW w:w="1720" w:type="dxa"/>
            <w:tcBorders>
              <w:top w:val="single" w:sz="4" w:space="0" w:color="auto"/>
              <w:left w:val="nil"/>
              <w:bottom w:val="single" w:sz="4" w:space="0" w:color="auto"/>
              <w:right w:val="single" w:sz="4" w:space="0" w:color="auto"/>
            </w:tcBorders>
            <w:shd w:val="clear" w:color="auto" w:fill="auto"/>
            <w:vAlign w:val="center"/>
          </w:tcPr>
          <w:p w:rsidR="009C0E81" w:rsidRPr="009C0E81" w:rsidRDefault="009C0E81" w:rsidP="009C0E81">
            <w:pPr>
              <w:spacing w:before="60" w:after="60"/>
              <w:jc w:val="left"/>
              <w:rPr>
                <w:rFonts w:eastAsia="Times New Roman" w:cs="Arial"/>
                <w:lang w:val="en-US" w:eastAsia="en-US"/>
              </w:rPr>
            </w:pPr>
            <w:r w:rsidRPr="009C0E81">
              <w:rPr>
                <w:rFonts w:eastAsia="Times New Roman" w:cs="Arial"/>
                <w:lang w:val="en-US" w:eastAsia="en-US"/>
              </w:rPr>
              <w:t>Movements in financial instrument fair value hierarchy</w:t>
            </w:r>
          </w:p>
        </w:tc>
        <w:tc>
          <w:tcPr>
            <w:tcW w:w="6905" w:type="dxa"/>
            <w:tcBorders>
              <w:top w:val="single" w:sz="4" w:space="0" w:color="auto"/>
              <w:left w:val="nil"/>
              <w:bottom w:val="single" w:sz="4" w:space="0" w:color="auto"/>
              <w:right w:val="single" w:sz="4" w:space="0" w:color="auto"/>
            </w:tcBorders>
            <w:shd w:val="clear" w:color="auto" w:fill="auto"/>
            <w:vAlign w:val="center"/>
          </w:tcPr>
          <w:p w:rsidR="009C0E81" w:rsidRPr="009C0E81" w:rsidRDefault="009C0E81" w:rsidP="009C0E81">
            <w:pPr>
              <w:spacing w:before="60" w:after="60"/>
              <w:jc w:val="left"/>
              <w:rPr>
                <w:rFonts w:eastAsia="Times New Roman" w:cs="Arial"/>
                <w:lang w:val="en-US" w:eastAsia="en-US"/>
              </w:rPr>
            </w:pPr>
            <w:r w:rsidRPr="009C0E81">
              <w:rPr>
                <w:rFonts w:eastAsia="Times New Roman" w:cs="Arial"/>
                <w:lang w:val="en-US" w:eastAsia="en-US"/>
              </w:rPr>
              <w:t xml:space="preserve">The expected sign on values in movements in the fair value hierarchy is determined by the label of the </w:t>
            </w:r>
            <w:r w:rsidRPr="009C0E81">
              <w:rPr>
                <w:rFonts w:eastAsia="Times New Roman" w:cs="Arial"/>
                <w:b/>
                <w:bCs/>
                <w:lang w:val="en-US" w:eastAsia="en-US"/>
              </w:rPr>
              <w:t>dimension tag</w:t>
            </w:r>
            <w:r w:rsidRPr="009C0E81">
              <w:rPr>
                <w:rFonts w:eastAsia="Times New Roman" w:cs="Arial"/>
                <w:lang w:val="en-US" w:eastAsia="en-US"/>
              </w:rPr>
              <w:t xml:space="preserve"> describing the movement (not the line item tag which simply refers to 'change' and does not give a sign indication).  </w:t>
            </w:r>
          </w:p>
        </w:tc>
      </w:tr>
    </w:tbl>
    <w:p w:rsidR="00B83151" w:rsidRDefault="00B83151" w:rsidP="00B83151">
      <w:pPr>
        <w:rPr>
          <w:rFonts w:cs="Arial"/>
        </w:rPr>
      </w:pPr>
    </w:p>
    <w:p w:rsidR="00510B49" w:rsidRDefault="00E54601" w:rsidP="00E54601">
      <w:pPr>
        <w:pStyle w:val="Heading2"/>
      </w:pPr>
      <w:bookmarkStart w:id="30" w:name="_Toc292036835"/>
      <w:r>
        <w:t>GAAP – Financial instrument risks</w:t>
      </w:r>
      <w:bookmarkEnd w:id="30"/>
    </w:p>
    <w:p w:rsidR="00510B49" w:rsidRDefault="00510B49" w:rsidP="00B83151">
      <w:pPr>
        <w:rPr>
          <w:rFonts w:cs="Arial"/>
        </w:rPr>
      </w:pPr>
    </w:p>
    <w:tbl>
      <w:tblPr>
        <w:tblW w:w="9231" w:type="dxa"/>
        <w:tblInd w:w="91" w:type="dxa"/>
        <w:tblLook w:val="0000"/>
      </w:tblPr>
      <w:tblGrid>
        <w:gridCol w:w="606"/>
        <w:gridCol w:w="1718"/>
        <w:gridCol w:w="6907"/>
      </w:tblGrid>
      <w:tr w:rsidR="00B83151" w:rsidRPr="00D50F7D" w:rsidTr="008A19C4">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ID</w:t>
            </w:r>
          </w:p>
        </w:tc>
        <w:tc>
          <w:tcPr>
            <w:tcW w:w="1728" w:type="dxa"/>
            <w:tcBorders>
              <w:top w:val="single" w:sz="4" w:space="0" w:color="auto"/>
              <w:left w:val="nil"/>
              <w:bottom w:val="single" w:sz="4" w:space="0" w:color="auto"/>
              <w:right w:val="single" w:sz="4" w:space="0" w:color="auto"/>
            </w:tcBorders>
            <w:shd w:val="clear" w:color="auto" w:fill="auto"/>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Item</w:t>
            </w:r>
          </w:p>
        </w:tc>
        <w:tc>
          <w:tcPr>
            <w:tcW w:w="7008" w:type="dxa"/>
            <w:tcBorders>
              <w:top w:val="single" w:sz="4" w:space="0" w:color="auto"/>
              <w:left w:val="nil"/>
              <w:bottom w:val="single" w:sz="4" w:space="0" w:color="auto"/>
              <w:right w:val="single" w:sz="4" w:space="0" w:color="auto"/>
            </w:tcBorders>
            <w:shd w:val="clear" w:color="auto" w:fill="auto"/>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Description</w:t>
            </w:r>
          </w:p>
        </w:tc>
      </w:tr>
      <w:tr w:rsidR="00E54601" w:rsidRPr="00E54601" w:rsidTr="00E54601">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4601" w:rsidRPr="00E54601" w:rsidRDefault="00E54601" w:rsidP="00E54601">
            <w:pPr>
              <w:spacing w:before="60" w:after="60"/>
              <w:jc w:val="left"/>
              <w:rPr>
                <w:rFonts w:eastAsia="Times New Roman" w:cs="Arial"/>
                <w:lang w:val="en-US" w:eastAsia="en-US"/>
              </w:rPr>
            </w:pPr>
            <w:r w:rsidRPr="00E54601">
              <w:rPr>
                <w:rFonts w:eastAsia="Times New Roman" w:cs="Arial"/>
                <w:lang w:val="en-US" w:eastAsia="en-US"/>
              </w:rPr>
              <w:t>8.</w:t>
            </w:r>
            <w:r w:rsidR="00321B67">
              <w:rPr>
                <w:rFonts w:eastAsia="Times New Roman" w:cs="Arial"/>
                <w:lang w:val="en-US" w:eastAsia="en-US"/>
              </w:rPr>
              <w:t>40</w:t>
            </w:r>
          </w:p>
        </w:tc>
        <w:tc>
          <w:tcPr>
            <w:tcW w:w="1728" w:type="dxa"/>
            <w:tcBorders>
              <w:top w:val="single" w:sz="4" w:space="0" w:color="auto"/>
              <w:left w:val="nil"/>
              <w:bottom w:val="single" w:sz="4" w:space="0" w:color="auto"/>
              <w:right w:val="single" w:sz="4" w:space="0" w:color="auto"/>
            </w:tcBorders>
            <w:shd w:val="clear" w:color="auto" w:fill="auto"/>
            <w:vAlign w:val="center"/>
          </w:tcPr>
          <w:p w:rsidR="00E54601" w:rsidRPr="00E54601" w:rsidRDefault="00E54601" w:rsidP="00E54601">
            <w:pPr>
              <w:spacing w:before="60" w:after="60"/>
              <w:jc w:val="left"/>
              <w:rPr>
                <w:rFonts w:eastAsia="Times New Roman" w:cs="Arial"/>
                <w:lang w:val="en-US" w:eastAsia="en-US"/>
              </w:rPr>
            </w:pPr>
            <w:r w:rsidRPr="00E54601">
              <w:rPr>
                <w:rFonts w:eastAsia="Times New Roman" w:cs="Arial"/>
                <w:lang w:val="en-US" w:eastAsia="en-US"/>
              </w:rPr>
              <w:t>Financial instrument risks</w:t>
            </w:r>
          </w:p>
        </w:tc>
        <w:tc>
          <w:tcPr>
            <w:tcW w:w="7008" w:type="dxa"/>
            <w:tcBorders>
              <w:top w:val="single" w:sz="4" w:space="0" w:color="auto"/>
              <w:left w:val="nil"/>
              <w:bottom w:val="single" w:sz="4" w:space="0" w:color="auto"/>
              <w:right w:val="single" w:sz="4" w:space="0" w:color="auto"/>
            </w:tcBorders>
            <w:shd w:val="clear" w:color="auto" w:fill="auto"/>
            <w:vAlign w:val="center"/>
          </w:tcPr>
          <w:p w:rsidR="0043483A" w:rsidRDefault="00E54601" w:rsidP="00E54601">
            <w:pPr>
              <w:spacing w:before="60" w:after="60"/>
              <w:jc w:val="left"/>
              <w:rPr>
                <w:rFonts w:eastAsia="Times New Roman" w:cs="Arial"/>
                <w:lang w:val="en-US" w:eastAsia="en-US"/>
              </w:rPr>
            </w:pPr>
            <w:r w:rsidRPr="00E54601">
              <w:rPr>
                <w:rFonts w:eastAsia="Times New Roman" w:cs="Arial"/>
                <w:lang w:val="en-US" w:eastAsia="en-US"/>
              </w:rPr>
              <w:t xml:space="preserve">The </w:t>
            </w:r>
            <w:r w:rsidRPr="00E54601">
              <w:rPr>
                <w:rFonts w:eastAsia="Times New Roman" w:cs="Arial"/>
                <w:i/>
                <w:iCs/>
                <w:color w:val="006411"/>
                <w:lang w:val="en-US" w:eastAsia="en-US"/>
              </w:rPr>
              <w:t>Financial instrument risks</w:t>
            </w:r>
            <w:r w:rsidRPr="00E54601">
              <w:rPr>
                <w:rFonts w:eastAsia="Times New Roman" w:cs="Arial"/>
                <w:lang w:val="en-US" w:eastAsia="en-US"/>
              </w:rPr>
              <w:t xml:space="preserve"> section, located under Accounting Policies</w:t>
            </w:r>
            <w:r w:rsidR="00686066" w:rsidRPr="00E54601">
              <w:rPr>
                <w:rFonts w:eastAsia="Times New Roman" w:cs="Arial"/>
                <w:lang w:val="en-US" w:eastAsia="en-US"/>
              </w:rPr>
              <w:t>, primarily</w:t>
            </w:r>
            <w:r w:rsidRPr="00E54601">
              <w:rPr>
                <w:rFonts w:eastAsia="Times New Roman" w:cs="Arial"/>
                <w:lang w:val="en-US" w:eastAsia="en-US"/>
              </w:rPr>
              <w:t xml:space="preserve"> contains text tags to cover descriptions of financial instrument risk.  (This does not cover general business risks, which do not need to be tagged.)  Tags for descriptive sections on </w:t>
            </w:r>
            <w:r w:rsidRPr="00E54601">
              <w:rPr>
                <w:rFonts w:eastAsia="Times New Roman" w:cs="Arial"/>
                <w:b/>
                <w:bCs/>
                <w:lang w:val="en-US" w:eastAsia="en-US"/>
              </w:rPr>
              <w:t>currency risk</w:t>
            </w:r>
            <w:r w:rsidRPr="00E54601">
              <w:rPr>
                <w:rFonts w:eastAsia="Times New Roman" w:cs="Arial"/>
                <w:lang w:val="en-US" w:eastAsia="en-US"/>
              </w:rPr>
              <w:t xml:space="preserve">, </w:t>
            </w:r>
            <w:r w:rsidRPr="00E54601">
              <w:rPr>
                <w:rFonts w:eastAsia="Times New Roman" w:cs="Arial"/>
                <w:b/>
                <w:bCs/>
                <w:lang w:val="en-US" w:eastAsia="en-US"/>
              </w:rPr>
              <w:t>interest rate risk</w:t>
            </w:r>
            <w:r w:rsidRPr="00E54601">
              <w:rPr>
                <w:rFonts w:eastAsia="Times New Roman" w:cs="Arial"/>
                <w:lang w:val="en-US" w:eastAsia="en-US"/>
              </w:rPr>
              <w:t xml:space="preserve"> and other types of risk are in the </w:t>
            </w:r>
            <w:r w:rsidRPr="00E54601">
              <w:rPr>
                <w:rFonts w:eastAsia="Times New Roman" w:cs="Arial"/>
                <w:i/>
                <w:iCs/>
                <w:color w:val="006411"/>
                <w:lang w:val="en-US" w:eastAsia="en-US"/>
              </w:rPr>
              <w:t>Market risk sensitivity</w:t>
            </w:r>
            <w:r w:rsidRPr="00E54601">
              <w:rPr>
                <w:rFonts w:eastAsia="Times New Roman" w:cs="Arial"/>
                <w:lang w:val="en-US" w:eastAsia="en-US"/>
              </w:rPr>
              <w:t xml:space="preserve"> sub-section.  A general grouping '</w:t>
            </w:r>
            <w:r w:rsidRPr="00E54601">
              <w:rPr>
                <w:rFonts w:eastAsia="Times New Roman" w:cs="Arial"/>
                <w:i/>
                <w:iCs/>
                <w:color w:val="DD0806"/>
                <w:lang w:val="en-US" w:eastAsia="en-US"/>
              </w:rPr>
              <w:t>Other specific type of risk exposure</w:t>
            </w:r>
            <w:r w:rsidRPr="00E54601">
              <w:rPr>
                <w:rFonts w:eastAsia="Times New Roman" w:cs="Arial"/>
                <w:lang w:val="en-US" w:eastAsia="en-US"/>
              </w:rPr>
              <w:t xml:space="preserve">' enables tagging of significant types of risk for which individual tags do not exist.  </w:t>
            </w:r>
          </w:p>
          <w:p w:rsidR="00E54601" w:rsidRPr="00E54601" w:rsidRDefault="00E54601" w:rsidP="00E54601">
            <w:pPr>
              <w:spacing w:before="60" w:after="60"/>
              <w:jc w:val="left"/>
              <w:rPr>
                <w:rFonts w:eastAsia="Times New Roman" w:cs="Arial"/>
                <w:lang w:val="en-US" w:eastAsia="en-US"/>
              </w:rPr>
            </w:pPr>
            <w:r w:rsidRPr="00E54601">
              <w:rPr>
                <w:rFonts w:eastAsia="Times New Roman" w:cs="Arial"/>
                <w:b/>
                <w:bCs/>
                <w:lang w:val="en-US" w:eastAsia="en-US"/>
              </w:rPr>
              <w:t xml:space="preserve"> Numeric data </w:t>
            </w:r>
            <w:r w:rsidRPr="00E54601">
              <w:rPr>
                <w:rFonts w:eastAsia="Times New Roman" w:cs="Arial"/>
                <w:lang w:val="en-US" w:eastAsia="en-US"/>
              </w:rPr>
              <w:t>on credit risks is covered by a grouping '</w:t>
            </w:r>
            <w:r w:rsidRPr="00E54601">
              <w:rPr>
                <w:rFonts w:eastAsia="Times New Roman" w:cs="Arial"/>
                <w:i/>
                <w:iCs/>
                <w:color w:val="DD0806"/>
                <w:lang w:val="en-US" w:eastAsia="en-US"/>
              </w:rPr>
              <w:t>Credit risk on financial assets [grouping]</w:t>
            </w:r>
            <w:r w:rsidRPr="00E54601">
              <w:rPr>
                <w:rFonts w:eastAsia="Times New Roman" w:cs="Arial"/>
                <w:lang w:val="en-US" w:eastAsia="en-US"/>
              </w:rPr>
              <w:t xml:space="preserve">'.  Liquidity risk is covered by use of the </w:t>
            </w:r>
            <w:r w:rsidR="004E5940" w:rsidRPr="004E5940">
              <w:rPr>
                <w:rFonts w:eastAsia="Times New Roman" w:cs="Arial"/>
                <w:i/>
                <w:lang w:val="en-US" w:eastAsia="en-US"/>
              </w:rPr>
              <w:t>M</w:t>
            </w:r>
            <w:r w:rsidRPr="004E5940">
              <w:rPr>
                <w:rFonts w:eastAsia="Times New Roman" w:cs="Arial"/>
                <w:i/>
                <w:lang w:val="en-US" w:eastAsia="en-US"/>
              </w:rPr>
              <w:t>atu</w:t>
            </w:r>
            <w:r w:rsidR="00686066" w:rsidRPr="004E5940">
              <w:rPr>
                <w:rFonts w:eastAsia="Times New Roman" w:cs="Arial"/>
                <w:i/>
                <w:lang w:val="en-US" w:eastAsia="en-US"/>
              </w:rPr>
              <w:t>rities</w:t>
            </w:r>
            <w:r w:rsidR="00686066">
              <w:rPr>
                <w:rFonts w:eastAsia="Times New Roman" w:cs="Arial"/>
                <w:lang w:val="en-US" w:eastAsia="en-US"/>
              </w:rPr>
              <w:t xml:space="preserve"> dimension, as described </w:t>
            </w:r>
            <w:r w:rsidRPr="00E54601">
              <w:rPr>
                <w:rFonts w:eastAsia="Times New Roman" w:cs="Arial"/>
                <w:lang w:val="en-US" w:eastAsia="en-US"/>
              </w:rPr>
              <w:t xml:space="preserve">in item </w:t>
            </w:r>
            <w:r w:rsidR="00686066">
              <w:rPr>
                <w:rFonts w:eastAsia="Times New Roman" w:cs="Arial"/>
                <w:lang w:val="en-US" w:eastAsia="en-US"/>
              </w:rPr>
              <w:t>8.</w:t>
            </w:r>
            <w:r w:rsidR="005B6247">
              <w:rPr>
                <w:rFonts w:eastAsia="Times New Roman" w:cs="Arial"/>
                <w:lang w:val="en-US" w:eastAsia="en-US"/>
              </w:rPr>
              <w:t xml:space="preserve">41 </w:t>
            </w:r>
            <w:r w:rsidRPr="00E54601">
              <w:rPr>
                <w:rFonts w:eastAsia="Times New Roman" w:cs="Arial"/>
                <w:lang w:val="en-US" w:eastAsia="en-US"/>
              </w:rPr>
              <w:t xml:space="preserve">below, while currency exposure </w:t>
            </w:r>
            <w:r w:rsidR="00686066">
              <w:rPr>
                <w:rFonts w:eastAsia="Times New Roman" w:cs="Arial"/>
                <w:lang w:val="en-US" w:eastAsia="en-US"/>
              </w:rPr>
              <w:t xml:space="preserve">is handled </w:t>
            </w:r>
            <w:r w:rsidRPr="00E54601">
              <w:rPr>
                <w:rFonts w:eastAsia="Times New Roman" w:cs="Arial"/>
                <w:lang w:val="en-US" w:eastAsia="en-US"/>
              </w:rPr>
              <w:t xml:space="preserve">by the use </w:t>
            </w:r>
            <w:r w:rsidR="004E5940">
              <w:rPr>
                <w:rFonts w:eastAsia="Times New Roman" w:cs="Arial"/>
                <w:lang w:val="en-US" w:eastAsia="en-US"/>
              </w:rPr>
              <w:t xml:space="preserve">of the </w:t>
            </w:r>
            <w:r w:rsidR="004E5940" w:rsidRPr="004E5940">
              <w:rPr>
                <w:rFonts w:eastAsia="Times New Roman" w:cs="Arial"/>
                <w:i/>
                <w:lang w:val="en-US" w:eastAsia="en-US"/>
              </w:rPr>
              <w:t>C</w:t>
            </w:r>
            <w:r w:rsidRPr="004E5940">
              <w:rPr>
                <w:rFonts w:eastAsia="Times New Roman" w:cs="Arial"/>
                <w:i/>
                <w:lang w:val="en-US" w:eastAsia="en-US"/>
              </w:rPr>
              <w:t>urrencies</w:t>
            </w:r>
            <w:r w:rsidRPr="00E54601">
              <w:rPr>
                <w:rFonts w:eastAsia="Times New Roman" w:cs="Arial"/>
                <w:lang w:val="en-US" w:eastAsia="en-US"/>
              </w:rPr>
              <w:t xml:space="preserve"> dimension.   The GAAP taxonomy has less extensive tags available for financial instrument risks than the IFRS taxonomy.  </w:t>
            </w:r>
          </w:p>
        </w:tc>
      </w:tr>
      <w:tr w:rsidR="00E54601" w:rsidRPr="00E54601" w:rsidTr="00E54601">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4601" w:rsidRPr="00E54601" w:rsidRDefault="00E54601" w:rsidP="00E54601">
            <w:pPr>
              <w:spacing w:before="60" w:after="60"/>
              <w:jc w:val="left"/>
              <w:rPr>
                <w:rFonts w:eastAsia="Times New Roman" w:cs="Arial"/>
                <w:lang w:val="en-US" w:eastAsia="en-US"/>
              </w:rPr>
            </w:pPr>
            <w:r w:rsidRPr="00E54601">
              <w:rPr>
                <w:rFonts w:eastAsia="Times New Roman" w:cs="Arial"/>
                <w:lang w:val="en-US" w:eastAsia="en-US"/>
              </w:rPr>
              <w:t>8.</w:t>
            </w:r>
            <w:r w:rsidR="00B54B4C">
              <w:rPr>
                <w:rFonts w:eastAsia="Times New Roman" w:cs="Arial"/>
                <w:lang w:val="en-US" w:eastAsia="en-US"/>
              </w:rPr>
              <w:t>4</w:t>
            </w:r>
            <w:r w:rsidR="00321B67">
              <w:rPr>
                <w:rFonts w:eastAsia="Times New Roman" w:cs="Arial"/>
                <w:lang w:val="en-US" w:eastAsia="en-US"/>
              </w:rPr>
              <w:t>1</w:t>
            </w:r>
          </w:p>
        </w:tc>
        <w:tc>
          <w:tcPr>
            <w:tcW w:w="1728" w:type="dxa"/>
            <w:tcBorders>
              <w:top w:val="single" w:sz="4" w:space="0" w:color="auto"/>
              <w:left w:val="nil"/>
              <w:bottom w:val="single" w:sz="4" w:space="0" w:color="auto"/>
              <w:right w:val="single" w:sz="4" w:space="0" w:color="auto"/>
            </w:tcBorders>
            <w:shd w:val="clear" w:color="auto" w:fill="auto"/>
            <w:vAlign w:val="center"/>
          </w:tcPr>
          <w:p w:rsidR="00E54601" w:rsidRPr="00E54601" w:rsidRDefault="00E54601" w:rsidP="00E54601">
            <w:pPr>
              <w:spacing w:before="60" w:after="60"/>
              <w:jc w:val="left"/>
              <w:rPr>
                <w:rFonts w:eastAsia="Times New Roman" w:cs="Arial"/>
                <w:lang w:val="en-US" w:eastAsia="en-US"/>
              </w:rPr>
            </w:pPr>
            <w:r w:rsidRPr="00E54601">
              <w:rPr>
                <w:rFonts w:eastAsia="Times New Roman" w:cs="Arial"/>
                <w:lang w:val="en-US" w:eastAsia="en-US"/>
              </w:rPr>
              <w:t>Liquidity risk note</w:t>
            </w:r>
          </w:p>
        </w:tc>
        <w:tc>
          <w:tcPr>
            <w:tcW w:w="7008" w:type="dxa"/>
            <w:tcBorders>
              <w:top w:val="single" w:sz="4" w:space="0" w:color="auto"/>
              <w:left w:val="nil"/>
              <w:bottom w:val="single" w:sz="4" w:space="0" w:color="auto"/>
              <w:right w:val="single" w:sz="4" w:space="0" w:color="auto"/>
            </w:tcBorders>
            <w:shd w:val="clear" w:color="auto" w:fill="auto"/>
            <w:vAlign w:val="center"/>
          </w:tcPr>
          <w:p w:rsidR="00E54601" w:rsidRPr="00E54601" w:rsidRDefault="00E54601" w:rsidP="00E54601">
            <w:pPr>
              <w:spacing w:before="60" w:after="60"/>
              <w:jc w:val="left"/>
              <w:rPr>
                <w:rFonts w:eastAsia="Times New Roman" w:cs="Arial"/>
                <w:lang w:val="en-US" w:eastAsia="en-US"/>
              </w:rPr>
            </w:pPr>
            <w:r w:rsidRPr="00E54601">
              <w:rPr>
                <w:rFonts w:eastAsia="Times New Roman" w:cs="Arial"/>
                <w:lang w:val="en-US" w:eastAsia="en-US"/>
              </w:rPr>
              <w:t>Different maturities for contractual undiscounted cash flows in the liquidity risk note shoul</w:t>
            </w:r>
            <w:r w:rsidR="008838EF">
              <w:rPr>
                <w:rFonts w:eastAsia="Times New Roman" w:cs="Arial"/>
                <w:lang w:val="en-US" w:eastAsia="en-US"/>
              </w:rPr>
              <w:t xml:space="preserve">d be represented by use of the </w:t>
            </w:r>
            <w:r w:rsidR="008838EF" w:rsidRPr="008838EF">
              <w:rPr>
                <w:rFonts w:eastAsia="Times New Roman" w:cs="Arial"/>
                <w:i/>
                <w:lang w:val="en-US" w:eastAsia="en-US"/>
              </w:rPr>
              <w:t>M</w:t>
            </w:r>
            <w:r w:rsidRPr="008838EF">
              <w:rPr>
                <w:rFonts w:eastAsia="Times New Roman" w:cs="Arial"/>
                <w:i/>
                <w:lang w:val="en-US" w:eastAsia="en-US"/>
              </w:rPr>
              <w:t>aturities</w:t>
            </w:r>
            <w:r w:rsidRPr="00E54601">
              <w:rPr>
                <w:rFonts w:eastAsia="Times New Roman" w:cs="Arial"/>
                <w:lang w:val="en-US" w:eastAsia="en-US"/>
              </w:rPr>
              <w:t xml:space="preserve"> dimension in combination with appropriate financial liabilities line item tags and the '</w:t>
            </w:r>
            <w:r w:rsidR="001162DA" w:rsidRPr="001162DA">
              <w:rPr>
                <w:rFonts w:eastAsia="Times New Roman" w:cs="Arial"/>
                <w:i/>
                <w:iCs/>
                <w:color w:val="DD0806"/>
                <w:lang w:val="en-US" w:eastAsia="en-US"/>
              </w:rPr>
              <w:t>N</w:t>
            </w:r>
            <w:r w:rsidRPr="001162DA">
              <w:rPr>
                <w:rFonts w:eastAsia="Times New Roman" w:cs="Arial"/>
                <w:i/>
                <w:iCs/>
                <w:color w:val="DD0806"/>
                <w:lang w:val="en-US" w:eastAsia="en-US"/>
              </w:rPr>
              <w:t>otional amount</w:t>
            </w:r>
            <w:r w:rsidRPr="00E54601">
              <w:rPr>
                <w:rFonts w:eastAsia="Times New Roman" w:cs="Arial"/>
                <w:lang w:val="en-US" w:eastAsia="en-US"/>
              </w:rPr>
              <w:t xml:space="preserve">' dimension tag.  </w:t>
            </w:r>
          </w:p>
        </w:tc>
      </w:tr>
    </w:tbl>
    <w:p w:rsidR="00B83151" w:rsidRDefault="00B83151" w:rsidP="00B83151">
      <w:pPr>
        <w:rPr>
          <w:rFonts w:cs="Arial"/>
        </w:rPr>
      </w:pPr>
    </w:p>
    <w:p w:rsidR="00B83151" w:rsidRDefault="00B54B4C" w:rsidP="0030323C">
      <w:pPr>
        <w:pStyle w:val="Heading2"/>
      </w:pPr>
      <w:r>
        <w:br w:type="page"/>
      </w:r>
      <w:bookmarkStart w:id="31" w:name="_Toc292036836"/>
      <w:r w:rsidR="0030323C">
        <w:lastRenderedPageBreak/>
        <w:t>GAAP – Share capital note</w:t>
      </w:r>
      <w:bookmarkEnd w:id="31"/>
    </w:p>
    <w:p w:rsidR="0030323C" w:rsidRDefault="0030323C" w:rsidP="00B83151">
      <w:pPr>
        <w:rPr>
          <w:rFonts w:cs="Arial"/>
        </w:rPr>
      </w:pPr>
    </w:p>
    <w:tbl>
      <w:tblPr>
        <w:tblW w:w="9231" w:type="dxa"/>
        <w:tblInd w:w="91" w:type="dxa"/>
        <w:tblLook w:val="0000"/>
      </w:tblPr>
      <w:tblGrid>
        <w:gridCol w:w="606"/>
        <w:gridCol w:w="1712"/>
        <w:gridCol w:w="6913"/>
      </w:tblGrid>
      <w:tr w:rsidR="00B83151" w:rsidRPr="00D50F7D" w:rsidTr="008A19C4">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ID</w:t>
            </w:r>
          </w:p>
        </w:tc>
        <w:tc>
          <w:tcPr>
            <w:tcW w:w="1728" w:type="dxa"/>
            <w:tcBorders>
              <w:top w:val="single" w:sz="4" w:space="0" w:color="auto"/>
              <w:left w:val="nil"/>
              <w:bottom w:val="single" w:sz="4" w:space="0" w:color="auto"/>
              <w:right w:val="single" w:sz="4" w:space="0" w:color="auto"/>
            </w:tcBorders>
            <w:shd w:val="clear" w:color="auto" w:fill="auto"/>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Item</w:t>
            </w:r>
          </w:p>
        </w:tc>
        <w:tc>
          <w:tcPr>
            <w:tcW w:w="7008" w:type="dxa"/>
            <w:tcBorders>
              <w:top w:val="single" w:sz="4" w:space="0" w:color="auto"/>
              <w:left w:val="nil"/>
              <w:bottom w:val="single" w:sz="4" w:space="0" w:color="auto"/>
              <w:right w:val="single" w:sz="4" w:space="0" w:color="auto"/>
            </w:tcBorders>
            <w:shd w:val="clear" w:color="auto" w:fill="auto"/>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Description</w:t>
            </w:r>
          </w:p>
        </w:tc>
      </w:tr>
      <w:tr w:rsidR="0030323C" w:rsidRPr="0030323C" w:rsidTr="0030323C">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0323C" w:rsidRPr="0030323C" w:rsidRDefault="0030323C" w:rsidP="0030323C">
            <w:pPr>
              <w:spacing w:before="60" w:after="60"/>
              <w:jc w:val="left"/>
              <w:rPr>
                <w:rFonts w:eastAsia="Times New Roman" w:cs="Arial"/>
                <w:lang w:val="en-US" w:eastAsia="en-US"/>
              </w:rPr>
            </w:pPr>
            <w:r w:rsidRPr="0030323C">
              <w:rPr>
                <w:rFonts w:eastAsia="Times New Roman" w:cs="Arial"/>
                <w:lang w:val="en-US" w:eastAsia="en-US"/>
              </w:rPr>
              <w:t>8.4</w:t>
            </w:r>
            <w:r w:rsidR="00321B67">
              <w:rPr>
                <w:rFonts w:eastAsia="Times New Roman" w:cs="Arial"/>
                <w:lang w:val="en-US" w:eastAsia="en-US"/>
              </w:rPr>
              <w:t>2</w:t>
            </w:r>
          </w:p>
        </w:tc>
        <w:tc>
          <w:tcPr>
            <w:tcW w:w="1728" w:type="dxa"/>
            <w:tcBorders>
              <w:top w:val="single" w:sz="4" w:space="0" w:color="auto"/>
              <w:left w:val="nil"/>
              <w:bottom w:val="single" w:sz="4" w:space="0" w:color="auto"/>
              <w:right w:val="single" w:sz="4" w:space="0" w:color="auto"/>
            </w:tcBorders>
            <w:shd w:val="clear" w:color="auto" w:fill="auto"/>
            <w:vAlign w:val="center"/>
          </w:tcPr>
          <w:p w:rsidR="0030323C" w:rsidRPr="0030323C" w:rsidRDefault="0030323C" w:rsidP="0030323C">
            <w:pPr>
              <w:spacing w:before="60" w:after="60"/>
              <w:jc w:val="left"/>
              <w:rPr>
                <w:rFonts w:eastAsia="Times New Roman" w:cs="Arial"/>
                <w:lang w:val="en-US" w:eastAsia="en-US"/>
              </w:rPr>
            </w:pPr>
            <w:bookmarkStart w:id="32" w:name="XR_ShareCapital"/>
            <w:r w:rsidRPr="0030323C">
              <w:rPr>
                <w:rFonts w:eastAsia="Times New Roman" w:cs="Arial"/>
                <w:lang w:val="en-US" w:eastAsia="en-US"/>
              </w:rPr>
              <w:t>Share capital</w:t>
            </w:r>
            <w:r w:rsidR="00B54B4C">
              <w:rPr>
                <w:rFonts w:eastAsia="Times New Roman" w:cs="Arial"/>
                <w:lang w:val="en-US" w:eastAsia="en-US"/>
              </w:rPr>
              <w:t xml:space="preserve"> </w:t>
            </w:r>
            <w:bookmarkEnd w:id="32"/>
          </w:p>
        </w:tc>
        <w:tc>
          <w:tcPr>
            <w:tcW w:w="7008" w:type="dxa"/>
            <w:tcBorders>
              <w:top w:val="single" w:sz="4" w:space="0" w:color="auto"/>
              <w:left w:val="nil"/>
              <w:bottom w:val="single" w:sz="4" w:space="0" w:color="auto"/>
              <w:right w:val="single" w:sz="4" w:space="0" w:color="auto"/>
            </w:tcBorders>
            <w:shd w:val="clear" w:color="auto" w:fill="auto"/>
            <w:vAlign w:val="center"/>
          </w:tcPr>
          <w:p w:rsidR="0043483A" w:rsidRDefault="0030323C" w:rsidP="0030323C">
            <w:pPr>
              <w:spacing w:before="60" w:after="60"/>
              <w:jc w:val="left"/>
              <w:rPr>
                <w:rFonts w:eastAsia="Times New Roman" w:cs="Arial"/>
                <w:lang w:val="en-US" w:eastAsia="en-US"/>
              </w:rPr>
            </w:pPr>
            <w:r w:rsidRPr="0030323C">
              <w:rPr>
                <w:rFonts w:eastAsia="Times New Roman" w:cs="Arial"/>
                <w:lang w:val="en-US" w:eastAsia="en-US"/>
              </w:rPr>
              <w:t>The fundamental tag for share capital is ‘</w:t>
            </w:r>
            <w:r w:rsidRPr="001162DA">
              <w:rPr>
                <w:rFonts w:eastAsia="Times New Roman" w:cs="Arial"/>
                <w:i/>
                <w:iCs/>
                <w:color w:val="DD0806"/>
                <w:lang w:val="en-US" w:eastAsia="en-US"/>
              </w:rPr>
              <w:t>Share capital, allotted, called up and paid</w:t>
            </w:r>
            <w:r w:rsidRPr="0030323C">
              <w:rPr>
                <w:rFonts w:eastAsia="Times New Roman" w:cs="Arial"/>
                <w:lang w:val="en-US" w:eastAsia="en-US"/>
              </w:rPr>
              <w:t>’.   There are also tags for ‘</w:t>
            </w:r>
            <w:r w:rsidRPr="001162DA">
              <w:rPr>
                <w:rFonts w:eastAsia="Times New Roman" w:cs="Arial"/>
                <w:i/>
                <w:iCs/>
                <w:color w:val="DD0806"/>
                <w:lang w:val="en-US" w:eastAsia="en-US"/>
              </w:rPr>
              <w:t>Number of shares, allotted</w:t>
            </w:r>
            <w:r w:rsidRPr="0030323C">
              <w:rPr>
                <w:rFonts w:eastAsia="Times New Roman" w:cs="Arial"/>
                <w:lang w:val="en-US" w:eastAsia="en-US"/>
              </w:rPr>
              <w:t>’ and ‘</w:t>
            </w:r>
            <w:r w:rsidRPr="001162DA">
              <w:rPr>
                <w:rFonts w:eastAsia="Times New Roman" w:cs="Arial"/>
                <w:i/>
                <w:iCs/>
                <w:color w:val="DD0806"/>
                <w:lang w:val="en-US" w:eastAsia="en-US"/>
              </w:rPr>
              <w:t>Value of shares allotted</w:t>
            </w:r>
            <w:r w:rsidRPr="0030323C">
              <w:rPr>
                <w:rFonts w:eastAsia="Times New Roman" w:cs="Arial"/>
                <w:lang w:val="en-US" w:eastAsia="en-US"/>
              </w:rPr>
              <w:t xml:space="preserve">’.  The latter tag should primarily be used if the ‘number allotted’ differs from the ‘number allotted, called up and paid’, which is not common.  The tags for authorised capital should be used </w:t>
            </w:r>
            <w:r w:rsidRPr="0030323C">
              <w:rPr>
                <w:rFonts w:eastAsia="Times New Roman" w:cs="Arial"/>
                <w:b/>
                <w:bCs/>
                <w:lang w:val="en-US" w:eastAsia="en-US"/>
              </w:rPr>
              <w:t>if</w:t>
            </w:r>
            <w:r w:rsidRPr="0030323C">
              <w:rPr>
                <w:rFonts w:eastAsia="Times New Roman" w:cs="Arial"/>
                <w:lang w:val="en-US" w:eastAsia="en-US"/>
              </w:rPr>
              <w:t xml:space="preserve"> a company reports this data, but that information is no longer required under the latest Companies Act </w:t>
            </w:r>
            <w:r w:rsidR="00E520A4">
              <w:rPr>
                <w:rFonts w:eastAsia="Times New Roman" w:cs="Arial"/>
                <w:lang w:val="en-US" w:eastAsia="en-US"/>
              </w:rPr>
              <w:t>and</w:t>
            </w:r>
            <w:r w:rsidRPr="0030323C">
              <w:rPr>
                <w:rFonts w:eastAsia="Times New Roman" w:cs="Arial"/>
                <w:lang w:val="en-US" w:eastAsia="en-US"/>
              </w:rPr>
              <w:t xml:space="preserve"> will presumably steadily disappear from accounts.  </w:t>
            </w:r>
          </w:p>
          <w:p w:rsidR="0043483A" w:rsidRDefault="0030323C" w:rsidP="0030323C">
            <w:pPr>
              <w:spacing w:before="60" w:after="60"/>
              <w:jc w:val="left"/>
              <w:rPr>
                <w:rFonts w:eastAsia="Times New Roman" w:cs="Arial"/>
                <w:lang w:val="en-US" w:eastAsia="en-US"/>
              </w:rPr>
            </w:pPr>
            <w:r w:rsidRPr="0030323C">
              <w:rPr>
                <w:rFonts w:eastAsia="Times New Roman" w:cs="Arial"/>
                <w:lang w:val="en-US" w:eastAsia="en-US"/>
              </w:rPr>
              <w:t xml:space="preserve">Dimensions are used to define the share classes and types covered. </w:t>
            </w:r>
          </w:p>
          <w:p w:rsidR="0043483A" w:rsidRDefault="0030323C" w:rsidP="0030323C">
            <w:pPr>
              <w:spacing w:before="60" w:after="60"/>
              <w:jc w:val="left"/>
              <w:rPr>
                <w:rFonts w:eastAsia="Times New Roman" w:cs="Arial"/>
                <w:lang w:val="en-US" w:eastAsia="en-US"/>
              </w:rPr>
            </w:pPr>
            <w:r w:rsidRPr="0030323C">
              <w:rPr>
                <w:rFonts w:eastAsia="Times New Roman" w:cs="Arial"/>
                <w:lang w:val="en-US" w:eastAsia="en-US"/>
              </w:rPr>
              <w:t xml:space="preserve">If a company has only a </w:t>
            </w:r>
            <w:r w:rsidRPr="0030323C">
              <w:rPr>
                <w:rFonts w:eastAsia="Times New Roman" w:cs="Arial"/>
                <w:b/>
                <w:bCs/>
                <w:lang w:val="en-US" w:eastAsia="en-US"/>
              </w:rPr>
              <w:t>single class of shares which are ordinary</w:t>
            </w:r>
            <w:r w:rsidRPr="0030323C">
              <w:rPr>
                <w:rFonts w:eastAsia="Times New Roman" w:cs="Arial"/>
                <w:lang w:val="en-US" w:eastAsia="en-US"/>
              </w:rPr>
              <w:t>, then it may use the default dimension</w:t>
            </w:r>
            <w:r w:rsidR="008838EF">
              <w:rPr>
                <w:rFonts w:eastAsia="Times New Roman" w:cs="Arial"/>
                <w:lang w:val="en-US" w:eastAsia="en-US"/>
              </w:rPr>
              <w:t xml:space="preserve"> tags</w:t>
            </w:r>
            <w:r w:rsidRPr="0030323C">
              <w:rPr>
                <w:rFonts w:eastAsia="Times New Roman" w:cs="Arial"/>
                <w:lang w:val="en-US" w:eastAsia="en-US"/>
              </w:rPr>
              <w:t xml:space="preserve">, avoiding the need for dimensional selections.  </w:t>
            </w:r>
          </w:p>
          <w:p w:rsidR="0043483A" w:rsidRDefault="0030323C" w:rsidP="0030323C">
            <w:pPr>
              <w:spacing w:before="60" w:after="60"/>
              <w:jc w:val="left"/>
              <w:rPr>
                <w:rFonts w:eastAsia="Times New Roman" w:cs="Arial"/>
                <w:lang w:val="en-US" w:eastAsia="en-US"/>
              </w:rPr>
            </w:pPr>
            <w:r w:rsidRPr="0030323C">
              <w:rPr>
                <w:rFonts w:eastAsia="Times New Roman" w:cs="Arial"/>
                <w:lang w:val="en-US" w:eastAsia="en-US"/>
              </w:rPr>
              <w:t>If it has one class of ordinary or one class of preference, then it may use the dimension tags ‘</w:t>
            </w:r>
            <w:r w:rsidRPr="001162DA">
              <w:rPr>
                <w:rFonts w:eastAsia="Times New Roman" w:cs="Arial"/>
                <w:i/>
                <w:iCs/>
                <w:color w:val="DD0806"/>
                <w:lang w:val="en-US" w:eastAsia="en-US"/>
              </w:rPr>
              <w:t>All ordinary shares</w:t>
            </w:r>
            <w:r w:rsidRPr="0030323C">
              <w:rPr>
                <w:rFonts w:eastAsia="Times New Roman" w:cs="Arial"/>
                <w:lang w:val="en-US" w:eastAsia="en-US"/>
              </w:rPr>
              <w:t>’ and ‘</w:t>
            </w:r>
            <w:r w:rsidRPr="001162DA">
              <w:rPr>
                <w:rFonts w:eastAsia="Times New Roman" w:cs="Arial"/>
                <w:i/>
                <w:iCs/>
                <w:color w:val="DD0806"/>
                <w:lang w:val="en-US" w:eastAsia="en-US"/>
              </w:rPr>
              <w:t>All preference shares</w:t>
            </w:r>
            <w:r w:rsidRPr="0030323C">
              <w:rPr>
                <w:rFonts w:eastAsia="Times New Roman" w:cs="Arial"/>
                <w:lang w:val="en-US" w:eastAsia="en-US"/>
              </w:rPr>
              <w:t xml:space="preserve">’ respectively to identify these.  </w:t>
            </w:r>
          </w:p>
          <w:p w:rsidR="0043483A" w:rsidRDefault="0030323C" w:rsidP="0030323C">
            <w:pPr>
              <w:spacing w:before="60" w:after="60"/>
              <w:jc w:val="left"/>
              <w:rPr>
                <w:rFonts w:eastAsia="Times New Roman" w:cs="Arial"/>
                <w:lang w:val="en-US" w:eastAsia="en-US"/>
              </w:rPr>
            </w:pPr>
            <w:r w:rsidRPr="0030323C">
              <w:rPr>
                <w:rFonts w:eastAsia="Times New Roman" w:cs="Arial"/>
                <w:lang w:val="en-US" w:eastAsia="en-US"/>
              </w:rPr>
              <w:t>If it has multiple ordinary or preference shares, it must use the specific share class tags, '</w:t>
            </w:r>
            <w:r w:rsidRPr="001162DA">
              <w:rPr>
                <w:rFonts w:eastAsia="Times New Roman" w:cs="Arial"/>
                <w:i/>
                <w:iCs/>
                <w:color w:val="DD0806"/>
                <w:lang w:val="en-US" w:eastAsia="en-US"/>
              </w:rPr>
              <w:t>xxxx share class 1</w:t>
            </w:r>
            <w:r w:rsidRPr="0030323C">
              <w:rPr>
                <w:rFonts w:eastAsia="Times New Roman" w:cs="Arial"/>
                <w:lang w:val="en-US" w:eastAsia="en-US"/>
              </w:rPr>
              <w:t>' etc., to distinguish them.  It must also then use the ‘</w:t>
            </w:r>
            <w:r w:rsidRPr="001162DA">
              <w:rPr>
                <w:rFonts w:eastAsia="Times New Roman" w:cs="Arial"/>
                <w:i/>
                <w:iCs/>
                <w:color w:val="DD0806"/>
                <w:lang w:val="en-US" w:eastAsia="en-US"/>
              </w:rPr>
              <w:t>Description of share type</w:t>
            </w:r>
            <w:r w:rsidRPr="0030323C">
              <w:rPr>
                <w:rFonts w:eastAsia="Times New Roman" w:cs="Arial"/>
                <w:lang w:val="en-US" w:eastAsia="en-US"/>
              </w:rPr>
              <w:t>’ tag to identi</w:t>
            </w:r>
            <w:r w:rsidR="003129BB">
              <w:rPr>
                <w:rFonts w:eastAsia="Times New Roman" w:cs="Arial"/>
                <w:lang w:val="en-US" w:eastAsia="en-US"/>
              </w:rPr>
              <w:t xml:space="preserve">fy each specific class.  </w:t>
            </w:r>
          </w:p>
          <w:p w:rsidR="0030323C" w:rsidRDefault="003129BB" w:rsidP="0030323C">
            <w:pPr>
              <w:spacing w:before="60" w:after="60"/>
              <w:jc w:val="left"/>
              <w:rPr>
                <w:rFonts w:eastAsia="Times New Roman" w:cs="Arial"/>
                <w:lang w:val="en-US" w:eastAsia="en-US"/>
              </w:rPr>
            </w:pPr>
            <w:r>
              <w:rPr>
                <w:rFonts w:eastAsia="Times New Roman" w:cs="Arial"/>
                <w:lang w:val="en-US" w:eastAsia="en-US"/>
              </w:rPr>
              <w:t xml:space="preserve">The </w:t>
            </w:r>
            <w:r w:rsidRPr="003129BB">
              <w:rPr>
                <w:rFonts w:eastAsia="Times New Roman" w:cs="Arial"/>
                <w:i/>
                <w:lang w:val="en-US" w:eastAsia="en-US"/>
              </w:rPr>
              <w:t>S</w:t>
            </w:r>
            <w:r w:rsidR="0030323C" w:rsidRPr="003129BB">
              <w:rPr>
                <w:rFonts w:eastAsia="Times New Roman" w:cs="Arial"/>
                <w:i/>
                <w:lang w:val="en-US" w:eastAsia="en-US"/>
              </w:rPr>
              <w:t>hare types</w:t>
            </w:r>
            <w:r w:rsidR="0030323C" w:rsidRPr="0030323C">
              <w:rPr>
                <w:rFonts w:eastAsia="Times New Roman" w:cs="Arial"/>
                <w:lang w:val="en-US" w:eastAsia="en-US"/>
              </w:rPr>
              <w:t xml:space="preserve"> dimension is missing a dimension tag for 'Non-cumulative and redeemable shares'.   (Instead, there is an erroneous repetition of the tag for cumulative and non-redeemable.)   This share type therefore cannot be specifically tagged.  </w:t>
            </w:r>
          </w:p>
          <w:p w:rsidR="00E520A4" w:rsidRPr="0030323C" w:rsidRDefault="00E520A4" w:rsidP="0030323C">
            <w:pPr>
              <w:spacing w:before="60" w:after="60"/>
              <w:jc w:val="left"/>
              <w:rPr>
                <w:rFonts w:eastAsia="Times New Roman" w:cs="Arial"/>
                <w:lang w:val="en-US" w:eastAsia="en-US"/>
              </w:rPr>
            </w:pPr>
            <w:r>
              <w:rPr>
                <w:rFonts w:eastAsia="Times New Roman" w:cs="Arial"/>
                <w:lang w:val="en-US" w:eastAsia="en-US"/>
              </w:rPr>
              <w:t>Note that the taxonomy treats ‘equity shares’ as meaning ‘ordinary shares’ and ‘non-equity shares’ as meaning ‘preference shares’.</w:t>
            </w:r>
          </w:p>
        </w:tc>
      </w:tr>
    </w:tbl>
    <w:p w:rsidR="00B83151" w:rsidRDefault="00B83151" w:rsidP="00B83151">
      <w:pPr>
        <w:rPr>
          <w:rFonts w:cs="Arial"/>
        </w:rPr>
      </w:pPr>
    </w:p>
    <w:p w:rsidR="00B83151" w:rsidRDefault="0030323C" w:rsidP="0030323C">
      <w:pPr>
        <w:pStyle w:val="Heading2"/>
      </w:pPr>
      <w:bookmarkStart w:id="33" w:name="_Toc292036837"/>
      <w:r>
        <w:t>GAAP – Pensions note</w:t>
      </w:r>
      <w:bookmarkEnd w:id="33"/>
    </w:p>
    <w:p w:rsidR="00B83151" w:rsidRDefault="00B83151" w:rsidP="00B83151">
      <w:pPr>
        <w:rPr>
          <w:rFonts w:cs="Arial"/>
        </w:rPr>
      </w:pPr>
    </w:p>
    <w:tbl>
      <w:tblPr>
        <w:tblW w:w="9231" w:type="dxa"/>
        <w:tblInd w:w="91" w:type="dxa"/>
        <w:tblLook w:val="0000"/>
      </w:tblPr>
      <w:tblGrid>
        <w:gridCol w:w="606"/>
        <w:gridCol w:w="1718"/>
        <w:gridCol w:w="6907"/>
      </w:tblGrid>
      <w:tr w:rsidR="00B83151" w:rsidRPr="00D50F7D" w:rsidTr="0076229C">
        <w:trPr>
          <w:cantSplit/>
          <w:trHeight w:val="240"/>
          <w:tblHeader/>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ID</w:t>
            </w:r>
          </w:p>
        </w:tc>
        <w:tc>
          <w:tcPr>
            <w:tcW w:w="1718" w:type="dxa"/>
            <w:tcBorders>
              <w:top w:val="single" w:sz="4" w:space="0" w:color="auto"/>
              <w:left w:val="nil"/>
              <w:bottom w:val="single" w:sz="4" w:space="0" w:color="auto"/>
              <w:right w:val="single" w:sz="4" w:space="0" w:color="auto"/>
            </w:tcBorders>
            <w:shd w:val="clear" w:color="auto" w:fill="auto"/>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Item</w:t>
            </w:r>
          </w:p>
        </w:tc>
        <w:tc>
          <w:tcPr>
            <w:tcW w:w="6907" w:type="dxa"/>
            <w:tcBorders>
              <w:top w:val="single" w:sz="4" w:space="0" w:color="auto"/>
              <w:left w:val="nil"/>
              <w:bottom w:val="single" w:sz="4" w:space="0" w:color="auto"/>
              <w:right w:val="single" w:sz="4" w:space="0" w:color="auto"/>
            </w:tcBorders>
            <w:shd w:val="clear" w:color="auto" w:fill="auto"/>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Description</w:t>
            </w:r>
          </w:p>
        </w:tc>
      </w:tr>
      <w:tr w:rsidR="00BB4108" w:rsidRPr="00BB4108" w:rsidTr="00634DD8">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B4108" w:rsidRPr="00BB4108" w:rsidRDefault="00B54B4C" w:rsidP="00BB4108">
            <w:pPr>
              <w:spacing w:before="60" w:after="60"/>
              <w:jc w:val="left"/>
              <w:rPr>
                <w:rFonts w:eastAsia="Times New Roman" w:cs="Arial"/>
                <w:lang w:val="en-US" w:eastAsia="en-US"/>
              </w:rPr>
            </w:pPr>
            <w:r>
              <w:rPr>
                <w:rFonts w:eastAsia="Times New Roman" w:cs="Arial"/>
                <w:lang w:val="en-US" w:eastAsia="en-US"/>
              </w:rPr>
              <w:t>8.4</w:t>
            </w:r>
            <w:r w:rsidR="005A18EC">
              <w:rPr>
                <w:rFonts w:eastAsia="Times New Roman" w:cs="Arial"/>
                <w:lang w:val="en-US" w:eastAsia="en-US"/>
              </w:rPr>
              <w:t>3</w:t>
            </w:r>
          </w:p>
        </w:tc>
        <w:tc>
          <w:tcPr>
            <w:tcW w:w="1718" w:type="dxa"/>
            <w:tcBorders>
              <w:top w:val="single" w:sz="4" w:space="0" w:color="auto"/>
              <w:left w:val="nil"/>
              <w:bottom w:val="single" w:sz="4" w:space="0" w:color="auto"/>
              <w:right w:val="single" w:sz="4" w:space="0" w:color="auto"/>
            </w:tcBorders>
            <w:shd w:val="clear" w:color="auto" w:fill="auto"/>
            <w:vAlign w:val="center"/>
          </w:tcPr>
          <w:p w:rsidR="00BB4108" w:rsidRPr="00BB4108" w:rsidRDefault="00BB4108" w:rsidP="00BB4108">
            <w:pPr>
              <w:spacing w:before="60" w:after="60"/>
              <w:jc w:val="left"/>
              <w:rPr>
                <w:rFonts w:eastAsia="Times New Roman" w:cs="Arial"/>
                <w:lang w:val="en-US" w:eastAsia="en-US"/>
              </w:rPr>
            </w:pPr>
            <w:r w:rsidRPr="00BB4108">
              <w:rPr>
                <w:rFonts w:eastAsia="Times New Roman" w:cs="Arial"/>
                <w:lang w:val="en-US" w:eastAsia="en-US"/>
              </w:rPr>
              <w:t>Pensions schemes</w:t>
            </w:r>
          </w:p>
        </w:tc>
        <w:tc>
          <w:tcPr>
            <w:tcW w:w="6907" w:type="dxa"/>
            <w:tcBorders>
              <w:top w:val="single" w:sz="4" w:space="0" w:color="auto"/>
              <w:left w:val="nil"/>
              <w:bottom w:val="single" w:sz="4" w:space="0" w:color="auto"/>
              <w:right w:val="single" w:sz="4" w:space="0" w:color="auto"/>
            </w:tcBorders>
            <w:shd w:val="clear" w:color="auto" w:fill="auto"/>
            <w:vAlign w:val="center"/>
          </w:tcPr>
          <w:p w:rsidR="00BB4108" w:rsidRPr="00BB4108" w:rsidRDefault="00BB4108" w:rsidP="00BB4108">
            <w:pPr>
              <w:spacing w:before="60" w:after="60"/>
              <w:jc w:val="left"/>
              <w:rPr>
                <w:rFonts w:eastAsia="Times New Roman" w:cs="Arial"/>
                <w:lang w:val="en-US" w:eastAsia="en-US"/>
              </w:rPr>
            </w:pPr>
            <w:r w:rsidRPr="00BB4108">
              <w:rPr>
                <w:rFonts w:eastAsia="Times New Roman" w:cs="Arial"/>
                <w:lang w:val="en-US" w:eastAsia="en-US"/>
              </w:rPr>
              <w:t xml:space="preserve">The presence of a pension scheme </w:t>
            </w:r>
            <w:r w:rsidRPr="000C6D79">
              <w:rPr>
                <w:rFonts w:eastAsia="Times New Roman" w:cs="Arial"/>
                <w:b/>
                <w:lang w:val="en-US" w:eastAsia="en-US"/>
              </w:rPr>
              <w:t>must</w:t>
            </w:r>
            <w:r w:rsidRPr="00BB4108">
              <w:rPr>
                <w:rFonts w:eastAsia="Times New Roman" w:cs="Arial"/>
                <w:lang w:val="en-US" w:eastAsia="en-US"/>
              </w:rPr>
              <w:t xml:space="preserve"> be indicated by use of the </w:t>
            </w:r>
            <w:r w:rsidRPr="00BB4108">
              <w:rPr>
                <w:rFonts w:eastAsia="Times New Roman" w:cs="Arial"/>
                <w:i/>
                <w:iCs/>
                <w:lang w:val="en-US" w:eastAsia="en-US"/>
              </w:rPr>
              <w:t>'</w:t>
            </w:r>
            <w:r w:rsidRPr="001162DA">
              <w:rPr>
                <w:rFonts w:eastAsia="Times New Roman" w:cs="Arial"/>
                <w:i/>
                <w:iCs/>
                <w:color w:val="DD0806"/>
                <w:lang w:val="en-US" w:eastAsia="en-US"/>
              </w:rPr>
              <w:t>Name of defined contribution scheme'</w:t>
            </w:r>
            <w:r w:rsidRPr="00BB4108">
              <w:rPr>
                <w:rFonts w:eastAsia="Times New Roman" w:cs="Arial"/>
                <w:lang w:val="en-US" w:eastAsia="en-US"/>
              </w:rPr>
              <w:t xml:space="preserve"> </w:t>
            </w:r>
            <w:r w:rsidR="00154264">
              <w:rPr>
                <w:rFonts w:eastAsia="Times New Roman" w:cs="Arial"/>
                <w:lang w:val="en-US" w:eastAsia="en-US"/>
              </w:rPr>
              <w:t xml:space="preserve">and / </w:t>
            </w:r>
            <w:r w:rsidRPr="00BB4108">
              <w:rPr>
                <w:rFonts w:eastAsia="Times New Roman" w:cs="Arial"/>
                <w:lang w:val="en-US" w:eastAsia="en-US"/>
              </w:rPr>
              <w:t>or '</w:t>
            </w:r>
            <w:r w:rsidRPr="001162DA">
              <w:rPr>
                <w:rFonts w:eastAsia="Times New Roman" w:cs="Arial"/>
                <w:i/>
                <w:iCs/>
                <w:color w:val="DD0806"/>
                <w:lang w:val="en-US" w:eastAsia="en-US"/>
              </w:rPr>
              <w:t>Name of defined benefit scheme</w:t>
            </w:r>
            <w:r w:rsidRPr="00BB4108">
              <w:rPr>
                <w:rFonts w:eastAsia="Times New Roman" w:cs="Arial"/>
                <w:lang w:val="en-US" w:eastAsia="en-US"/>
              </w:rPr>
              <w:t xml:space="preserve">' tags.  (Both are minimum tagging items).   The tags must be applied to general wording such as 'defined benefit scheme' or similar descriptions if no other more precise naming is provided in accounts.  </w:t>
            </w:r>
          </w:p>
        </w:tc>
      </w:tr>
      <w:tr w:rsidR="00BB4108" w:rsidRPr="00BB4108" w:rsidTr="00634DD8">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B4108" w:rsidRPr="00BB4108" w:rsidRDefault="00BB4108" w:rsidP="00BB4108">
            <w:pPr>
              <w:spacing w:before="60" w:after="60"/>
              <w:jc w:val="left"/>
              <w:rPr>
                <w:rFonts w:eastAsia="Times New Roman" w:cs="Arial"/>
                <w:highlight w:val="yellow"/>
                <w:lang w:val="en-US" w:eastAsia="en-US"/>
              </w:rPr>
            </w:pPr>
            <w:r w:rsidRPr="00BB4108">
              <w:rPr>
                <w:rFonts w:eastAsia="Times New Roman" w:cs="Arial"/>
                <w:highlight w:val="yellow"/>
                <w:lang w:val="en-US" w:eastAsia="en-US"/>
              </w:rPr>
              <w:t>8.4</w:t>
            </w:r>
            <w:r w:rsidR="005A18EC">
              <w:rPr>
                <w:rFonts w:eastAsia="Times New Roman" w:cs="Arial"/>
                <w:highlight w:val="yellow"/>
                <w:lang w:val="en-US" w:eastAsia="en-US"/>
              </w:rPr>
              <w:t>4</w:t>
            </w:r>
          </w:p>
        </w:tc>
        <w:tc>
          <w:tcPr>
            <w:tcW w:w="1718" w:type="dxa"/>
            <w:tcBorders>
              <w:top w:val="single" w:sz="4" w:space="0" w:color="auto"/>
              <w:left w:val="nil"/>
              <w:bottom w:val="single" w:sz="4" w:space="0" w:color="auto"/>
              <w:right w:val="single" w:sz="4" w:space="0" w:color="auto"/>
            </w:tcBorders>
            <w:shd w:val="clear" w:color="auto" w:fill="auto"/>
            <w:vAlign w:val="center"/>
          </w:tcPr>
          <w:p w:rsidR="00BB4108" w:rsidRPr="00BB4108" w:rsidRDefault="00BB4108" w:rsidP="00BB4108">
            <w:pPr>
              <w:spacing w:before="60" w:after="60"/>
              <w:jc w:val="left"/>
              <w:rPr>
                <w:rFonts w:eastAsia="Times New Roman" w:cs="Arial"/>
                <w:highlight w:val="yellow"/>
                <w:lang w:val="en-US" w:eastAsia="en-US"/>
              </w:rPr>
            </w:pPr>
            <w:r w:rsidRPr="00BB4108">
              <w:rPr>
                <w:rFonts w:eastAsia="Times New Roman" w:cs="Arial"/>
                <w:highlight w:val="yellow"/>
                <w:lang w:val="en-US" w:eastAsia="en-US"/>
              </w:rPr>
              <w:t>Pension costs</w:t>
            </w:r>
          </w:p>
        </w:tc>
        <w:tc>
          <w:tcPr>
            <w:tcW w:w="6907" w:type="dxa"/>
            <w:tcBorders>
              <w:top w:val="single" w:sz="4" w:space="0" w:color="auto"/>
              <w:left w:val="nil"/>
              <w:bottom w:val="single" w:sz="4" w:space="0" w:color="auto"/>
              <w:right w:val="single" w:sz="4" w:space="0" w:color="auto"/>
            </w:tcBorders>
            <w:shd w:val="clear" w:color="auto" w:fill="auto"/>
            <w:vAlign w:val="center"/>
          </w:tcPr>
          <w:p w:rsidR="0043483A" w:rsidRDefault="00BB4108" w:rsidP="00BB4108">
            <w:pPr>
              <w:spacing w:before="60" w:after="60"/>
              <w:jc w:val="left"/>
              <w:rPr>
                <w:rFonts w:eastAsia="Times New Roman" w:cs="Arial"/>
                <w:lang w:val="en-US" w:eastAsia="en-US"/>
              </w:rPr>
            </w:pPr>
            <w:r w:rsidRPr="00BB4108">
              <w:rPr>
                <w:rFonts w:eastAsia="Times New Roman" w:cs="Arial"/>
                <w:lang w:val="en-US" w:eastAsia="en-US"/>
              </w:rPr>
              <w:t>Totals under staff costs for costs of defined benefit and defined contribution schemes should be tagged with '</w:t>
            </w:r>
            <w:r w:rsidRPr="001162DA">
              <w:rPr>
                <w:rFonts w:eastAsia="Times New Roman" w:cs="Arial"/>
                <w:i/>
                <w:iCs/>
                <w:color w:val="DD0806"/>
                <w:lang w:val="en-US" w:eastAsia="en-US"/>
              </w:rPr>
              <w:t>Pensions costs, defined benefit schemes</w:t>
            </w:r>
            <w:r w:rsidRPr="00BB4108">
              <w:rPr>
                <w:rFonts w:eastAsia="Times New Roman" w:cs="Arial"/>
                <w:lang w:val="en-US" w:eastAsia="en-US"/>
              </w:rPr>
              <w:t>'  and '</w:t>
            </w:r>
            <w:r w:rsidRPr="00154264">
              <w:rPr>
                <w:rFonts w:eastAsia="Times New Roman" w:cs="Arial"/>
                <w:i/>
                <w:iCs/>
                <w:color w:val="DD0806"/>
                <w:lang w:val="en-US" w:eastAsia="en-US"/>
              </w:rPr>
              <w:t>Pensions costs, defined contribution schemes</w:t>
            </w:r>
            <w:r w:rsidRPr="00BB4108">
              <w:rPr>
                <w:rFonts w:eastAsia="Times New Roman" w:cs="Arial"/>
                <w:lang w:val="en-US" w:eastAsia="en-US"/>
              </w:rPr>
              <w:t xml:space="preserve">' respectively.   These tags represent company totals and may be used with the continuing and discontinued dimension tags, among others.  </w:t>
            </w:r>
          </w:p>
          <w:p w:rsidR="0043483A" w:rsidRDefault="00BB4108" w:rsidP="00BB4108">
            <w:pPr>
              <w:spacing w:before="60" w:after="60"/>
              <w:jc w:val="left"/>
              <w:rPr>
                <w:rFonts w:eastAsia="Times New Roman" w:cs="Arial"/>
                <w:lang w:val="en-US" w:eastAsia="en-US"/>
              </w:rPr>
            </w:pPr>
            <w:r w:rsidRPr="00BB4108">
              <w:rPr>
                <w:rFonts w:eastAsia="Times New Roman" w:cs="Arial"/>
                <w:lang w:val="en-US" w:eastAsia="en-US"/>
              </w:rPr>
              <w:t>Pension costs under the pensions note should be tagged with</w:t>
            </w:r>
            <w:r w:rsidR="00154264">
              <w:rPr>
                <w:rFonts w:eastAsia="Times New Roman" w:cs="Arial"/>
                <w:lang w:val="en-US" w:eastAsia="en-US"/>
              </w:rPr>
              <w:t xml:space="preserve"> ‘</w:t>
            </w:r>
            <w:r w:rsidRPr="00154264">
              <w:rPr>
                <w:rFonts w:eastAsia="Times New Roman" w:cs="Arial"/>
                <w:i/>
                <w:iCs/>
                <w:color w:val="DD0806"/>
                <w:lang w:val="en-US" w:eastAsia="en-US"/>
              </w:rPr>
              <w:t>Pension costs, defined benefit scheme</w:t>
            </w:r>
            <w:r w:rsidRPr="00BB4108">
              <w:rPr>
                <w:rFonts w:eastAsia="Times New Roman" w:cs="Arial"/>
                <w:lang w:val="en-US" w:eastAsia="en-US"/>
              </w:rPr>
              <w:t>' and '</w:t>
            </w:r>
            <w:r w:rsidRPr="00154264">
              <w:rPr>
                <w:rFonts w:eastAsia="Times New Roman" w:cs="Arial"/>
                <w:i/>
                <w:iCs/>
                <w:color w:val="DD0806"/>
                <w:lang w:val="en-US" w:eastAsia="en-US"/>
              </w:rPr>
              <w:t xml:space="preserve">Pension costs, defined contribution </w:t>
            </w:r>
            <w:r w:rsidR="00F739C3" w:rsidRPr="00154264">
              <w:rPr>
                <w:rFonts w:eastAsia="Times New Roman" w:cs="Arial"/>
                <w:i/>
                <w:iCs/>
                <w:color w:val="DD0806"/>
                <w:lang w:val="en-US" w:eastAsia="en-US"/>
              </w:rPr>
              <w:t>scheme</w:t>
            </w:r>
            <w:r w:rsidR="00F739C3" w:rsidRPr="00BB4108">
              <w:rPr>
                <w:rFonts w:eastAsia="Times New Roman" w:cs="Arial"/>
                <w:lang w:val="en-US" w:eastAsia="en-US"/>
              </w:rPr>
              <w:t>’ respectively</w:t>
            </w:r>
            <w:r w:rsidRPr="00BB4108">
              <w:rPr>
                <w:rFonts w:eastAsia="Times New Roman" w:cs="Arial"/>
                <w:lang w:val="en-US" w:eastAsia="en-US"/>
              </w:rPr>
              <w:t>.  These tags may represent values for individual sc</w:t>
            </w:r>
            <w:r w:rsidR="003129BB">
              <w:rPr>
                <w:rFonts w:eastAsia="Times New Roman" w:cs="Arial"/>
                <w:lang w:val="en-US" w:eastAsia="en-US"/>
              </w:rPr>
              <w:t xml:space="preserve">hemes and may be used with the </w:t>
            </w:r>
            <w:r w:rsidR="003129BB" w:rsidRPr="003129BB">
              <w:rPr>
                <w:rFonts w:eastAsia="Times New Roman" w:cs="Arial"/>
                <w:i/>
                <w:lang w:val="en-US" w:eastAsia="en-US"/>
              </w:rPr>
              <w:t>Pension schemes</w:t>
            </w:r>
            <w:r w:rsidRPr="00BB4108">
              <w:rPr>
                <w:rFonts w:eastAsia="Times New Roman" w:cs="Arial"/>
                <w:lang w:val="en-US" w:eastAsia="en-US"/>
              </w:rPr>
              <w:t xml:space="preserve"> dimension.  </w:t>
            </w:r>
          </w:p>
          <w:p w:rsidR="00BB4108" w:rsidRPr="00BB4108" w:rsidRDefault="00BB4108" w:rsidP="00BB4108">
            <w:pPr>
              <w:spacing w:before="60" w:after="60"/>
              <w:jc w:val="left"/>
              <w:rPr>
                <w:rFonts w:eastAsia="Times New Roman" w:cs="Arial"/>
                <w:lang w:val="en-US" w:eastAsia="en-US"/>
              </w:rPr>
            </w:pPr>
            <w:r w:rsidRPr="00BB4108">
              <w:rPr>
                <w:rFonts w:eastAsia="Times New Roman" w:cs="Arial"/>
                <w:lang w:val="en-US" w:eastAsia="en-US"/>
              </w:rPr>
              <w:t>Clearly, the company totals will be represented by different tags in each note, although they will have the same value.</w:t>
            </w:r>
          </w:p>
        </w:tc>
      </w:tr>
      <w:tr w:rsidR="00BB4108" w:rsidRPr="00BB4108" w:rsidTr="00634DD8">
        <w:trPr>
          <w:cantSplit/>
          <w:trHeight w:val="240"/>
        </w:trPr>
        <w:tc>
          <w:tcPr>
            <w:tcW w:w="606" w:type="dxa"/>
            <w:tcBorders>
              <w:top w:val="single" w:sz="4" w:space="0" w:color="auto"/>
              <w:left w:val="single" w:sz="4" w:space="0" w:color="auto"/>
              <w:bottom w:val="single" w:sz="4" w:space="0" w:color="auto"/>
              <w:right w:val="single" w:sz="4" w:space="0" w:color="auto"/>
            </w:tcBorders>
            <w:noWrap/>
            <w:vAlign w:val="center"/>
          </w:tcPr>
          <w:p w:rsidR="00BB4108" w:rsidRPr="00BB4108" w:rsidRDefault="00BB4108" w:rsidP="00BB4108">
            <w:pPr>
              <w:spacing w:before="60" w:after="60"/>
              <w:jc w:val="left"/>
              <w:rPr>
                <w:rFonts w:eastAsia="Times New Roman" w:cs="Arial"/>
                <w:lang w:val="en-US" w:eastAsia="en-US"/>
              </w:rPr>
            </w:pPr>
            <w:r w:rsidRPr="00BB4108">
              <w:rPr>
                <w:rFonts w:eastAsia="Times New Roman" w:cs="Arial"/>
                <w:lang w:val="en-US" w:eastAsia="en-US"/>
              </w:rPr>
              <w:lastRenderedPageBreak/>
              <w:t>8.4</w:t>
            </w:r>
            <w:r w:rsidR="005A18EC">
              <w:rPr>
                <w:rFonts w:eastAsia="Times New Roman" w:cs="Arial"/>
                <w:lang w:val="en-US" w:eastAsia="en-US"/>
              </w:rPr>
              <w:t>5</w:t>
            </w:r>
          </w:p>
        </w:tc>
        <w:tc>
          <w:tcPr>
            <w:tcW w:w="1718" w:type="dxa"/>
            <w:tcBorders>
              <w:top w:val="single" w:sz="4" w:space="0" w:color="auto"/>
              <w:left w:val="nil"/>
              <w:bottom w:val="single" w:sz="4" w:space="0" w:color="auto"/>
              <w:right w:val="single" w:sz="4" w:space="0" w:color="auto"/>
            </w:tcBorders>
            <w:vAlign w:val="center"/>
          </w:tcPr>
          <w:p w:rsidR="00BB4108" w:rsidRPr="00BB4108" w:rsidRDefault="00BB4108" w:rsidP="00BB4108">
            <w:pPr>
              <w:spacing w:before="60" w:after="60"/>
              <w:jc w:val="left"/>
              <w:rPr>
                <w:rFonts w:eastAsia="Times New Roman" w:cs="Arial"/>
                <w:lang w:val="en-US" w:eastAsia="en-US"/>
              </w:rPr>
            </w:pPr>
            <w:r w:rsidRPr="00BB4108">
              <w:rPr>
                <w:rFonts w:eastAsia="Times New Roman" w:cs="Arial"/>
                <w:lang w:val="en-US" w:eastAsia="en-US"/>
              </w:rPr>
              <w:t xml:space="preserve">Actuarial gain / loss recognised in pension schemes </w:t>
            </w:r>
          </w:p>
        </w:tc>
        <w:tc>
          <w:tcPr>
            <w:tcW w:w="6907" w:type="dxa"/>
            <w:tcBorders>
              <w:top w:val="single" w:sz="4" w:space="0" w:color="auto"/>
              <w:left w:val="nil"/>
              <w:bottom w:val="single" w:sz="4" w:space="0" w:color="auto"/>
              <w:right w:val="single" w:sz="4" w:space="0" w:color="auto"/>
            </w:tcBorders>
            <w:shd w:val="clear" w:color="auto" w:fill="auto"/>
            <w:vAlign w:val="center"/>
          </w:tcPr>
          <w:p w:rsidR="00BB4108" w:rsidRPr="00BB4108" w:rsidRDefault="00BB4108" w:rsidP="00BB4108">
            <w:pPr>
              <w:spacing w:before="60" w:after="60"/>
              <w:jc w:val="left"/>
              <w:rPr>
                <w:rFonts w:eastAsia="Times New Roman" w:cs="Arial"/>
                <w:lang w:val="en-US" w:eastAsia="en-US"/>
              </w:rPr>
            </w:pPr>
            <w:r w:rsidRPr="00BB4108">
              <w:rPr>
                <w:rFonts w:eastAsia="Times New Roman" w:cs="Arial"/>
                <w:lang w:val="en-US" w:eastAsia="en-US"/>
              </w:rPr>
              <w:t xml:space="preserve">As stated in </w:t>
            </w:r>
            <w:hyperlink w:anchor="XR_STRGLPensions" w:history="1">
              <w:r w:rsidRPr="00936E5E">
                <w:rPr>
                  <w:rStyle w:val="Hyperlink"/>
                  <w:rFonts w:eastAsia="Times New Roman" w:cs="Arial"/>
                  <w:lang w:val="en-US" w:eastAsia="en-US"/>
                </w:rPr>
                <w:t xml:space="preserve">item </w:t>
              </w:r>
              <w:r w:rsidRPr="00936E5E">
                <w:rPr>
                  <w:rStyle w:val="Hyperlink"/>
                  <w:rFonts w:eastAsia="Times New Roman" w:cs="Arial"/>
                  <w:lang w:val="en-US" w:eastAsia="en-US"/>
                </w:rPr>
                <w:t>8</w:t>
              </w:r>
              <w:r w:rsidRPr="00936E5E">
                <w:rPr>
                  <w:rStyle w:val="Hyperlink"/>
                  <w:rFonts w:eastAsia="Times New Roman" w:cs="Arial"/>
                  <w:lang w:val="en-US" w:eastAsia="en-US"/>
                </w:rPr>
                <w:t>.1</w:t>
              </w:r>
              <w:r w:rsidR="00936E5E" w:rsidRPr="00936E5E">
                <w:rPr>
                  <w:rStyle w:val="Hyperlink"/>
                  <w:rFonts w:eastAsia="Times New Roman" w:cs="Arial"/>
                  <w:lang w:val="en-US" w:eastAsia="en-US"/>
                </w:rPr>
                <w:t>3</w:t>
              </w:r>
            </w:hyperlink>
            <w:r w:rsidRPr="00BB4108">
              <w:rPr>
                <w:rFonts w:eastAsia="Times New Roman" w:cs="Arial"/>
                <w:lang w:val="en-US" w:eastAsia="en-US"/>
              </w:rPr>
              <w:t xml:space="preserve"> on STRGL, actuarial gains and losses recognised in STRGL under the pensions note should be tagged with '</w:t>
            </w:r>
            <w:r w:rsidRPr="00BB4108">
              <w:rPr>
                <w:rFonts w:eastAsia="Times New Roman" w:cs="Arial"/>
                <w:i/>
                <w:iCs/>
                <w:color w:val="DD0806"/>
                <w:lang w:val="en-US" w:eastAsia="en-US"/>
              </w:rPr>
              <w:t>Actuarial gain (loss) on defined benefit scheme recognised in statement of total recognised gains and losses</w:t>
            </w:r>
            <w:r w:rsidRPr="00BB4108">
              <w:rPr>
                <w:rFonts w:eastAsia="Times New Roman" w:cs="Arial"/>
                <w:lang w:val="en-US" w:eastAsia="en-US"/>
              </w:rPr>
              <w:t xml:space="preserve">'.  This tag may represent values for individual schemes and may be used with the </w:t>
            </w:r>
            <w:r w:rsidR="003129BB" w:rsidRPr="003129BB">
              <w:rPr>
                <w:rFonts w:eastAsia="Times New Roman" w:cs="Arial"/>
                <w:i/>
                <w:lang w:val="en-US" w:eastAsia="en-US"/>
              </w:rPr>
              <w:t>Pension schemes</w:t>
            </w:r>
            <w:r w:rsidR="003129BB" w:rsidRPr="00BB4108">
              <w:rPr>
                <w:rFonts w:eastAsia="Times New Roman" w:cs="Arial"/>
                <w:lang w:val="en-US" w:eastAsia="en-US"/>
              </w:rPr>
              <w:t xml:space="preserve"> dimension</w:t>
            </w:r>
            <w:r w:rsidRPr="00BB4108">
              <w:rPr>
                <w:rFonts w:eastAsia="Times New Roman" w:cs="Arial"/>
                <w:lang w:val="en-US" w:eastAsia="en-US"/>
              </w:rPr>
              <w:t xml:space="preserve">.  </w:t>
            </w:r>
          </w:p>
        </w:tc>
      </w:tr>
      <w:tr w:rsidR="005A18EC" w:rsidRPr="00BB4108" w:rsidTr="00634DD8">
        <w:trPr>
          <w:cantSplit/>
          <w:trHeight w:val="240"/>
        </w:trPr>
        <w:tc>
          <w:tcPr>
            <w:tcW w:w="606" w:type="dxa"/>
            <w:tcBorders>
              <w:top w:val="single" w:sz="4" w:space="0" w:color="auto"/>
              <w:left w:val="single" w:sz="4" w:space="0" w:color="auto"/>
              <w:bottom w:val="single" w:sz="4" w:space="0" w:color="auto"/>
              <w:right w:val="single" w:sz="4" w:space="0" w:color="auto"/>
            </w:tcBorders>
            <w:noWrap/>
            <w:vAlign w:val="center"/>
          </w:tcPr>
          <w:p w:rsidR="005A18EC" w:rsidRPr="00434A34" w:rsidRDefault="005A18EC" w:rsidP="00BB4108">
            <w:pPr>
              <w:spacing w:before="60" w:after="60"/>
              <w:jc w:val="left"/>
              <w:rPr>
                <w:rFonts w:eastAsia="Times New Roman" w:cs="Arial"/>
                <w:highlight w:val="yellow"/>
                <w:lang w:val="en-US" w:eastAsia="en-US"/>
              </w:rPr>
            </w:pPr>
            <w:r w:rsidRPr="00434A34">
              <w:rPr>
                <w:rFonts w:eastAsia="Times New Roman" w:cs="Arial"/>
                <w:highlight w:val="yellow"/>
                <w:lang w:val="en-US" w:eastAsia="en-US"/>
              </w:rPr>
              <w:t>8.46</w:t>
            </w:r>
          </w:p>
        </w:tc>
        <w:tc>
          <w:tcPr>
            <w:tcW w:w="1718" w:type="dxa"/>
            <w:tcBorders>
              <w:top w:val="single" w:sz="4" w:space="0" w:color="auto"/>
              <w:left w:val="nil"/>
              <w:bottom w:val="single" w:sz="4" w:space="0" w:color="auto"/>
              <w:right w:val="single" w:sz="4" w:space="0" w:color="auto"/>
            </w:tcBorders>
            <w:vAlign w:val="center"/>
          </w:tcPr>
          <w:p w:rsidR="005A18EC" w:rsidRPr="00434A34" w:rsidRDefault="005A18EC">
            <w:pPr>
              <w:rPr>
                <w:rFonts w:cs="Arial"/>
                <w:highlight w:val="yellow"/>
              </w:rPr>
            </w:pPr>
            <w:r w:rsidRPr="00434A34">
              <w:rPr>
                <w:highlight w:val="yellow"/>
              </w:rPr>
              <w:t>Sensitivity of pension scheme liabilities</w:t>
            </w:r>
          </w:p>
        </w:tc>
        <w:tc>
          <w:tcPr>
            <w:tcW w:w="6907" w:type="dxa"/>
            <w:tcBorders>
              <w:top w:val="single" w:sz="4" w:space="0" w:color="auto"/>
              <w:left w:val="nil"/>
              <w:bottom w:val="single" w:sz="4" w:space="0" w:color="auto"/>
              <w:right w:val="single" w:sz="4" w:space="0" w:color="auto"/>
            </w:tcBorders>
            <w:shd w:val="clear" w:color="auto" w:fill="auto"/>
            <w:vAlign w:val="center"/>
          </w:tcPr>
          <w:p w:rsidR="005A18EC" w:rsidRDefault="005A18EC" w:rsidP="005A18EC">
            <w:pPr>
              <w:spacing w:before="60" w:after="60"/>
            </w:pPr>
            <w:r>
              <w:t>The tag '</w:t>
            </w:r>
            <w:r>
              <w:rPr>
                <w:i/>
                <w:iCs/>
                <w:color w:val="DD0806"/>
              </w:rPr>
              <w:t>Percentage increase in scheme liabilities from increase in discount rate by one percentage point</w:t>
            </w:r>
            <w:r>
              <w:t>' should read '</w:t>
            </w:r>
            <w:r>
              <w:rPr>
                <w:i/>
                <w:iCs/>
                <w:color w:val="DD0806"/>
              </w:rPr>
              <w:t xml:space="preserve">Percentage </w:t>
            </w:r>
            <w:r>
              <w:rPr>
                <w:b/>
                <w:bCs/>
                <w:i/>
                <w:iCs/>
                <w:color w:val="DD0806"/>
              </w:rPr>
              <w:t>decrease</w:t>
            </w:r>
            <w:r>
              <w:rPr>
                <w:i/>
                <w:iCs/>
                <w:color w:val="DD0806"/>
              </w:rPr>
              <w:t xml:space="preserve"> in scheme liabilities from increase in discount rate by one percentage point</w:t>
            </w:r>
            <w:r>
              <w:t xml:space="preserve">'.  Preparers </w:t>
            </w:r>
            <w:r>
              <w:rPr>
                <w:b/>
                <w:bCs/>
              </w:rPr>
              <w:t>may</w:t>
            </w:r>
            <w:r>
              <w:t xml:space="preserve"> use the tag assuming that </w:t>
            </w:r>
            <w:r>
              <w:rPr>
                <w:b/>
                <w:bCs/>
              </w:rPr>
              <w:t>decrease</w:t>
            </w:r>
            <w:r>
              <w:t xml:space="preserve">, rather than increase, is meant.  </w:t>
            </w:r>
          </w:p>
          <w:p w:rsidR="005A18EC" w:rsidRDefault="005A18EC" w:rsidP="005A18EC">
            <w:pPr>
              <w:spacing w:before="60" w:after="60"/>
              <w:rPr>
                <w:rFonts w:cs="Arial"/>
              </w:rPr>
            </w:pPr>
            <w:r>
              <w:t>Similarly, the tag '</w:t>
            </w:r>
            <w:r>
              <w:rPr>
                <w:i/>
                <w:iCs/>
                <w:color w:val="DD0806"/>
              </w:rPr>
              <w:t>Percentage decrease in scheme liabilities from decrease in discount rate by one percentage point</w:t>
            </w:r>
            <w:r>
              <w:t>' should read '</w:t>
            </w:r>
            <w:r>
              <w:rPr>
                <w:i/>
                <w:iCs/>
                <w:color w:val="DD0806"/>
              </w:rPr>
              <w:t xml:space="preserve">Percentage </w:t>
            </w:r>
            <w:r>
              <w:rPr>
                <w:b/>
                <w:bCs/>
                <w:i/>
                <w:iCs/>
                <w:color w:val="DD0806"/>
              </w:rPr>
              <w:t>increase</w:t>
            </w:r>
            <w:r>
              <w:rPr>
                <w:i/>
                <w:iCs/>
                <w:color w:val="DD0806"/>
              </w:rPr>
              <w:t xml:space="preserve"> in scheme liabilities from decrease in discount rate by one percentage point</w:t>
            </w:r>
            <w:r>
              <w:t xml:space="preserve">'.  Preparers </w:t>
            </w:r>
            <w:r>
              <w:rPr>
                <w:b/>
                <w:bCs/>
              </w:rPr>
              <w:t>may</w:t>
            </w:r>
            <w:r>
              <w:t xml:space="preserve"> use the tag assuming that </w:t>
            </w:r>
            <w:r>
              <w:rPr>
                <w:b/>
                <w:bCs/>
              </w:rPr>
              <w:t>increase</w:t>
            </w:r>
            <w:r>
              <w:t xml:space="preserve">, rather than decrease, is meant.  </w:t>
            </w:r>
          </w:p>
        </w:tc>
      </w:tr>
    </w:tbl>
    <w:p w:rsidR="00B83151" w:rsidRDefault="00B83151" w:rsidP="00B83151">
      <w:pPr>
        <w:rPr>
          <w:rFonts w:cs="Arial"/>
        </w:rPr>
      </w:pPr>
    </w:p>
    <w:p w:rsidR="00B83151" w:rsidRDefault="00BB4108" w:rsidP="00BB4108">
      <w:pPr>
        <w:pStyle w:val="Heading2"/>
      </w:pPr>
      <w:bookmarkStart w:id="34" w:name="_Toc292036838"/>
      <w:r>
        <w:t>GAAP – Other notes</w:t>
      </w:r>
      <w:bookmarkEnd w:id="34"/>
    </w:p>
    <w:p w:rsidR="00B83151" w:rsidRDefault="00B83151" w:rsidP="00B83151">
      <w:pPr>
        <w:rPr>
          <w:rFonts w:cs="Arial"/>
        </w:rPr>
      </w:pPr>
    </w:p>
    <w:tbl>
      <w:tblPr>
        <w:tblW w:w="9231" w:type="dxa"/>
        <w:tblInd w:w="91" w:type="dxa"/>
        <w:tblLook w:val="0000"/>
      </w:tblPr>
      <w:tblGrid>
        <w:gridCol w:w="606"/>
        <w:gridCol w:w="1721"/>
        <w:gridCol w:w="6904"/>
      </w:tblGrid>
      <w:tr w:rsidR="00B83151" w:rsidRPr="00D50F7D" w:rsidTr="001235B0">
        <w:trPr>
          <w:cantSplit/>
          <w:trHeight w:val="240"/>
          <w:tblHeader/>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ID</w:t>
            </w:r>
          </w:p>
        </w:tc>
        <w:tc>
          <w:tcPr>
            <w:tcW w:w="1721" w:type="dxa"/>
            <w:tcBorders>
              <w:top w:val="single" w:sz="4" w:space="0" w:color="auto"/>
              <w:left w:val="nil"/>
              <w:bottom w:val="single" w:sz="4" w:space="0" w:color="auto"/>
              <w:right w:val="single" w:sz="4" w:space="0" w:color="auto"/>
            </w:tcBorders>
            <w:shd w:val="clear" w:color="auto" w:fill="auto"/>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Item</w:t>
            </w:r>
          </w:p>
        </w:tc>
        <w:tc>
          <w:tcPr>
            <w:tcW w:w="6904" w:type="dxa"/>
            <w:tcBorders>
              <w:top w:val="single" w:sz="4" w:space="0" w:color="auto"/>
              <w:left w:val="nil"/>
              <w:bottom w:val="single" w:sz="4" w:space="0" w:color="auto"/>
              <w:right w:val="single" w:sz="4" w:space="0" w:color="auto"/>
            </w:tcBorders>
            <w:shd w:val="clear" w:color="auto" w:fill="auto"/>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Description</w:t>
            </w:r>
          </w:p>
        </w:tc>
      </w:tr>
      <w:tr w:rsidR="00BB4108" w:rsidRPr="00BB4108" w:rsidTr="00D30141">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B4108" w:rsidRPr="00BB4108" w:rsidRDefault="00434A34" w:rsidP="00BB4108">
            <w:pPr>
              <w:spacing w:before="60" w:after="60"/>
              <w:jc w:val="left"/>
              <w:rPr>
                <w:rFonts w:eastAsia="Times New Roman" w:cs="Arial"/>
                <w:lang w:val="en-US" w:eastAsia="en-US"/>
              </w:rPr>
            </w:pPr>
            <w:r>
              <w:rPr>
                <w:rFonts w:eastAsia="Times New Roman" w:cs="Arial"/>
                <w:lang w:val="en-US" w:eastAsia="en-US"/>
              </w:rPr>
              <w:t>8.47</w:t>
            </w:r>
          </w:p>
        </w:tc>
        <w:tc>
          <w:tcPr>
            <w:tcW w:w="1721" w:type="dxa"/>
            <w:tcBorders>
              <w:top w:val="single" w:sz="4" w:space="0" w:color="auto"/>
              <w:left w:val="nil"/>
              <w:bottom w:val="single" w:sz="4" w:space="0" w:color="auto"/>
              <w:right w:val="single" w:sz="4" w:space="0" w:color="auto"/>
            </w:tcBorders>
            <w:shd w:val="clear" w:color="auto" w:fill="auto"/>
            <w:vAlign w:val="center"/>
          </w:tcPr>
          <w:p w:rsidR="00BB4108" w:rsidRPr="00BB4108" w:rsidRDefault="00BB4108" w:rsidP="00BB4108">
            <w:pPr>
              <w:spacing w:before="60" w:after="60"/>
              <w:jc w:val="left"/>
              <w:rPr>
                <w:rFonts w:eastAsia="Times New Roman" w:cs="Arial"/>
                <w:lang w:val="en-US" w:eastAsia="en-US"/>
              </w:rPr>
            </w:pPr>
            <w:r w:rsidRPr="00BB4108">
              <w:rPr>
                <w:rFonts w:eastAsia="Times New Roman" w:cs="Arial"/>
                <w:lang w:val="en-US" w:eastAsia="en-US"/>
              </w:rPr>
              <w:t>Related parties</w:t>
            </w:r>
          </w:p>
        </w:tc>
        <w:tc>
          <w:tcPr>
            <w:tcW w:w="6904" w:type="dxa"/>
            <w:tcBorders>
              <w:top w:val="single" w:sz="4" w:space="0" w:color="auto"/>
              <w:left w:val="nil"/>
              <w:bottom w:val="single" w:sz="4" w:space="0" w:color="auto"/>
              <w:right w:val="single" w:sz="4" w:space="0" w:color="auto"/>
            </w:tcBorders>
            <w:shd w:val="clear" w:color="auto" w:fill="auto"/>
            <w:vAlign w:val="center"/>
          </w:tcPr>
          <w:p w:rsidR="0043483A" w:rsidRDefault="00BB4108" w:rsidP="00BB4108">
            <w:pPr>
              <w:spacing w:before="60" w:after="60"/>
              <w:jc w:val="left"/>
              <w:rPr>
                <w:rFonts w:eastAsia="Times New Roman" w:cs="Arial"/>
                <w:lang w:val="en-US" w:eastAsia="en-US"/>
              </w:rPr>
            </w:pPr>
            <w:r w:rsidRPr="00BB4108">
              <w:rPr>
                <w:rFonts w:eastAsia="Times New Roman" w:cs="Arial"/>
                <w:lang w:val="en-US" w:eastAsia="en-US"/>
              </w:rPr>
              <w:t>The name of a related party and the description of the transaction and the amounts involved must be tagged separately using the appropriate text tags in the '</w:t>
            </w:r>
            <w:r w:rsidRPr="00B600D6">
              <w:rPr>
                <w:rFonts w:eastAsia="Times New Roman" w:cs="Arial"/>
                <w:i/>
                <w:iCs/>
                <w:color w:val="DD0806"/>
                <w:lang w:val="en-US" w:eastAsia="en-US"/>
              </w:rPr>
              <w:t>Related party transactions</w:t>
            </w:r>
            <w:r w:rsidRPr="00BB4108">
              <w:rPr>
                <w:rFonts w:eastAsia="Times New Roman" w:cs="Arial"/>
                <w:lang w:val="en-US" w:eastAsia="en-US"/>
              </w:rPr>
              <w:t xml:space="preserve">' grouping.  </w:t>
            </w:r>
            <w:r w:rsidR="00FD5A3E" w:rsidRPr="00BB4108">
              <w:rPr>
                <w:rFonts w:eastAsia="Times New Roman" w:cs="Arial"/>
                <w:lang w:val="en-US" w:eastAsia="en-US"/>
              </w:rPr>
              <w:t>The '</w:t>
            </w:r>
            <w:r w:rsidR="00FD5A3E" w:rsidRPr="00B600D6">
              <w:rPr>
                <w:rFonts w:eastAsia="Times New Roman" w:cs="Arial"/>
                <w:i/>
                <w:iCs/>
                <w:color w:val="DD0806"/>
                <w:lang w:val="en-US" w:eastAsia="en-US"/>
              </w:rPr>
              <w:t>Amount due from (to) related party'</w:t>
            </w:r>
            <w:r w:rsidR="00FD5A3E">
              <w:rPr>
                <w:rFonts w:eastAsia="Times New Roman" w:cs="Arial"/>
                <w:lang w:val="en-US" w:eastAsia="en-US"/>
              </w:rPr>
              <w:t xml:space="preserve">' </w:t>
            </w:r>
            <w:r w:rsidR="00FD5A3E" w:rsidRPr="00BB4108">
              <w:rPr>
                <w:rFonts w:eastAsia="Times New Roman" w:cs="Arial"/>
                <w:lang w:val="en-US" w:eastAsia="en-US"/>
              </w:rPr>
              <w:t xml:space="preserve">tag is intended to be for the </w:t>
            </w:r>
            <w:r w:rsidR="00FD5A3E" w:rsidRPr="00BB4108">
              <w:rPr>
                <w:rFonts w:eastAsia="Times New Roman" w:cs="Arial"/>
                <w:b/>
                <w:bCs/>
                <w:lang w:val="en-US" w:eastAsia="en-US"/>
              </w:rPr>
              <w:t>balance</w:t>
            </w:r>
            <w:r w:rsidR="00FD5A3E" w:rsidRPr="00BB4108">
              <w:rPr>
                <w:rFonts w:eastAsia="Times New Roman" w:cs="Arial"/>
                <w:lang w:val="en-US" w:eastAsia="en-US"/>
              </w:rPr>
              <w:t xml:space="preserve"> owing from (to) the related party.  </w:t>
            </w:r>
            <w:r w:rsidRPr="00BB4108">
              <w:rPr>
                <w:rFonts w:eastAsia="Times New Roman" w:cs="Arial"/>
                <w:lang w:val="en-US" w:eastAsia="en-US"/>
              </w:rPr>
              <w:t xml:space="preserve">It has an 'instant' period duration.   </w:t>
            </w:r>
          </w:p>
          <w:p w:rsidR="00BB4108" w:rsidRPr="00BB4108" w:rsidRDefault="00BB4108" w:rsidP="00BB4108">
            <w:pPr>
              <w:spacing w:before="60" w:after="60"/>
              <w:jc w:val="left"/>
              <w:rPr>
                <w:rFonts w:eastAsia="Times New Roman" w:cs="Arial"/>
                <w:lang w:val="en-US" w:eastAsia="en-US"/>
              </w:rPr>
            </w:pPr>
            <w:r w:rsidRPr="00BB4108">
              <w:rPr>
                <w:rFonts w:eastAsia="Times New Roman" w:cs="Arial"/>
                <w:lang w:val="en-US" w:eastAsia="en-US"/>
              </w:rPr>
              <w:t xml:space="preserve">Preparers should note the use of brackets in 'Amount due from (to)...' and should adjust the sign attribute applied to values accordingly.      </w:t>
            </w:r>
          </w:p>
        </w:tc>
      </w:tr>
      <w:tr w:rsidR="00BB4108" w:rsidRPr="00BB4108" w:rsidTr="00D30141">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B4108" w:rsidRPr="00BB4108" w:rsidRDefault="00434A34" w:rsidP="00BB4108">
            <w:pPr>
              <w:spacing w:before="60" w:after="60"/>
              <w:jc w:val="left"/>
              <w:rPr>
                <w:rFonts w:eastAsia="Times New Roman" w:cs="Arial"/>
                <w:lang w:val="en-US" w:eastAsia="en-US"/>
              </w:rPr>
            </w:pPr>
            <w:r>
              <w:rPr>
                <w:rFonts w:eastAsia="Times New Roman" w:cs="Arial"/>
                <w:lang w:val="en-US" w:eastAsia="en-US"/>
              </w:rPr>
              <w:t>8.48</w:t>
            </w:r>
          </w:p>
        </w:tc>
        <w:tc>
          <w:tcPr>
            <w:tcW w:w="1721" w:type="dxa"/>
            <w:tcBorders>
              <w:top w:val="single" w:sz="4" w:space="0" w:color="auto"/>
              <w:left w:val="nil"/>
              <w:bottom w:val="single" w:sz="4" w:space="0" w:color="auto"/>
              <w:right w:val="single" w:sz="4" w:space="0" w:color="auto"/>
            </w:tcBorders>
            <w:shd w:val="clear" w:color="auto" w:fill="auto"/>
            <w:vAlign w:val="center"/>
          </w:tcPr>
          <w:p w:rsidR="00BB4108" w:rsidRPr="00BB4108" w:rsidRDefault="00BB4108" w:rsidP="00BB4108">
            <w:pPr>
              <w:spacing w:before="60" w:after="60"/>
              <w:jc w:val="left"/>
              <w:rPr>
                <w:rFonts w:eastAsia="Times New Roman" w:cs="Arial"/>
                <w:lang w:val="en-US" w:eastAsia="en-US"/>
              </w:rPr>
            </w:pPr>
            <w:r w:rsidRPr="00BB4108">
              <w:rPr>
                <w:rFonts w:eastAsia="Times New Roman" w:cs="Arial"/>
                <w:lang w:val="en-US" w:eastAsia="en-US"/>
              </w:rPr>
              <w:t>Controlling party</w:t>
            </w:r>
          </w:p>
        </w:tc>
        <w:tc>
          <w:tcPr>
            <w:tcW w:w="6904" w:type="dxa"/>
            <w:tcBorders>
              <w:top w:val="single" w:sz="4" w:space="0" w:color="auto"/>
              <w:left w:val="nil"/>
              <w:bottom w:val="single" w:sz="4" w:space="0" w:color="auto"/>
              <w:right w:val="single" w:sz="4" w:space="0" w:color="auto"/>
            </w:tcBorders>
            <w:shd w:val="clear" w:color="auto" w:fill="auto"/>
            <w:vAlign w:val="center"/>
          </w:tcPr>
          <w:p w:rsidR="0043483A" w:rsidRDefault="00BB4108" w:rsidP="00BB4108">
            <w:pPr>
              <w:spacing w:before="60" w:after="60"/>
              <w:jc w:val="left"/>
              <w:rPr>
                <w:rFonts w:eastAsia="Times New Roman" w:cs="Arial"/>
                <w:lang w:val="en-US" w:eastAsia="en-US"/>
              </w:rPr>
            </w:pPr>
            <w:r w:rsidRPr="00BB4108">
              <w:rPr>
                <w:rFonts w:eastAsia="Times New Roman" w:cs="Arial"/>
                <w:lang w:val="en-US" w:eastAsia="en-US"/>
              </w:rPr>
              <w:t>The '</w:t>
            </w:r>
            <w:r w:rsidRPr="00B600D6">
              <w:rPr>
                <w:rFonts w:eastAsia="Times New Roman" w:cs="Arial"/>
                <w:i/>
                <w:iCs/>
                <w:color w:val="DD0806"/>
                <w:lang w:val="en-US" w:eastAsia="en-US"/>
              </w:rPr>
              <w:t>Controlling party is ultimate controlling party</w:t>
            </w:r>
            <w:r w:rsidR="00B600D6">
              <w:rPr>
                <w:rFonts w:eastAsia="Times New Roman" w:cs="Arial"/>
                <w:lang w:val="en-US" w:eastAsia="en-US"/>
              </w:rPr>
              <w:t xml:space="preserve">‘ </w:t>
            </w:r>
            <w:r w:rsidRPr="00BB4108">
              <w:rPr>
                <w:rFonts w:eastAsia="Times New Roman" w:cs="Arial"/>
                <w:lang w:val="en-US" w:eastAsia="en-US"/>
              </w:rPr>
              <w:t xml:space="preserve">boolean tag in the controlling party grouping must be used and set to true if the controlling party is the ultimate controlling party.  </w:t>
            </w:r>
          </w:p>
          <w:p w:rsidR="00BB4108" w:rsidRPr="00BB4108" w:rsidRDefault="00BB4108" w:rsidP="00BB4108">
            <w:pPr>
              <w:spacing w:before="60" w:after="60"/>
              <w:jc w:val="left"/>
              <w:rPr>
                <w:rFonts w:eastAsia="Times New Roman" w:cs="Arial"/>
                <w:lang w:val="en-US" w:eastAsia="en-US"/>
              </w:rPr>
            </w:pPr>
            <w:r w:rsidRPr="00BB4108">
              <w:rPr>
                <w:rFonts w:eastAsia="Times New Roman" w:cs="Arial"/>
                <w:lang w:val="en-US" w:eastAsia="en-US"/>
              </w:rPr>
              <w:t>The '</w:t>
            </w:r>
            <w:r w:rsidRPr="00B600D6">
              <w:rPr>
                <w:rFonts w:eastAsia="Times New Roman" w:cs="Arial"/>
                <w:i/>
                <w:iCs/>
                <w:color w:val="DD0806"/>
                <w:lang w:val="en-US" w:eastAsia="en-US"/>
              </w:rPr>
              <w:t>Address of controlling party</w:t>
            </w:r>
            <w:r w:rsidRPr="00BB4108">
              <w:rPr>
                <w:rFonts w:eastAsia="Times New Roman" w:cs="Arial"/>
                <w:lang w:val="en-US" w:eastAsia="en-US"/>
              </w:rPr>
              <w:t xml:space="preserve">' tag should cover the country of incorporation of ultimate parent if this is reported in accounts in place of a full address.  </w:t>
            </w:r>
          </w:p>
        </w:tc>
      </w:tr>
      <w:tr w:rsidR="00BB4108" w:rsidRPr="00BB4108" w:rsidTr="00D30141">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B4108" w:rsidRPr="00BB4108" w:rsidRDefault="00434A34" w:rsidP="00BB4108">
            <w:pPr>
              <w:spacing w:before="60" w:after="60"/>
              <w:jc w:val="left"/>
              <w:rPr>
                <w:rFonts w:eastAsia="Times New Roman" w:cs="Arial"/>
                <w:lang w:val="en-US" w:eastAsia="en-US"/>
              </w:rPr>
            </w:pPr>
            <w:r>
              <w:rPr>
                <w:rFonts w:eastAsia="Times New Roman" w:cs="Arial"/>
                <w:lang w:val="en-US" w:eastAsia="en-US"/>
              </w:rPr>
              <w:t>8.49</w:t>
            </w:r>
          </w:p>
        </w:tc>
        <w:tc>
          <w:tcPr>
            <w:tcW w:w="1721" w:type="dxa"/>
            <w:tcBorders>
              <w:top w:val="single" w:sz="4" w:space="0" w:color="auto"/>
              <w:left w:val="nil"/>
              <w:bottom w:val="single" w:sz="4" w:space="0" w:color="auto"/>
              <w:right w:val="single" w:sz="4" w:space="0" w:color="auto"/>
            </w:tcBorders>
            <w:shd w:val="clear" w:color="auto" w:fill="auto"/>
            <w:vAlign w:val="center"/>
          </w:tcPr>
          <w:p w:rsidR="00BB4108" w:rsidRPr="00BB4108" w:rsidRDefault="00BB4108" w:rsidP="00BB4108">
            <w:pPr>
              <w:spacing w:before="60" w:after="60"/>
              <w:jc w:val="left"/>
              <w:rPr>
                <w:rFonts w:eastAsia="Times New Roman" w:cs="Arial"/>
                <w:lang w:val="en-US" w:eastAsia="en-US"/>
              </w:rPr>
            </w:pPr>
            <w:r w:rsidRPr="00BB4108">
              <w:rPr>
                <w:rFonts w:eastAsia="Times New Roman" w:cs="Arial"/>
                <w:lang w:val="en-US" w:eastAsia="en-US"/>
              </w:rPr>
              <w:t>Subsidiaries, joint-ventures, associates</w:t>
            </w:r>
          </w:p>
        </w:tc>
        <w:tc>
          <w:tcPr>
            <w:tcW w:w="6904" w:type="dxa"/>
            <w:tcBorders>
              <w:top w:val="single" w:sz="4" w:space="0" w:color="auto"/>
              <w:left w:val="nil"/>
              <w:bottom w:val="single" w:sz="4" w:space="0" w:color="auto"/>
              <w:right w:val="single" w:sz="4" w:space="0" w:color="auto"/>
            </w:tcBorders>
            <w:shd w:val="clear" w:color="auto" w:fill="auto"/>
            <w:vAlign w:val="center"/>
          </w:tcPr>
          <w:p w:rsidR="0043483A" w:rsidRDefault="00FD5A3E" w:rsidP="00BB4108">
            <w:pPr>
              <w:spacing w:before="60" w:after="60"/>
              <w:jc w:val="left"/>
              <w:rPr>
                <w:rFonts w:eastAsia="Times New Roman" w:cs="Arial"/>
                <w:lang w:val="en-US" w:eastAsia="en-US"/>
              </w:rPr>
            </w:pPr>
            <w:r w:rsidRPr="00BB4108">
              <w:rPr>
                <w:rFonts w:eastAsia="Times New Roman" w:cs="Arial"/>
                <w:lang w:val="en-US" w:eastAsia="en-US"/>
              </w:rPr>
              <w:t>The country of incorporation of subsidiaries is identified by assigning a country dimension tag to the '</w:t>
            </w:r>
            <w:r w:rsidRPr="00B600D6">
              <w:rPr>
                <w:rFonts w:eastAsia="Times New Roman" w:cs="Arial"/>
                <w:i/>
                <w:iCs/>
                <w:color w:val="DD0806"/>
                <w:lang w:val="en-US" w:eastAsia="en-US"/>
              </w:rPr>
              <w:t>Country of incorporation</w:t>
            </w:r>
            <w:r>
              <w:rPr>
                <w:rFonts w:eastAsia="Times New Roman" w:cs="Arial"/>
                <w:lang w:val="en-US" w:eastAsia="en-US"/>
              </w:rPr>
              <w:t xml:space="preserve">' </w:t>
            </w:r>
            <w:r w:rsidRPr="00BB4108">
              <w:rPr>
                <w:rFonts w:eastAsia="Times New Roman" w:cs="Arial"/>
                <w:lang w:val="en-US" w:eastAsia="en-US"/>
              </w:rPr>
              <w:t xml:space="preserve">tag.  </w:t>
            </w:r>
            <w:r w:rsidR="00BB4108" w:rsidRPr="00BB4108">
              <w:rPr>
                <w:rFonts w:eastAsia="Times New Roman" w:cs="Arial"/>
                <w:lang w:val="en-US" w:eastAsia="en-US"/>
              </w:rPr>
              <w:t>This is not identified by assigning country dimension tags to other subsidiary line item tags.  (The latter would carry a different meaning.  For example, assigning a country tag to '</w:t>
            </w:r>
            <w:r w:rsidR="00BB4108" w:rsidRPr="00B600D6">
              <w:rPr>
                <w:rFonts w:eastAsia="Times New Roman" w:cs="Arial"/>
                <w:i/>
                <w:iCs/>
                <w:color w:val="DD0806"/>
                <w:lang w:val="en-US" w:eastAsia="en-US"/>
              </w:rPr>
              <w:t>Principal activity, subsidiary</w:t>
            </w:r>
            <w:r w:rsidR="00BB4108" w:rsidRPr="00BB4108">
              <w:rPr>
                <w:rFonts w:eastAsia="Times New Roman" w:cs="Arial"/>
                <w:lang w:val="en-US" w:eastAsia="en-US"/>
              </w:rPr>
              <w:t xml:space="preserve">' implies that the activity concerned applies in a particular country.)  </w:t>
            </w:r>
          </w:p>
          <w:p w:rsidR="00BB4108" w:rsidRPr="00BB4108" w:rsidRDefault="00BB4108" w:rsidP="00BB4108">
            <w:pPr>
              <w:spacing w:before="60" w:after="60"/>
              <w:jc w:val="left"/>
              <w:rPr>
                <w:rFonts w:eastAsia="Times New Roman" w:cs="Arial"/>
                <w:lang w:val="en-US" w:eastAsia="en-US"/>
              </w:rPr>
            </w:pPr>
            <w:r w:rsidRPr="00BB4108">
              <w:rPr>
                <w:rFonts w:eastAsia="Times New Roman" w:cs="Arial"/>
                <w:lang w:val="en-US" w:eastAsia="en-US"/>
              </w:rPr>
              <w:t xml:space="preserve">The same approach applies to joint-ventures and associates.  </w:t>
            </w:r>
          </w:p>
        </w:tc>
      </w:tr>
      <w:tr w:rsidR="00BB4108" w:rsidRPr="00BB4108" w:rsidTr="00D30141">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B4108" w:rsidRPr="007A24A2" w:rsidRDefault="00BB4108" w:rsidP="00BB4108">
            <w:pPr>
              <w:spacing w:before="60" w:after="60"/>
              <w:jc w:val="left"/>
              <w:rPr>
                <w:rFonts w:eastAsia="Times New Roman" w:cs="Arial"/>
                <w:highlight w:val="yellow"/>
                <w:lang w:val="en-US" w:eastAsia="en-US"/>
              </w:rPr>
            </w:pPr>
            <w:r w:rsidRPr="007A24A2">
              <w:rPr>
                <w:rFonts w:eastAsia="Times New Roman" w:cs="Arial"/>
                <w:highlight w:val="yellow"/>
                <w:lang w:val="en-US" w:eastAsia="en-US"/>
              </w:rPr>
              <w:t>8.</w:t>
            </w:r>
            <w:r w:rsidR="00434A34">
              <w:rPr>
                <w:rFonts w:eastAsia="Times New Roman" w:cs="Arial"/>
                <w:highlight w:val="yellow"/>
                <w:lang w:val="en-US" w:eastAsia="en-US"/>
              </w:rPr>
              <w:t>50</w:t>
            </w:r>
          </w:p>
        </w:tc>
        <w:tc>
          <w:tcPr>
            <w:tcW w:w="1721" w:type="dxa"/>
            <w:tcBorders>
              <w:top w:val="single" w:sz="4" w:space="0" w:color="auto"/>
              <w:left w:val="nil"/>
              <w:bottom w:val="single" w:sz="4" w:space="0" w:color="auto"/>
              <w:right w:val="single" w:sz="4" w:space="0" w:color="auto"/>
            </w:tcBorders>
            <w:shd w:val="clear" w:color="auto" w:fill="auto"/>
            <w:vAlign w:val="center"/>
          </w:tcPr>
          <w:p w:rsidR="00BB4108" w:rsidRPr="007A24A2" w:rsidRDefault="00BB4108" w:rsidP="00BB4108">
            <w:pPr>
              <w:spacing w:before="60" w:after="60"/>
              <w:jc w:val="left"/>
              <w:rPr>
                <w:rFonts w:eastAsia="Times New Roman" w:cs="Arial"/>
                <w:highlight w:val="yellow"/>
                <w:lang w:val="en-US" w:eastAsia="en-US"/>
              </w:rPr>
            </w:pPr>
            <w:r w:rsidRPr="007A24A2">
              <w:rPr>
                <w:rFonts w:eastAsia="Times New Roman" w:cs="Arial"/>
                <w:highlight w:val="yellow"/>
                <w:lang w:val="en-US" w:eastAsia="en-US"/>
              </w:rPr>
              <w:t>Other participating interests of investments</w:t>
            </w:r>
          </w:p>
        </w:tc>
        <w:tc>
          <w:tcPr>
            <w:tcW w:w="6904" w:type="dxa"/>
            <w:tcBorders>
              <w:top w:val="single" w:sz="4" w:space="0" w:color="auto"/>
              <w:left w:val="nil"/>
              <w:bottom w:val="single" w:sz="4" w:space="0" w:color="auto"/>
              <w:right w:val="single" w:sz="4" w:space="0" w:color="auto"/>
            </w:tcBorders>
            <w:shd w:val="clear" w:color="auto" w:fill="auto"/>
            <w:vAlign w:val="center"/>
          </w:tcPr>
          <w:p w:rsidR="00BB4108" w:rsidRPr="00BB4108" w:rsidRDefault="00BB4108" w:rsidP="00BB4108">
            <w:pPr>
              <w:spacing w:before="60" w:after="60"/>
              <w:jc w:val="left"/>
              <w:rPr>
                <w:rFonts w:eastAsia="Times New Roman" w:cs="Arial"/>
                <w:lang w:val="en-US" w:eastAsia="en-US"/>
              </w:rPr>
            </w:pPr>
            <w:r w:rsidRPr="00BB4108">
              <w:rPr>
                <w:rFonts w:eastAsia="Times New Roman" w:cs="Arial"/>
                <w:lang w:val="en-US" w:eastAsia="en-US"/>
              </w:rPr>
              <w:t>The tag for '</w:t>
            </w:r>
            <w:r w:rsidRPr="00B600D6">
              <w:rPr>
                <w:rFonts w:eastAsia="Times New Roman" w:cs="Arial"/>
                <w:i/>
                <w:iCs/>
                <w:color w:val="DD0806"/>
                <w:lang w:val="en-US" w:eastAsia="en-US"/>
              </w:rPr>
              <w:t>Country of incorporation, other participating interest or investment</w:t>
            </w:r>
            <w:r w:rsidR="006F3D7B">
              <w:rPr>
                <w:rFonts w:eastAsia="Times New Roman" w:cs="Arial"/>
                <w:lang w:val="en-US" w:eastAsia="en-US"/>
              </w:rPr>
              <w:t xml:space="preserve">' is not attached to the </w:t>
            </w:r>
            <w:r w:rsidR="006F3D7B" w:rsidRPr="006F3D7B">
              <w:rPr>
                <w:rFonts w:eastAsia="Times New Roman" w:cs="Arial"/>
                <w:i/>
                <w:lang w:val="en-US" w:eastAsia="en-US"/>
              </w:rPr>
              <w:t>C</w:t>
            </w:r>
            <w:r w:rsidRPr="006F3D7B">
              <w:rPr>
                <w:rFonts w:eastAsia="Times New Roman" w:cs="Arial"/>
                <w:i/>
                <w:lang w:val="en-US" w:eastAsia="en-US"/>
              </w:rPr>
              <w:t>ountries</w:t>
            </w:r>
            <w:r w:rsidRPr="00BB4108">
              <w:rPr>
                <w:rFonts w:eastAsia="Times New Roman" w:cs="Arial"/>
                <w:lang w:val="en-US" w:eastAsia="en-US"/>
              </w:rPr>
              <w:t xml:space="preserve"> dimension.  The country of incorporation for other participating interests or investments therefore cannot be tagged.</w:t>
            </w:r>
          </w:p>
        </w:tc>
      </w:tr>
      <w:tr w:rsidR="00D30141" w:rsidRPr="00D30141" w:rsidTr="00D30141">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30141" w:rsidRPr="00D30141" w:rsidRDefault="00D30141" w:rsidP="00D30141">
            <w:pPr>
              <w:spacing w:before="60" w:after="60"/>
              <w:jc w:val="left"/>
              <w:rPr>
                <w:rFonts w:eastAsia="Times New Roman" w:cs="Arial"/>
                <w:lang w:val="en-US" w:eastAsia="en-US"/>
              </w:rPr>
            </w:pPr>
            <w:r w:rsidRPr="00D30141">
              <w:rPr>
                <w:rFonts w:eastAsia="Times New Roman" w:cs="Arial"/>
                <w:lang w:val="en-US" w:eastAsia="en-US"/>
              </w:rPr>
              <w:lastRenderedPageBreak/>
              <w:t>8.</w:t>
            </w:r>
            <w:r w:rsidR="00434A34">
              <w:rPr>
                <w:rFonts w:eastAsia="Times New Roman" w:cs="Arial"/>
                <w:lang w:val="en-US" w:eastAsia="en-US"/>
              </w:rPr>
              <w:t>51</w:t>
            </w:r>
          </w:p>
        </w:tc>
        <w:tc>
          <w:tcPr>
            <w:tcW w:w="1721" w:type="dxa"/>
            <w:tcBorders>
              <w:top w:val="single" w:sz="4" w:space="0" w:color="auto"/>
              <w:left w:val="nil"/>
              <w:bottom w:val="single" w:sz="4" w:space="0" w:color="auto"/>
              <w:right w:val="single" w:sz="4" w:space="0" w:color="auto"/>
            </w:tcBorders>
            <w:shd w:val="clear" w:color="auto" w:fill="auto"/>
            <w:vAlign w:val="center"/>
          </w:tcPr>
          <w:p w:rsidR="00D30141" w:rsidRPr="00D30141" w:rsidRDefault="00D30141" w:rsidP="00D30141">
            <w:pPr>
              <w:spacing w:before="60" w:after="60"/>
              <w:jc w:val="left"/>
              <w:rPr>
                <w:rFonts w:eastAsia="Times New Roman" w:cs="Arial"/>
                <w:lang w:val="en-US" w:eastAsia="en-US"/>
              </w:rPr>
            </w:pPr>
            <w:r w:rsidRPr="00D30141">
              <w:rPr>
                <w:rFonts w:eastAsia="Times New Roman" w:cs="Arial"/>
                <w:lang w:val="en-US" w:eastAsia="en-US"/>
              </w:rPr>
              <w:t>Segments</w:t>
            </w:r>
          </w:p>
        </w:tc>
        <w:tc>
          <w:tcPr>
            <w:tcW w:w="6904" w:type="dxa"/>
            <w:tcBorders>
              <w:top w:val="single" w:sz="4" w:space="0" w:color="auto"/>
              <w:left w:val="nil"/>
              <w:bottom w:val="single" w:sz="4" w:space="0" w:color="auto"/>
              <w:right w:val="single" w:sz="4" w:space="0" w:color="auto"/>
            </w:tcBorders>
            <w:shd w:val="clear" w:color="auto" w:fill="auto"/>
            <w:vAlign w:val="center"/>
          </w:tcPr>
          <w:p w:rsidR="0043483A" w:rsidRDefault="00D30141" w:rsidP="00D30141">
            <w:pPr>
              <w:spacing w:before="60" w:after="60"/>
              <w:jc w:val="left"/>
              <w:rPr>
                <w:rFonts w:eastAsia="Times New Roman" w:cs="Arial"/>
                <w:lang w:val="en-US" w:eastAsia="en-US"/>
              </w:rPr>
            </w:pPr>
            <w:r w:rsidRPr="00D30141">
              <w:rPr>
                <w:rFonts w:eastAsia="Times New Roman" w:cs="Arial"/>
                <w:lang w:val="en-US" w:eastAsia="en-US"/>
              </w:rPr>
              <w:t xml:space="preserve">Tags for information on business and geographic segments are divided between notes to the P&amp;L and notes to the Balance Sheet.  </w:t>
            </w:r>
          </w:p>
          <w:p w:rsidR="0043483A" w:rsidRDefault="00D30141" w:rsidP="00D30141">
            <w:pPr>
              <w:spacing w:before="60" w:after="60"/>
              <w:jc w:val="left"/>
              <w:rPr>
                <w:rFonts w:eastAsia="Times New Roman" w:cs="Arial"/>
                <w:lang w:val="en-US" w:eastAsia="en-US"/>
              </w:rPr>
            </w:pPr>
            <w:r w:rsidRPr="00D30141">
              <w:rPr>
                <w:rFonts w:eastAsia="Times New Roman" w:cs="Arial"/>
                <w:lang w:val="en-US" w:eastAsia="en-US"/>
              </w:rPr>
              <w:t xml:space="preserve">If generic tags (Business segment 1-30) are used to identify data related to specific business segments, then the name or description of each segment </w:t>
            </w:r>
            <w:r w:rsidRPr="00D30141">
              <w:rPr>
                <w:rFonts w:eastAsia="Times New Roman" w:cs="Arial"/>
                <w:b/>
                <w:bCs/>
                <w:lang w:val="en-US" w:eastAsia="en-US"/>
              </w:rPr>
              <w:t>must</w:t>
            </w:r>
            <w:r w:rsidRPr="00D30141">
              <w:rPr>
                <w:rFonts w:eastAsia="Times New Roman" w:cs="Arial"/>
                <w:lang w:val="en-US" w:eastAsia="en-US"/>
              </w:rPr>
              <w:t xml:space="preserve"> be tagged with the generic tag being used for that segment.  The name / description tags for business segments are located in the </w:t>
            </w:r>
            <w:r w:rsidRPr="00D30141">
              <w:rPr>
                <w:rFonts w:eastAsia="Times New Roman" w:cs="Arial"/>
                <w:i/>
                <w:iCs/>
                <w:color w:val="006411"/>
                <w:lang w:val="en-US" w:eastAsia="en-US"/>
              </w:rPr>
              <w:t>Business and geographic segment information</w:t>
            </w:r>
            <w:r w:rsidRPr="00D30141">
              <w:rPr>
                <w:rFonts w:eastAsia="Times New Roman" w:cs="Arial"/>
                <w:lang w:val="en-US" w:eastAsia="en-US"/>
              </w:rPr>
              <w:t xml:space="preserve"> section of the taxonomy - not in the segmental analysis sections under the notes to P&amp;L and Balance Sheet. </w:t>
            </w:r>
          </w:p>
          <w:p w:rsidR="00D30141" w:rsidRPr="00D30141" w:rsidRDefault="00D30141" w:rsidP="00D30141">
            <w:pPr>
              <w:spacing w:before="60" w:after="60"/>
              <w:jc w:val="left"/>
              <w:rPr>
                <w:rFonts w:eastAsia="Times New Roman" w:cs="Arial"/>
                <w:lang w:val="en-US" w:eastAsia="en-US"/>
              </w:rPr>
            </w:pPr>
            <w:r w:rsidRPr="00D30141">
              <w:rPr>
                <w:rFonts w:eastAsia="Times New Roman" w:cs="Arial"/>
                <w:lang w:val="en-US" w:eastAsia="en-US"/>
              </w:rPr>
              <w:t xml:space="preserve">When tagging geographic segments, preparers should select the most appropriate country or region dimension tag.  Not all possible regions are covered in the taxonomy.  If selection of the closest available region tag would materially distort the meaning of a set of data, then that data should not be tagged (however, other geographic data for which country or regional tags are available should be tagged).     </w:t>
            </w:r>
          </w:p>
        </w:tc>
      </w:tr>
      <w:tr w:rsidR="00D30141" w:rsidRPr="00D30141" w:rsidTr="00D30141">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30141" w:rsidRPr="00D30141" w:rsidRDefault="00D30141" w:rsidP="00D30141">
            <w:pPr>
              <w:spacing w:before="60" w:after="60"/>
              <w:jc w:val="left"/>
              <w:rPr>
                <w:rFonts w:eastAsia="Times New Roman" w:cs="Arial"/>
                <w:highlight w:val="yellow"/>
                <w:lang w:val="en-US" w:eastAsia="en-US"/>
              </w:rPr>
            </w:pPr>
            <w:r w:rsidRPr="00D30141">
              <w:rPr>
                <w:rFonts w:eastAsia="Times New Roman" w:cs="Arial"/>
                <w:highlight w:val="yellow"/>
                <w:lang w:val="en-US" w:eastAsia="en-US"/>
              </w:rPr>
              <w:t>8.</w:t>
            </w:r>
            <w:r w:rsidR="00434A34">
              <w:rPr>
                <w:rFonts w:eastAsia="Times New Roman" w:cs="Arial"/>
                <w:highlight w:val="yellow"/>
                <w:lang w:val="en-US" w:eastAsia="en-US"/>
              </w:rPr>
              <w:t>52</w:t>
            </w:r>
          </w:p>
        </w:tc>
        <w:tc>
          <w:tcPr>
            <w:tcW w:w="1721" w:type="dxa"/>
            <w:tcBorders>
              <w:top w:val="single" w:sz="4" w:space="0" w:color="auto"/>
              <w:left w:val="nil"/>
              <w:bottom w:val="single" w:sz="4" w:space="0" w:color="auto"/>
              <w:right w:val="single" w:sz="4" w:space="0" w:color="auto"/>
            </w:tcBorders>
            <w:shd w:val="clear" w:color="auto" w:fill="auto"/>
            <w:vAlign w:val="center"/>
          </w:tcPr>
          <w:p w:rsidR="00D30141" w:rsidRPr="00D30141" w:rsidRDefault="00D30141" w:rsidP="00D30141">
            <w:pPr>
              <w:spacing w:before="60" w:after="60"/>
              <w:jc w:val="left"/>
              <w:rPr>
                <w:rFonts w:eastAsia="Times New Roman" w:cs="Arial"/>
                <w:highlight w:val="yellow"/>
                <w:lang w:val="en-US" w:eastAsia="en-US"/>
              </w:rPr>
            </w:pPr>
            <w:r w:rsidRPr="00D30141">
              <w:rPr>
                <w:rFonts w:eastAsia="Times New Roman" w:cs="Arial"/>
                <w:highlight w:val="yellow"/>
                <w:lang w:val="en-US" w:eastAsia="en-US"/>
              </w:rPr>
              <w:t>ESOP trusts</w:t>
            </w:r>
          </w:p>
        </w:tc>
        <w:tc>
          <w:tcPr>
            <w:tcW w:w="6904" w:type="dxa"/>
            <w:tcBorders>
              <w:top w:val="single" w:sz="4" w:space="0" w:color="auto"/>
              <w:left w:val="nil"/>
              <w:bottom w:val="single" w:sz="4" w:space="0" w:color="auto"/>
              <w:right w:val="single" w:sz="4" w:space="0" w:color="auto"/>
            </w:tcBorders>
            <w:shd w:val="clear" w:color="auto" w:fill="auto"/>
            <w:vAlign w:val="center"/>
          </w:tcPr>
          <w:p w:rsidR="00D30141" w:rsidRPr="00D30141" w:rsidRDefault="00D30141" w:rsidP="00D30141">
            <w:pPr>
              <w:spacing w:before="60" w:after="60"/>
              <w:jc w:val="left"/>
              <w:rPr>
                <w:rFonts w:eastAsia="Times New Roman" w:cs="Arial"/>
                <w:lang w:val="en-US" w:eastAsia="en-US"/>
              </w:rPr>
            </w:pPr>
            <w:r w:rsidRPr="00D30141">
              <w:rPr>
                <w:rFonts w:eastAsia="Times New Roman" w:cs="Arial"/>
                <w:lang w:val="en-US" w:eastAsia="en-US"/>
              </w:rPr>
              <w:t>The '</w:t>
            </w:r>
            <w:r w:rsidRPr="00B600D6">
              <w:rPr>
                <w:rFonts w:eastAsia="Times New Roman" w:cs="Arial"/>
                <w:i/>
                <w:iCs/>
                <w:color w:val="DD0806"/>
                <w:lang w:val="en-US" w:eastAsia="en-US"/>
              </w:rPr>
              <w:t>Name of ESOP trus</w:t>
            </w:r>
            <w:r w:rsidRPr="00D30141">
              <w:rPr>
                <w:rFonts w:eastAsia="Times New Roman" w:cs="Arial"/>
                <w:lang w:val="en-US" w:eastAsia="en-US"/>
              </w:rPr>
              <w:t>t' tag is incorrectly set to monetary data type rather than string.  The name of ESOP trusts therefore cannot be tagged.  However, trusts can be identified using the '</w:t>
            </w:r>
            <w:r w:rsidRPr="00B600D6">
              <w:rPr>
                <w:rFonts w:eastAsia="Times New Roman" w:cs="Arial"/>
                <w:i/>
                <w:iCs/>
                <w:color w:val="DD0806"/>
                <w:lang w:val="en-US" w:eastAsia="en-US"/>
              </w:rPr>
              <w:t>Description of ESOP trust</w:t>
            </w:r>
            <w:r w:rsidRPr="00D30141">
              <w:rPr>
                <w:rFonts w:eastAsia="Times New Roman" w:cs="Arial"/>
                <w:lang w:val="en-US" w:eastAsia="en-US"/>
              </w:rPr>
              <w:t xml:space="preserve">' tag.  </w:t>
            </w:r>
          </w:p>
        </w:tc>
      </w:tr>
    </w:tbl>
    <w:p w:rsidR="00B83151" w:rsidRDefault="00B83151" w:rsidP="00B83151">
      <w:pPr>
        <w:rPr>
          <w:rFonts w:cs="Arial"/>
        </w:rPr>
      </w:pPr>
    </w:p>
    <w:p w:rsidR="007A24A2" w:rsidRPr="00720B86" w:rsidRDefault="007A24A2" w:rsidP="007A24A2">
      <w:pPr>
        <w:pStyle w:val="Heading1"/>
      </w:pPr>
      <w:r>
        <w:rPr>
          <w:rFonts w:cs="Arial"/>
        </w:rPr>
        <w:br w:type="page"/>
      </w:r>
      <w:bookmarkStart w:id="35" w:name="_Toc292036839"/>
      <w:r w:rsidR="000B2365">
        <w:lastRenderedPageBreak/>
        <w:t>9</w:t>
      </w:r>
      <w:r>
        <w:tab/>
      </w:r>
      <w:smartTag w:uri="urn:schemas-microsoft-com:office:smarttags" w:element="place">
        <w:smartTag w:uri="urn:schemas-microsoft-com:office:smarttags" w:element="country-region">
          <w:r>
            <w:t>UK</w:t>
          </w:r>
        </w:smartTag>
      </w:smartTag>
      <w:r>
        <w:t xml:space="preserve"> IFRS</w:t>
      </w:r>
      <w:bookmarkEnd w:id="35"/>
    </w:p>
    <w:p w:rsidR="00D30141" w:rsidRDefault="00D30141" w:rsidP="00D30141">
      <w:pPr>
        <w:pStyle w:val="Heading2"/>
      </w:pPr>
      <w:bookmarkStart w:id="36" w:name="_Toc292036840"/>
      <w:r>
        <w:t>IFRS – General points</w:t>
      </w:r>
      <w:bookmarkEnd w:id="36"/>
    </w:p>
    <w:p w:rsidR="00B83151" w:rsidRDefault="00B83151" w:rsidP="00B83151">
      <w:pPr>
        <w:rPr>
          <w:rFonts w:cs="Arial"/>
        </w:rPr>
      </w:pPr>
    </w:p>
    <w:tbl>
      <w:tblPr>
        <w:tblW w:w="9231" w:type="dxa"/>
        <w:tblInd w:w="91" w:type="dxa"/>
        <w:tblLook w:val="0000"/>
      </w:tblPr>
      <w:tblGrid>
        <w:gridCol w:w="495"/>
        <w:gridCol w:w="1728"/>
        <w:gridCol w:w="7008"/>
      </w:tblGrid>
      <w:tr w:rsidR="00B83151" w:rsidRPr="00D50F7D" w:rsidTr="008A19C4">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ID</w:t>
            </w:r>
          </w:p>
        </w:tc>
        <w:tc>
          <w:tcPr>
            <w:tcW w:w="1728" w:type="dxa"/>
            <w:tcBorders>
              <w:top w:val="single" w:sz="4" w:space="0" w:color="auto"/>
              <w:left w:val="nil"/>
              <w:bottom w:val="single" w:sz="4" w:space="0" w:color="auto"/>
              <w:right w:val="single" w:sz="4" w:space="0" w:color="auto"/>
            </w:tcBorders>
            <w:shd w:val="clear" w:color="auto" w:fill="auto"/>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Item</w:t>
            </w:r>
          </w:p>
        </w:tc>
        <w:tc>
          <w:tcPr>
            <w:tcW w:w="7008" w:type="dxa"/>
            <w:tcBorders>
              <w:top w:val="single" w:sz="4" w:space="0" w:color="auto"/>
              <w:left w:val="nil"/>
              <w:bottom w:val="single" w:sz="4" w:space="0" w:color="auto"/>
              <w:right w:val="single" w:sz="4" w:space="0" w:color="auto"/>
            </w:tcBorders>
            <w:shd w:val="clear" w:color="auto" w:fill="auto"/>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Description</w:t>
            </w:r>
          </w:p>
        </w:tc>
      </w:tr>
      <w:tr w:rsidR="002B5133" w:rsidRPr="002B5133" w:rsidTr="002B5133">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2B5133" w:rsidRPr="002B5133" w:rsidRDefault="002B5133" w:rsidP="002B5133">
            <w:pPr>
              <w:spacing w:before="60" w:after="60"/>
              <w:jc w:val="left"/>
              <w:rPr>
                <w:rFonts w:eastAsia="Times New Roman" w:cs="Arial"/>
                <w:lang w:val="en-US" w:eastAsia="en-US"/>
              </w:rPr>
            </w:pPr>
            <w:r w:rsidRPr="002B5133">
              <w:rPr>
                <w:rFonts w:eastAsia="Times New Roman" w:cs="Arial"/>
                <w:lang w:val="en-US" w:eastAsia="en-US"/>
              </w:rPr>
              <w:t>9.1</w:t>
            </w:r>
          </w:p>
        </w:tc>
        <w:tc>
          <w:tcPr>
            <w:tcW w:w="1728" w:type="dxa"/>
            <w:tcBorders>
              <w:top w:val="single" w:sz="4" w:space="0" w:color="auto"/>
              <w:left w:val="nil"/>
              <w:bottom w:val="single" w:sz="4" w:space="0" w:color="auto"/>
              <w:right w:val="single" w:sz="4" w:space="0" w:color="auto"/>
            </w:tcBorders>
            <w:shd w:val="clear" w:color="auto" w:fill="auto"/>
            <w:vAlign w:val="center"/>
          </w:tcPr>
          <w:p w:rsidR="002B5133" w:rsidRPr="002B5133" w:rsidRDefault="002B5133" w:rsidP="002B5133">
            <w:pPr>
              <w:spacing w:before="60" w:after="60"/>
              <w:jc w:val="left"/>
              <w:rPr>
                <w:rFonts w:eastAsia="Times New Roman" w:cs="Arial"/>
                <w:lang w:val="en-US" w:eastAsia="en-US"/>
              </w:rPr>
            </w:pPr>
            <w:r w:rsidRPr="002B5133">
              <w:rPr>
                <w:rFonts w:eastAsia="Times New Roman" w:cs="Arial"/>
                <w:lang w:val="en-US" w:eastAsia="en-US"/>
              </w:rPr>
              <w:t>Scope</w:t>
            </w:r>
          </w:p>
        </w:tc>
        <w:tc>
          <w:tcPr>
            <w:tcW w:w="7008" w:type="dxa"/>
            <w:tcBorders>
              <w:top w:val="single" w:sz="4" w:space="0" w:color="auto"/>
              <w:left w:val="nil"/>
              <w:bottom w:val="single" w:sz="4" w:space="0" w:color="auto"/>
              <w:right w:val="single" w:sz="4" w:space="0" w:color="auto"/>
            </w:tcBorders>
            <w:shd w:val="clear" w:color="auto" w:fill="auto"/>
            <w:vAlign w:val="center"/>
          </w:tcPr>
          <w:p w:rsidR="0043483A" w:rsidRDefault="002B5133" w:rsidP="002B5133">
            <w:pPr>
              <w:spacing w:before="60" w:after="60"/>
              <w:jc w:val="left"/>
              <w:rPr>
                <w:rFonts w:eastAsia="Times New Roman" w:cs="Arial"/>
                <w:lang w:val="en-US" w:eastAsia="en-US"/>
              </w:rPr>
            </w:pPr>
            <w:r w:rsidRPr="002B5133">
              <w:rPr>
                <w:rFonts w:eastAsia="Times New Roman" w:cs="Arial"/>
                <w:lang w:val="en-US" w:eastAsia="en-US"/>
              </w:rPr>
              <w:t xml:space="preserve">The main section of the IFRS taxonomy reflects typical reporting by ordinary commercial and industrial companies.  The </w:t>
            </w:r>
            <w:r w:rsidRPr="002C086B">
              <w:rPr>
                <w:rFonts w:eastAsia="Times New Roman" w:cs="Arial"/>
                <w:i/>
                <w:iCs/>
                <w:color w:val="008000"/>
                <w:lang w:val="en-US" w:eastAsia="en-US"/>
              </w:rPr>
              <w:t>Additional Industry Sector Data</w:t>
            </w:r>
            <w:r w:rsidRPr="002B5133">
              <w:rPr>
                <w:rFonts w:eastAsia="Times New Roman" w:cs="Arial"/>
                <w:lang w:val="en-US" w:eastAsia="en-US"/>
              </w:rPr>
              <w:t xml:space="preserve"> section provides tags suitable for banking and finance, investments funds and extractive industries.  </w:t>
            </w:r>
          </w:p>
          <w:p w:rsidR="0043483A" w:rsidRDefault="002B5133" w:rsidP="002B5133">
            <w:pPr>
              <w:spacing w:before="60" w:after="60"/>
              <w:jc w:val="left"/>
              <w:rPr>
                <w:rFonts w:eastAsia="Times New Roman" w:cs="Arial"/>
                <w:lang w:val="en-US" w:eastAsia="en-US"/>
              </w:rPr>
            </w:pPr>
            <w:r w:rsidRPr="002B5133">
              <w:rPr>
                <w:rFonts w:eastAsia="Times New Roman" w:cs="Arial"/>
                <w:lang w:val="en-US" w:eastAsia="en-US"/>
              </w:rPr>
              <w:t xml:space="preserve">The </w:t>
            </w:r>
            <w:r w:rsidRPr="002C086B">
              <w:rPr>
                <w:rFonts w:eastAsia="Times New Roman" w:cs="Arial"/>
                <w:b/>
                <w:i/>
                <w:iCs/>
                <w:lang w:val="en-US" w:eastAsia="en-US"/>
              </w:rPr>
              <w:t>Banking</w:t>
            </w:r>
            <w:r w:rsidRPr="002B5133">
              <w:rPr>
                <w:rFonts w:eastAsia="Times New Roman" w:cs="Arial"/>
                <w:lang w:val="en-US" w:eastAsia="en-US"/>
              </w:rPr>
              <w:t xml:space="preserve"> presentation should enable preparers of banking and finance company accounts to find tags more easily - however, it does not show all non-finance related tags available in the full taxonomy.  (Those remain available for use.  From a technical perspective, preparers are free to switch between the main and banking displays when tagging.)  Its benefits are not restricted to banks:  it may help preparers of any accounts of finance-related companies or which contain detailed reporting of financial instrument risks.  </w:t>
            </w:r>
          </w:p>
          <w:p w:rsidR="002B5133" w:rsidRPr="002B5133" w:rsidRDefault="002B5133" w:rsidP="002B5133">
            <w:pPr>
              <w:spacing w:before="60" w:after="60"/>
              <w:jc w:val="left"/>
              <w:rPr>
                <w:rFonts w:eastAsia="Times New Roman" w:cs="Arial"/>
                <w:lang w:val="en-US" w:eastAsia="en-US"/>
              </w:rPr>
            </w:pPr>
            <w:r w:rsidRPr="002B5133">
              <w:rPr>
                <w:rFonts w:eastAsia="Times New Roman" w:cs="Arial"/>
                <w:lang w:val="en-US" w:eastAsia="en-US"/>
              </w:rPr>
              <w:t xml:space="preserve">Despite the additional sections, tags may not be available to cover some line items in accounts of companies operating in particular sectors.  Tags may also not be available to cover other disclosures which are not broadly used across industries.  </w:t>
            </w:r>
          </w:p>
        </w:tc>
      </w:tr>
      <w:tr w:rsidR="002B5133" w:rsidRPr="002B5133" w:rsidTr="002B5133">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2B5133" w:rsidRPr="002B5133" w:rsidRDefault="002B5133" w:rsidP="002B5133">
            <w:pPr>
              <w:spacing w:before="60" w:after="60"/>
              <w:jc w:val="left"/>
              <w:rPr>
                <w:rFonts w:eastAsia="Times New Roman" w:cs="Arial"/>
                <w:lang w:val="en-US" w:eastAsia="en-US"/>
              </w:rPr>
            </w:pPr>
            <w:r w:rsidRPr="002B5133">
              <w:rPr>
                <w:rFonts w:eastAsia="Times New Roman" w:cs="Arial"/>
                <w:lang w:val="en-US" w:eastAsia="en-US"/>
              </w:rPr>
              <w:t>9.2</w:t>
            </w:r>
          </w:p>
        </w:tc>
        <w:tc>
          <w:tcPr>
            <w:tcW w:w="1728" w:type="dxa"/>
            <w:tcBorders>
              <w:top w:val="single" w:sz="4" w:space="0" w:color="auto"/>
              <w:left w:val="nil"/>
              <w:bottom w:val="single" w:sz="4" w:space="0" w:color="auto"/>
              <w:right w:val="single" w:sz="4" w:space="0" w:color="auto"/>
            </w:tcBorders>
            <w:shd w:val="clear" w:color="auto" w:fill="auto"/>
            <w:vAlign w:val="center"/>
          </w:tcPr>
          <w:p w:rsidR="002B5133" w:rsidRPr="002B5133" w:rsidRDefault="002B5133" w:rsidP="002B5133">
            <w:pPr>
              <w:spacing w:before="60" w:after="60"/>
              <w:jc w:val="left"/>
              <w:rPr>
                <w:rFonts w:eastAsia="Times New Roman" w:cs="Arial"/>
                <w:lang w:val="en-US" w:eastAsia="en-US"/>
              </w:rPr>
            </w:pPr>
            <w:r w:rsidRPr="002B5133">
              <w:rPr>
                <w:rFonts w:eastAsia="Times New Roman" w:cs="Arial"/>
                <w:lang w:val="en-US" w:eastAsia="en-US"/>
              </w:rPr>
              <w:t>Location of name and description tags for generic dimensions</w:t>
            </w:r>
          </w:p>
        </w:tc>
        <w:tc>
          <w:tcPr>
            <w:tcW w:w="7008" w:type="dxa"/>
            <w:tcBorders>
              <w:top w:val="single" w:sz="4" w:space="0" w:color="auto"/>
              <w:left w:val="nil"/>
              <w:bottom w:val="single" w:sz="4" w:space="0" w:color="auto"/>
              <w:right w:val="single" w:sz="4" w:space="0" w:color="auto"/>
            </w:tcBorders>
            <w:shd w:val="clear" w:color="auto" w:fill="auto"/>
            <w:vAlign w:val="center"/>
          </w:tcPr>
          <w:p w:rsidR="0043483A" w:rsidRDefault="002B5133" w:rsidP="002B5133">
            <w:pPr>
              <w:spacing w:before="60" w:after="60"/>
              <w:jc w:val="left"/>
              <w:rPr>
                <w:rFonts w:eastAsia="Times New Roman" w:cs="Arial"/>
                <w:lang w:val="en-US" w:eastAsia="en-US"/>
              </w:rPr>
            </w:pPr>
            <w:r w:rsidRPr="002B5133">
              <w:rPr>
                <w:rFonts w:eastAsia="Times New Roman" w:cs="Arial"/>
                <w:lang w:val="en-US" w:eastAsia="en-US"/>
              </w:rPr>
              <w:t xml:space="preserve">As described in the item on generic dimensions in the general section of this document, the name or description tag related to a particular generic dimension can generally be found in the principal taxonomy section to which the generic dimension applies.   </w:t>
            </w:r>
          </w:p>
          <w:p w:rsidR="005B6247" w:rsidRDefault="002B5133" w:rsidP="002B5133">
            <w:pPr>
              <w:spacing w:before="60" w:after="60"/>
              <w:jc w:val="left"/>
              <w:rPr>
                <w:rFonts w:eastAsia="Times New Roman" w:cs="Arial"/>
                <w:lang w:val="en-US" w:eastAsia="en-US"/>
              </w:rPr>
            </w:pPr>
            <w:r w:rsidRPr="002B5133">
              <w:rPr>
                <w:rFonts w:eastAsia="Times New Roman" w:cs="Arial"/>
                <w:lang w:val="en-US" w:eastAsia="en-US"/>
              </w:rPr>
              <w:t>However, the location of name tags for a few generic dimensions which are broadly used may not be immediately obvious:</w:t>
            </w:r>
          </w:p>
          <w:p w:rsidR="005B6247" w:rsidRDefault="002B5133" w:rsidP="002B5133">
            <w:pPr>
              <w:spacing w:before="60" w:after="60"/>
              <w:jc w:val="left"/>
              <w:rPr>
                <w:rFonts w:eastAsia="Times New Roman" w:cs="Arial"/>
                <w:lang w:val="en-US" w:eastAsia="en-US"/>
              </w:rPr>
            </w:pPr>
            <w:r w:rsidRPr="002B5133">
              <w:rPr>
                <w:rFonts w:eastAsia="Times New Roman" w:cs="Arial"/>
                <w:lang w:val="en-US" w:eastAsia="en-US"/>
              </w:rPr>
              <w:t>+  The name tag for operating segments, products and services segments and major customers segments is '</w:t>
            </w:r>
            <w:r w:rsidRPr="002B5133">
              <w:rPr>
                <w:rFonts w:eastAsia="Times New Roman" w:cs="Arial"/>
                <w:i/>
                <w:iCs/>
                <w:color w:val="DD0806"/>
                <w:lang w:val="en-US" w:eastAsia="en-US"/>
              </w:rPr>
              <w:t>Name of individual segment member</w:t>
            </w:r>
            <w:r w:rsidRPr="002B5133">
              <w:rPr>
                <w:rFonts w:eastAsia="Times New Roman" w:cs="Arial"/>
                <w:lang w:val="en-US" w:eastAsia="en-US"/>
              </w:rPr>
              <w:t xml:space="preserve">' and is located in the </w:t>
            </w:r>
            <w:r w:rsidRPr="002B5133">
              <w:rPr>
                <w:rFonts w:eastAsia="Times New Roman" w:cs="Arial"/>
                <w:i/>
                <w:iCs/>
                <w:color w:val="006411"/>
                <w:lang w:val="en-US" w:eastAsia="en-US"/>
              </w:rPr>
              <w:t>Specific disclosures on individual segments</w:t>
            </w:r>
            <w:r w:rsidRPr="002B5133">
              <w:rPr>
                <w:rFonts w:eastAsia="Times New Roman" w:cs="Arial"/>
                <w:lang w:val="en-US" w:eastAsia="en-US"/>
              </w:rPr>
              <w:t xml:space="preserve"> section in </w:t>
            </w:r>
            <w:r w:rsidRPr="002B5133">
              <w:rPr>
                <w:rFonts w:eastAsia="Times New Roman" w:cs="Arial"/>
                <w:i/>
                <w:iCs/>
                <w:color w:val="006411"/>
                <w:lang w:val="en-US" w:eastAsia="en-US"/>
              </w:rPr>
              <w:t>Segment reporting</w:t>
            </w:r>
            <w:r w:rsidRPr="002B5133">
              <w:rPr>
                <w:rFonts w:eastAsia="Times New Roman" w:cs="Arial"/>
                <w:lang w:val="en-US" w:eastAsia="en-US"/>
              </w:rPr>
              <w:t xml:space="preserve">. </w:t>
            </w:r>
          </w:p>
          <w:p w:rsidR="002B5133" w:rsidRPr="002B5133" w:rsidRDefault="002B5133" w:rsidP="002B5133">
            <w:pPr>
              <w:spacing w:before="60" w:after="60"/>
              <w:jc w:val="left"/>
              <w:rPr>
                <w:rFonts w:eastAsia="Times New Roman" w:cs="Arial"/>
                <w:lang w:val="en-US" w:eastAsia="en-US"/>
              </w:rPr>
            </w:pPr>
            <w:r w:rsidRPr="002B5133">
              <w:rPr>
                <w:rFonts w:eastAsia="Times New Roman" w:cs="Arial"/>
                <w:lang w:val="en-US" w:eastAsia="en-US"/>
              </w:rPr>
              <w:t xml:space="preserve">+  The name tags for the subsidiaries, associates and joint-ventures dimensions are located in the </w:t>
            </w:r>
            <w:r w:rsidRPr="002B5133">
              <w:rPr>
                <w:rFonts w:eastAsia="Times New Roman" w:cs="Arial"/>
                <w:i/>
                <w:iCs/>
                <w:color w:val="006411"/>
                <w:lang w:val="en-US" w:eastAsia="en-US"/>
              </w:rPr>
              <w:t>Subsidiaries, associates and joint-ventures</w:t>
            </w:r>
            <w:r w:rsidRPr="002B5133">
              <w:rPr>
                <w:rFonts w:eastAsia="Times New Roman" w:cs="Arial"/>
                <w:lang w:val="en-US" w:eastAsia="en-US"/>
              </w:rPr>
              <w:t xml:space="preserve"> section rather than in the investments in associates and joint-ventures sections.    </w:t>
            </w:r>
          </w:p>
        </w:tc>
      </w:tr>
    </w:tbl>
    <w:p w:rsidR="00B83151" w:rsidRDefault="00B83151" w:rsidP="00B83151">
      <w:pPr>
        <w:rPr>
          <w:rFonts w:cs="Arial"/>
        </w:rPr>
      </w:pPr>
    </w:p>
    <w:p w:rsidR="00B83151" w:rsidRDefault="00572033" w:rsidP="002B5133">
      <w:pPr>
        <w:pStyle w:val="Heading2"/>
      </w:pPr>
      <w:r>
        <w:br w:type="page"/>
      </w:r>
      <w:bookmarkStart w:id="37" w:name="_Toc292036841"/>
      <w:r w:rsidR="002B5133">
        <w:lastRenderedPageBreak/>
        <w:t>IFRS – Income Statements and</w:t>
      </w:r>
      <w:r w:rsidR="00FA1CC7">
        <w:t xml:space="preserve"> </w:t>
      </w:r>
      <w:r w:rsidR="002B5133">
        <w:t>notes</w:t>
      </w:r>
      <w:bookmarkEnd w:id="37"/>
    </w:p>
    <w:p w:rsidR="00B83151" w:rsidRDefault="00B83151" w:rsidP="00B83151">
      <w:pPr>
        <w:rPr>
          <w:rFonts w:cs="Arial"/>
        </w:rPr>
      </w:pPr>
    </w:p>
    <w:tbl>
      <w:tblPr>
        <w:tblW w:w="9231" w:type="dxa"/>
        <w:tblInd w:w="91" w:type="dxa"/>
        <w:tblLook w:val="0000"/>
      </w:tblPr>
      <w:tblGrid>
        <w:gridCol w:w="495"/>
        <w:gridCol w:w="1728"/>
        <w:gridCol w:w="7008"/>
      </w:tblGrid>
      <w:tr w:rsidR="00B83151" w:rsidRPr="00D50F7D" w:rsidTr="008A19C4">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ID</w:t>
            </w:r>
          </w:p>
        </w:tc>
        <w:tc>
          <w:tcPr>
            <w:tcW w:w="1728" w:type="dxa"/>
            <w:tcBorders>
              <w:top w:val="single" w:sz="4" w:space="0" w:color="auto"/>
              <w:left w:val="nil"/>
              <w:bottom w:val="single" w:sz="4" w:space="0" w:color="auto"/>
              <w:right w:val="single" w:sz="4" w:space="0" w:color="auto"/>
            </w:tcBorders>
            <w:shd w:val="clear" w:color="auto" w:fill="auto"/>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Item</w:t>
            </w:r>
          </w:p>
        </w:tc>
        <w:tc>
          <w:tcPr>
            <w:tcW w:w="7008" w:type="dxa"/>
            <w:tcBorders>
              <w:top w:val="single" w:sz="4" w:space="0" w:color="auto"/>
              <w:left w:val="nil"/>
              <w:bottom w:val="single" w:sz="4" w:space="0" w:color="auto"/>
              <w:right w:val="single" w:sz="4" w:space="0" w:color="auto"/>
            </w:tcBorders>
            <w:shd w:val="clear" w:color="auto" w:fill="auto"/>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Description</w:t>
            </w:r>
          </w:p>
        </w:tc>
      </w:tr>
      <w:tr w:rsidR="00572033" w:rsidRPr="00572033" w:rsidTr="00572033">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2033" w:rsidRPr="00572033" w:rsidRDefault="00572033" w:rsidP="00572033">
            <w:pPr>
              <w:spacing w:before="60" w:after="60"/>
              <w:jc w:val="left"/>
              <w:rPr>
                <w:rFonts w:eastAsia="Times New Roman" w:cs="Arial"/>
                <w:lang w:val="en-US" w:eastAsia="en-US"/>
              </w:rPr>
            </w:pPr>
            <w:r w:rsidRPr="00572033">
              <w:rPr>
                <w:rFonts w:eastAsia="Times New Roman" w:cs="Arial"/>
                <w:lang w:val="en-US" w:eastAsia="en-US"/>
              </w:rPr>
              <w:t>9.3</w:t>
            </w:r>
          </w:p>
        </w:tc>
        <w:tc>
          <w:tcPr>
            <w:tcW w:w="1728" w:type="dxa"/>
            <w:tcBorders>
              <w:top w:val="single" w:sz="4" w:space="0" w:color="auto"/>
              <w:left w:val="nil"/>
              <w:bottom w:val="single" w:sz="4" w:space="0" w:color="auto"/>
              <w:right w:val="single" w:sz="4" w:space="0" w:color="auto"/>
            </w:tcBorders>
            <w:shd w:val="clear" w:color="auto" w:fill="auto"/>
            <w:vAlign w:val="center"/>
          </w:tcPr>
          <w:p w:rsidR="00572033" w:rsidRPr="00572033" w:rsidRDefault="00572033" w:rsidP="00572033">
            <w:pPr>
              <w:spacing w:before="60" w:after="60"/>
              <w:jc w:val="left"/>
              <w:rPr>
                <w:rFonts w:eastAsia="Times New Roman" w:cs="Arial"/>
                <w:lang w:val="en-US" w:eastAsia="en-US"/>
              </w:rPr>
            </w:pPr>
            <w:r w:rsidRPr="00572033">
              <w:rPr>
                <w:rFonts w:eastAsia="Times New Roman" w:cs="Arial"/>
                <w:lang w:val="en-US" w:eastAsia="en-US"/>
              </w:rPr>
              <w:t>Before / after exceptional items</w:t>
            </w:r>
          </w:p>
        </w:tc>
        <w:tc>
          <w:tcPr>
            <w:tcW w:w="7008" w:type="dxa"/>
            <w:tcBorders>
              <w:top w:val="single" w:sz="4" w:space="0" w:color="auto"/>
              <w:left w:val="nil"/>
              <w:bottom w:val="single" w:sz="4" w:space="0" w:color="auto"/>
              <w:right w:val="single" w:sz="4" w:space="0" w:color="auto"/>
            </w:tcBorders>
            <w:shd w:val="clear" w:color="auto" w:fill="auto"/>
            <w:vAlign w:val="center"/>
          </w:tcPr>
          <w:p w:rsidR="0043483A" w:rsidRDefault="00572033" w:rsidP="00572033">
            <w:pPr>
              <w:spacing w:before="60" w:after="60"/>
              <w:jc w:val="left"/>
              <w:rPr>
                <w:rFonts w:eastAsia="Times New Roman" w:cs="Arial"/>
                <w:lang w:val="en-US" w:eastAsia="en-US"/>
              </w:rPr>
            </w:pPr>
            <w:r w:rsidRPr="00572033">
              <w:rPr>
                <w:rFonts w:eastAsia="Times New Roman" w:cs="Arial"/>
                <w:lang w:val="en-US" w:eastAsia="en-US"/>
              </w:rPr>
              <w:t xml:space="preserve">The dimension tags representing data before and after exceptional items must be used whenever financial statements: </w:t>
            </w:r>
          </w:p>
          <w:p w:rsidR="0043483A" w:rsidRDefault="00572033" w:rsidP="00572033">
            <w:pPr>
              <w:spacing w:before="60" w:after="60"/>
              <w:jc w:val="left"/>
              <w:rPr>
                <w:rFonts w:eastAsia="Times New Roman" w:cs="Arial"/>
                <w:lang w:val="en-US" w:eastAsia="en-US"/>
              </w:rPr>
            </w:pPr>
            <w:r w:rsidRPr="00572033">
              <w:rPr>
                <w:rFonts w:eastAsia="Times New Roman" w:cs="Arial"/>
                <w:lang w:val="en-US" w:eastAsia="en-US"/>
              </w:rPr>
              <w:t>(a)  explicitly state that an item is before / after such adjustments, or</w:t>
            </w:r>
          </w:p>
          <w:p w:rsidR="00393344" w:rsidRDefault="00572033" w:rsidP="00572033">
            <w:pPr>
              <w:spacing w:before="60" w:after="60"/>
              <w:jc w:val="left"/>
              <w:rPr>
                <w:rFonts w:eastAsia="Times New Roman" w:cs="Arial"/>
                <w:lang w:val="en-US" w:eastAsia="en-US"/>
              </w:rPr>
            </w:pPr>
            <w:r w:rsidRPr="00572033">
              <w:rPr>
                <w:rFonts w:eastAsia="Times New Roman" w:cs="Arial"/>
                <w:lang w:val="en-US" w:eastAsia="en-US"/>
              </w:rPr>
              <w:t xml:space="preserve">(b)  contain two or more line items which represent the </w:t>
            </w:r>
            <w:r w:rsidRPr="00572033">
              <w:rPr>
                <w:rFonts w:eastAsia="Times New Roman" w:cs="Arial"/>
                <w:b/>
                <w:bCs/>
                <w:lang w:val="en-US" w:eastAsia="en-US"/>
              </w:rPr>
              <w:t>same</w:t>
            </w:r>
            <w:r w:rsidRPr="00572033">
              <w:rPr>
                <w:rFonts w:eastAsia="Times New Roman" w:cs="Arial"/>
                <w:lang w:val="en-US" w:eastAsia="en-US"/>
              </w:rPr>
              <w:t xml:space="preserve"> basic concept and require the before / after dimension tag to distinguish them.  In this case, line item descriptions do not have to state explicitly that they are before or after adjustments, as in the following example:</w:t>
            </w:r>
          </w:p>
          <w:p w:rsidR="005360AF" w:rsidRDefault="00572033" w:rsidP="005360AF">
            <w:pPr>
              <w:jc w:val="left"/>
              <w:rPr>
                <w:rFonts w:eastAsia="Times New Roman" w:cs="Arial"/>
                <w:lang w:val="en-US" w:eastAsia="en-US"/>
              </w:rPr>
            </w:pPr>
            <w:r w:rsidRPr="00572033">
              <w:rPr>
                <w:rFonts w:eastAsia="Times New Roman" w:cs="Arial"/>
                <w:lang w:val="en-US" w:eastAsia="en-US"/>
              </w:rPr>
              <w:t xml:space="preserve">    Operating profit   10</w:t>
            </w:r>
          </w:p>
          <w:p w:rsidR="005360AF" w:rsidRDefault="00572033" w:rsidP="005360AF">
            <w:pPr>
              <w:jc w:val="left"/>
              <w:rPr>
                <w:rFonts w:eastAsia="Times New Roman" w:cs="Arial"/>
                <w:lang w:val="en-US" w:eastAsia="en-US"/>
              </w:rPr>
            </w:pPr>
            <w:r w:rsidRPr="00572033">
              <w:rPr>
                <w:rFonts w:eastAsia="Times New Roman" w:cs="Arial"/>
                <w:lang w:val="en-US" w:eastAsia="en-US"/>
              </w:rPr>
              <w:t xml:space="preserve">    Exceptionals         5</w:t>
            </w:r>
          </w:p>
          <w:p w:rsidR="005360AF" w:rsidRDefault="00572033" w:rsidP="005360AF">
            <w:pPr>
              <w:jc w:val="left"/>
              <w:rPr>
                <w:rFonts w:eastAsia="Times New Roman" w:cs="Arial"/>
                <w:lang w:val="en-US" w:eastAsia="en-US"/>
              </w:rPr>
            </w:pPr>
            <w:r w:rsidRPr="00572033">
              <w:rPr>
                <w:rFonts w:eastAsia="Times New Roman" w:cs="Arial"/>
                <w:lang w:val="en-US" w:eastAsia="en-US"/>
              </w:rPr>
              <w:t xml:space="preserve">    Operating profit     5</w:t>
            </w:r>
          </w:p>
          <w:p w:rsidR="0043483A" w:rsidRDefault="00572033" w:rsidP="00572033">
            <w:pPr>
              <w:spacing w:before="60" w:after="60"/>
              <w:jc w:val="left"/>
              <w:rPr>
                <w:rFonts w:eastAsia="Times New Roman" w:cs="Arial"/>
                <w:lang w:val="en-US" w:eastAsia="en-US"/>
              </w:rPr>
            </w:pPr>
            <w:r w:rsidRPr="00572033">
              <w:rPr>
                <w:rFonts w:eastAsia="Times New Roman" w:cs="Arial"/>
                <w:lang w:val="en-US" w:eastAsia="en-US"/>
              </w:rPr>
              <w:t xml:space="preserve">It is clear from this statement that the first operating profit is before exceptionals, there is an exceptional loss and the second operating profit is after exceptionals, so the dimension tags must be used.  </w:t>
            </w:r>
          </w:p>
          <w:p w:rsidR="00572033" w:rsidRPr="00572033" w:rsidRDefault="00572033" w:rsidP="00572033">
            <w:pPr>
              <w:spacing w:before="60" w:after="60"/>
              <w:jc w:val="left"/>
              <w:rPr>
                <w:rFonts w:eastAsia="Times New Roman" w:cs="Arial"/>
                <w:lang w:val="en-US" w:eastAsia="en-US"/>
              </w:rPr>
            </w:pPr>
            <w:r w:rsidRPr="00572033">
              <w:rPr>
                <w:rFonts w:eastAsia="Times New Roman" w:cs="Arial"/>
                <w:lang w:val="en-US" w:eastAsia="en-US"/>
              </w:rPr>
              <w:t>Otherwise the default for the before / after dimensions (‘</w:t>
            </w:r>
            <w:r w:rsidR="006F3D7B" w:rsidRPr="006F3D7B">
              <w:rPr>
                <w:rFonts w:eastAsia="Times New Roman" w:cs="Arial"/>
                <w:i/>
                <w:iCs/>
                <w:color w:val="FF0000"/>
                <w:lang w:val="en-US" w:eastAsia="en-US"/>
              </w:rPr>
              <w:t>N</w:t>
            </w:r>
            <w:r w:rsidRPr="006F3D7B">
              <w:rPr>
                <w:rFonts w:eastAsia="Times New Roman" w:cs="Arial"/>
                <w:i/>
                <w:iCs/>
                <w:color w:val="FF0000"/>
                <w:lang w:val="en-US" w:eastAsia="en-US"/>
              </w:rPr>
              <w:t>ot applicable</w:t>
            </w:r>
            <w:r w:rsidRPr="00572033">
              <w:rPr>
                <w:rFonts w:eastAsia="Times New Roman" w:cs="Arial"/>
                <w:lang w:val="en-US" w:eastAsia="en-US"/>
              </w:rPr>
              <w:t xml:space="preserve">’) should apply.  Subtotals which include another item tagged as 'after' do </w:t>
            </w:r>
            <w:r w:rsidRPr="00572033">
              <w:rPr>
                <w:rFonts w:eastAsia="Times New Roman" w:cs="Arial"/>
                <w:b/>
                <w:bCs/>
                <w:lang w:val="en-US" w:eastAsia="en-US"/>
              </w:rPr>
              <w:t>not</w:t>
            </w:r>
            <w:r w:rsidRPr="00572033">
              <w:rPr>
                <w:rFonts w:eastAsia="Times New Roman" w:cs="Arial"/>
                <w:lang w:val="en-US" w:eastAsia="en-US"/>
              </w:rPr>
              <w:t xml:space="preserve"> need to be tagged with the 'after' dimension tags, </w:t>
            </w:r>
            <w:r w:rsidRPr="00572033">
              <w:rPr>
                <w:rFonts w:eastAsia="Times New Roman" w:cs="Arial"/>
                <w:b/>
                <w:bCs/>
                <w:lang w:val="en-US" w:eastAsia="en-US"/>
              </w:rPr>
              <w:t>unless</w:t>
            </w:r>
            <w:r w:rsidRPr="00572033">
              <w:rPr>
                <w:rFonts w:eastAsia="Times New Roman" w:cs="Arial"/>
                <w:lang w:val="en-US" w:eastAsia="en-US"/>
              </w:rPr>
              <w:t xml:space="preserve"> rules (a) or (b) above apply independently to them.  (For example, if operating profit is after exceptionals, subsequent totals, such as profit after tax, do not need to be tagged as 'after exceptionals' unless the accounts explicitly declare them as such.)  </w:t>
            </w:r>
          </w:p>
        </w:tc>
      </w:tr>
      <w:tr w:rsidR="00572033" w:rsidRPr="00572033" w:rsidTr="00572033">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2033" w:rsidRPr="00572033" w:rsidRDefault="00572033" w:rsidP="00572033">
            <w:pPr>
              <w:spacing w:before="60" w:after="60"/>
              <w:jc w:val="left"/>
              <w:rPr>
                <w:rFonts w:eastAsia="Times New Roman" w:cs="Arial"/>
                <w:lang w:val="en-US" w:eastAsia="en-US"/>
              </w:rPr>
            </w:pPr>
            <w:r w:rsidRPr="00572033">
              <w:rPr>
                <w:rFonts w:eastAsia="Times New Roman" w:cs="Arial"/>
                <w:lang w:val="en-US" w:eastAsia="en-US"/>
              </w:rPr>
              <w:t>9.4</w:t>
            </w:r>
          </w:p>
        </w:tc>
        <w:tc>
          <w:tcPr>
            <w:tcW w:w="1728" w:type="dxa"/>
            <w:tcBorders>
              <w:top w:val="single" w:sz="4" w:space="0" w:color="auto"/>
              <w:left w:val="nil"/>
              <w:bottom w:val="single" w:sz="4" w:space="0" w:color="auto"/>
              <w:right w:val="single" w:sz="4" w:space="0" w:color="auto"/>
            </w:tcBorders>
            <w:shd w:val="clear" w:color="auto" w:fill="auto"/>
            <w:vAlign w:val="center"/>
          </w:tcPr>
          <w:p w:rsidR="00572033" w:rsidRPr="00572033" w:rsidRDefault="00572033" w:rsidP="00572033">
            <w:pPr>
              <w:spacing w:before="60" w:after="60"/>
              <w:jc w:val="left"/>
              <w:rPr>
                <w:rFonts w:eastAsia="Times New Roman" w:cs="Arial"/>
                <w:lang w:val="en-US" w:eastAsia="en-US"/>
              </w:rPr>
            </w:pPr>
            <w:bookmarkStart w:id="38" w:name="XR_ActGainLoss"/>
            <w:r w:rsidRPr="00572033">
              <w:rPr>
                <w:rFonts w:eastAsia="Times New Roman" w:cs="Arial"/>
                <w:lang w:val="en-US" w:eastAsia="en-US"/>
              </w:rPr>
              <w:t>Actuarial gain / loss recognised in pension schemes</w:t>
            </w:r>
            <w:bookmarkEnd w:id="38"/>
          </w:p>
        </w:tc>
        <w:tc>
          <w:tcPr>
            <w:tcW w:w="7008" w:type="dxa"/>
            <w:tcBorders>
              <w:top w:val="single" w:sz="4" w:space="0" w:color="auto"/>
              <w:left w:val="nil"/>
              <w:bottom w:val="single" w:sz="4" w:space="0" w:color="auto"/>
              <w:right w:val="single" w:sz="4" w:space="0" w:color="auto"/>
            </w:tcBorders>
            <w:shd w:val="clear" w:color="auto" w:fill="auto"/>
            <w:vAlign w:val="center"/>
          </w:tcPr>
          <w:p w:rsidR="0043483A" w:rsidRDefault="00572033" w:rsidP="00572033">
            <w:pPr>
              <w:spacing w:before="60" w:after="60"/>
              <w:jc w:val="left"/>
              <w:rPr>
                <w:rFonts w:eastAsia="Times New Roman" w:cs="Arial"/>
                <w:lang w:val="en-US" w:eastAsia="en-US"/>
              </w:rPr>
            </w:pPr>
            <w:r w:rsidRPr="00572033">
              <w:rPr>
                <w:rFonts w:eastAsia="Times New Roman" w:cs="Arial"/>
                <w:lang w:val="en-US" w:eastAsia="en-US"/>
              </w:rPr>
              <w:t>Actuarial gain / loss in pension schemes should be tagged in the Comprehensive Income Statement and Equity Statement with '</w:t>
            </w:r>
            <w:r w:rsidRPr="00572033">
              <w:rPr>
                <w:rFonts w:eastAsia="Times New Roman" w:cs="Arial"/>
                <w:i/>
                <w:iCs/>
                <w:color w:val="DD0806"/>
                <w:lang w:val="en-US" w:eastAsia="en-US"/>
              </w:rPr>
              <w:t>Actuarial gain (loss) on defined benefit schemes, before tax, in other comprehensive income</w:t>
            </w:r>
            <w:r w:rsidRPr="00572033">
              <w:rPr>
                <w:rFonts w:eastAsia="Times New Roman" w:cs="Arial"/>
                <w:lang w:val="en-US" w:eastAsia="en-US"/>
              </w:rPr>
              <w:t>' or the corresponding after tax tag.   These tags represent company totals and are attached to the appropriate equity and other dimensions for such totals.</w:t>
            </w:r>
          </w:p>
          <w:p w:rsidR="00572033" w:rsidRPr="00572033" w:rsidRDefault="00572033" w:rsidP="00572033">
            <w:pPr>
              <w:spacing w:before="60" w:after="60"/>
              <w:jc w:val="left"/>
              <w:rPr>
                <w:rFonts w:eastAsia="Times New Roman" w:cs="Arial"/>
                <w:lang w:val="en-US" w:eastAsia="en-US"/>
              </w:rPr>
            </w:pPr>
            <w:r w:rsidRPr="00572033">
              <w:rPr>
                <w:rFonts w:eastAsia="Times New Roman" w:cs="Arial"/>
                <w:lang w:val="en-US" w:eastAsia="en-US"/>
              </w:rPr>
              <w:t xml:space="preserve">Actuarial gains and losses recognised in </w:t>
            </w:r>
            <w:r w:rsidR="00F471E5">
              <w:rPr>
                <w:rFonts w:eastAsia="Times New Roman" w:cs="Arial"/>
                <w:lang w:val="en-US" w:eastAsia="en-US"/>
              </w:rPr>
              <w:t>other comprehensive income</w:t>
            </w:r>
            <w:r w:rsidRPr="00572033">
              <w:rPr>
                <w:rFonts w:eastAsia="Times New Roman" w:cs="Arial"/>
                <w:lang w:val="en-US" w:eastAsia="en-US"/>
              </w:rPr>
              <w:t xml:space="preserve"> under the pensions note should be tagged with '</w:t>
            </w:r>
            <w:r w:rsidRPr="00572033">
              <w:rPr>
                <w:rFonts w:eastAsia="Times New Roman" w:cs="Arial"/>
                <w:i/>
                <w:iCs/>
                <w:color w:val="DD0806"/>
                <w:lang w:val="en-US" w:eastAsia="en-US"/>
              </w:rPr>
              <w:t>Actuarial gain (loss) on defined benefit scheme recognised in other comprehensive income</w:t>
            </w:r>
            <w:r w:rsidRPr="00572033">
              <w:rPr>
                <w:rFonts w:eastAsia="Times New Roman" w:cs="Arial"/>
                <w:lang w:val="en-US" w:eastAsia="en-US"/>
              </w:rPr>
              <w:t xml:space="preserve">'.  This tag may represent values for individual schemes and may be used with the </w:t>
            </w:r>
            <w:r w:rsidR="006F3D7B" w:rsidRPr="006F3D7B">
              <w:rPr>
                <w:rFonts w:eastAsia="Times New Roman" w:cs="Arial"/>
                <w:i/>
                <w:lang w:val="en-US" w:eastAsia="en-US"/>
              </w:rPr>
              <w:t>P</w:t>
            </w:r>
            <w:r w:rsidRPr="006F3D7B">
              <w:rPr>
                <w:rFonts w:eastAsia="Times New Roman" w:cs="Arial"/>
                <w:i/>
                <w:lang w:val="en-US" w:eastAsia="en-US"/>
              </w:rPr>
              <w:t>ension</w:t>
            </w:r>
            <w:r w:rsidR="006F3D7B" w:rsidRPr="006F3D7B">
              <w:rPr>
                <w:rFonts w:eastAsia="Times New Roman" w:cs="Arial"/>
                <w:i/>
                <w:lang w:val="en-US" w:eastAsia="en-US"/>
              </w:rPr>
              <w:t xml:space="preserve"> scheme</w:t>
            </w:r>
            <w:r w:rsidRPr="006F3D7B">
              <w:rPr>
                <w:rFonts w:eastAsia="Times New Roman" w:cs="Arial"/>
                <w:i/>
                <w:lang w:val="en-US" w:eastAsia="en-US"/>
              </w:rPr>
              <w:t>s</w:t>
            </w:r>
            <w:r w:rsidRPr="00572033">
              <w:rPr>
                <w:rFonts w:eastAsia="Times New Roman" w:cs="Arial"/>
                <w:lang w:val="en-US" w:eastAsia="en-US"/>
              </w:rPr>
              <w:t xml:space="preserve"> dimension.    </w:t>
            </w:r>
          </w:p>
        </w:tc>
      </w:tr>
      <w:tr w:rsidR="00572033" w:rsidRPr="00572033" w:rsidTr="00572033">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2033" w:rsidRPr="00572033" w:rsidRDefault="00572033" w:rsidP="00572033">
            <w:pPr>
              <w:spacing w:before="60" w:after="60"/>
              <w:jc w:val="left"/>
              <w:rPr>
                <w:rFonts w:eastAsia="Times New Roman" w:cs="Arial"/>
                <w:highlight w:val="yellow"/>
                <w:lang w:val="en-US" w:eastAsia="en-US"/>
              </w:rPr>
            </w:pPr>
            <w:r w:rsidRPr="00572033">
              <w:rPr>
                <w:rFonts w:eastAsia="Times New Roman" w:cs="Arial"/>
                <w:highlight w:val="yellow"/>
                <w:lang w:val="en-US" w:eastAsia="en-US"/>
              </w:rPr>
              <w:t>9.5</w:t>
            </w:r>
          </w:p>
        </w:tc>
        <w:tc>
          <w:tcPr>
            <w:tcW w:w="1728" w:type="dxa"/>
            <w:tcBorders>
              <w:top w:val="single" w:sz="4" w:space="0" w:color="auto"/>
              <w:left w:val="nil"/>
              <w:bottom w:val="single" w:sz="4" w:space="0" w:color="auto"/>
              <w:right w:val="single" w:sz="4" w:space="0" w:color="auto"/>
            </w:tcBorders>
            <w:shd w:val="clear" w:color="auto" w:fill="auto"/>
            <w:vAlign w:val="center"/>
          </w:tcPr>
          <w:p w:rsidR="00572033" w:rsidRPr="00572033" w:rsidRDefault="00572033" w:rsidP="00572033">
            <w:pPr>
              <w:spacing w:before="60" w:after="60"/>
              <w:jc w:val="left"/>
              <w:rPr>
                <w:rFonts w:eastAsia="Times New Roman" w:cs="Arial"/>
                <w:highlight w:val="yellow"/>
                <w:lang w:val="en-US" w:eastAsia="en-US"/>
              </w:rPr>
            </w:pPr>
            <w:r w:rsidRPr="00572033">
              <w:rPr>
                <w:rFonts w:eastAsia="Times New Roman" w:cs="Arial"/>
                <w:highlight w:val="yellow"/>
                <w:lang w:val="en-US" w:eastAsia="en-US"/>
              </w:rPr>
              <w:t>Comprehensive income  - tax components</w:t>
            </w:r>
          </w:p>
        </w:tc>
        <w:tc>
          <w:tcPr>
            <w:tcW w:w="7008" w:type="dxa"/>
            <w:tcBorders>
              <w:top w:val="single" w:sz="4" w:space="0" w:color="auto"/>
              <w:left w:val="nil"/>
              <w:bottom w:val="single" w:sz="4" w:space="0" w:color="auto"/>
              <w:right w:val="single" w:sz="4" w:space="0" w:color="auto"/>
            </w:tcBorders>
            <w:shd w:val="clear" w:color="auto" w:fill="auto"/>
            <w:vAlign w:val="center"/>
          </w:tcPr>
          <w:p w:rsidR="00572033" w:rsidRPr="00572033" w:rsidRDefault="00572033" w:rsidP="00572033">
            <w:pPr>
              <w:spacing w:before="60" w:after="60"/>
              <w:jc w:val="left"/>
              <w:rPr>
                <w:rFonts w:eastAsia="Times New Roman" w:cs="Arial"/>
                <w:lang w:val="en-US" w:eastAsia="en-US"/>
              </w:rPr>
            </w:pPr>
            <w:r w:rsidRPr="00572033">
              <w:rPr>
                <w:rFonts w:eastAsia="Times New Roman" w:cs="Arial"/>
                <w:lang w:val="en-US" w:eastAsia="en-US"/>
              </w:rPr>
              <w:t>The tag '</w:t>
            </w:r>
            <w:r w:rsidRPr="002C086B">
              <w:rPr>
                <w:rFonts w:eastAsia="Times New Roman" w:cs="Arial"/>
                <w:i/>
                <w:iCs/>
                <w:color w:val="DD0806"/>
                <w:lang w:val="en-US" w:eastAsia="en-US"/>
              </w:rPr>
              <w:t>Tax expense (credit) on other items of comprehensive income</w:t>
            </w:r>
            <w:r w:rsidRPr="00572033">
              <w:rPr>
                <w:rFonts w:eastAsia="Times New Roman" w:cs="Arial"/>
                <w:lang w:val="en-US" w:eastAsia="en-US"/>
              </w:rPr>
              <w:t>' is effectively duplicated by another tag '</w:t>
            </w:r>
            <w:r w:rsidRPr="002C086B">
              <w:rPr>
                <w:rFonts w:eastAsia="Times New Roman" w:cs="Arial"/>
                <w:i/>
                <w:iCs/>
                <w:color w:val="DD0806"/>
                <w:lang w:val="en-US" w:eastAsia="en-US"/>
              </w:rPr>
              <w:t>Tax expense (credit) on other items of comprehensive income (loss)</w:t>
            </w:r>
            <w:r w:rsidRPr="00572033">
              <w:rPr>
                <w:rFonts w:eastAsia="Times New Roman" w:cs="Arial"/>
                <w:lang w:val="en-US" w:eastAsia="en-US"/>
              </w:rPr>
              <w:t xml:space="preserve">'.  Either tag may be used, but preparers are recommended to use the former.  The latter is expected to be deprecated or deleted from future versions of the taxonomy.  </w:t>
            </w:r>
          </w:p>
        </w:tc>
      </w:tr>
      <w:tr w:rsidR="00572033" w:rsidRPr="00572033" w:rsidTr="00572033">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2033" w:rsidRPr="00572033" w:rsidRDefault="00572033" w:rsidP="00572033">
            <w:pPr>
              <w:spacing w:before="60" w:after="60"/>
              <w:jc w:val="left"/>
              <w:rPr>
                <w:rFonts w:eastAsia="Times New Roman" w:cs="Arial"/>
                <w:lang w:val="en-US" w:eastAsia="en-US"/>
              </w:rPr>
            </w:pPr>
            <w:r w:rsidRPr="00572033">
              <w:rPr>
                <w:rFonts w:eastAsia="Times New Roman" w:cs="Arial"/>
                <w:lang w:val="en-US" w:eastAsia="en-US"/>
              </w:rPr>
              <w:t>9.6</w:t>
            </w:r>
          </w:p>
        </w:tc>
        <w:tc>
          <w:tcPr>
            <w:tcW w:w="1728" w:type="dxa"/>
            <w:tcBorders>
              <w:top w:val="single" w:sz="4" w:space="0" w:color="auto"/>
              <w:left w:val="nil"/>
              <w:bottom w:val="single" w:sz="4" w:space="0" w:color="auto"/>
              <w:right w:val="single" w:sz="4" w:space="0" w:color="auto"/>
            </w:tcBorders>
            <w:shd w:val="clear" w:color="auto" w:fill="auto"/>
            <w:vAlign w:val="center"/>
          </w:tcPr>
          <w:p w:rsidR="00572033" w:rsidRPr="00572033" w:rsidRDefault="00572033" w:rsidP="00572033">
            <w:pPr>
              <w:spacing w:before="60" w:after="60"/>
              <w:jc w:val="left"/>
              <w:rPr>
                <w:rFonts w:eastAsia="Times New Roman" w:cs="Arial"/>
                <w:lang w:val="en-US" w:eastAsia="en-US"/>
              </w:rPr>
            </w:pPr>
            <w:r w:rsidRPr="00572033">
              <w:rPr>
                <w:rFonts w:eastAsia="Times New Roman" w:cs="Arial"/>
                <w:lang w:val="en-US" w:eastAsia="en-US"/>
              </w:rPr>
              <w:t>Gains and losses on hedged items</w:t>
            </w:r>
          </w:p>
        </w:tc>
        <w:tc>
          <w:tcPr>
            <w:tcW w:w="7008" w:type="dxa"/>
            <w:tcBorders>
              <w:top w:val="single" w:sz="4" w:space="0" w:color="auto"/>
              <w:left w:val="nil"/>
              <w:bottom w:val="single" w:sz="4" w:space="0" w:color="auto"/>
              <w:right w:val="single" w:sz="4" w:space="0" w:color="auto"/>
            </w:tcBorders>
            <w:shd w:val="clear" w:color="auto" w:fill="auto"/>
            <w:vAlign w:val="center"/>
          </w:tcPr>
          <w:p w:rsidR="00572033" w:rsidRPr="00572033" w:rsidRDefault="00572033" w:rsidP="00572033">
            <w:pPr>
              <w:spacing w:before="60" w:after="60"/>
              <w:jc w:val="left"/>
              <w:rPr>
                <w:rFonts w:eastAsia="Times New Roman" w:cs="Arial"/>
                <w:lang w:val="en-US" w:eastAsia="en-US"/>
              </w:rPr>
            </w:pPr>
            <w:r w:rsidRPr="00572033">
              <w:rPr>
                <w:rFonts w:eastAsia="Times New Roman" w:cs="Arial"/>
                <w:lang w:val="en-US" w:eastAsia="en-US"/>
              </w:rPr>
              <w:t xml:space="preserve">Gains and losses on hedged items may be found in separate sections:  </w:t>
            </w:r>
            <w:r w:rsidRPr="00572033">
              <w:rPr>
                <w:rFonts w:eastAsia="Times New Roman" w:cs="Arial"/>
                <w:i/>
                <w:iCs/>
                <w:color w:val="006411"/>
                <w:lang w:val="en-US" w:eastAsia="en-US"/>
              </w:rPr>
              <w:t>Other comprehensive income</w:t>
            </w:r>
            <w:r w:rsidRPr="00572033">
              <w:rPr>
                <w:rFonts w:eastAsia="Times New Roman" w:cs="Arial"/>
                <w:lang w:val="en-US" w:eastAsia="en-US"/>
              </w:rPr>
              <w:t xml:space="preserve"> contains a range of tags for items recognised in other comprehensive income;  </w:t>
            </w:r>
            <w:r w:rsidRPr="00572033">
              <w:rPr>
                <w:rFonts w:eastAsia="Times New Roman" w:cs="Arial"/>
                <w:i/>
                <w:iCs/>
                <w:color w:val="006411"/>
                <w:lang w:val="en-US" w:eastAsia="en-US"/>
              </w:rPr>
              <w:t>Financial instruments net gains (losses), before tax</w:t>
            </w:r>
            <w:r w:rsidRPr="00572033">
              <w:rPr>
                <w:rFonts w:eastAsia="Times New Roman" w:cs="Arial"/>
                <w:lang w:val="en-US" w:eastAsia="en-US"/>
              </w:rPr>
              <w:t xml:space="preserve"> </w:t>
            </w:r>
            <w:r w:rsidR="00CF701B">
              <w:rPr>
                <w:rFonts w:eastAsia="Times New Roman" w:cs="Arial"/>
                <w:lang w:val="en-US" w:eastAsia="en-US"/>
              </w:rPr>
              <w:t xml:space="preserve">(under </w:t>
            </w:r>
            <w:r w:rsidR="00CF701B" w:rsidRPr="00CF701B">
              <w:rPr>
                <w:rFonts w:eastAsia="Times New Roman" w:cs="Arial"/>
                <w:i/>
                <w:color w:val="008000"/>
                <w:lang w:val="en-US" w:eastAsia="en-US"/>
              </w:rPr>
              <w:t>Notes on income statement</w:t>
            </w:r>
            <w:r w:rsidR="00CF701B">
              <w:rPr>
                <w:rFonts w:eastAsia="Times New Roman" w:cs="Arial"/>
                <w:lang w:val="en-US" w:eastAsia="en-US"/>
              </w:rPr>
              <w:t>) c</w:t>
            </w:r>
            <w:r w:rsidRPr="00572033">
              <w:rPr>
                <w:rFonts w:eastAsia="Times New Roman" w:cs="Arial"/>
                <w:lang w:val="en-US" w:eastAsia="en-US"/>
              </w:rPr>
              <w:t xml:space="preserve">ontains further tags for items </w:t>
            </w:r>
            <w:r w:rsidR="00CF701B">
              <w:rPr>
                <w:rFonts w:eastAsia="Times New Roman" w:cs="Arial"/>
                <w:lang w:val="en-US" w:eastAsia="en-US"/>
              </w:rPr>
              <w:t xml:space="preserve">recognised in profit or loss.  </w:t>
            </w:r>
            <w:r w:rsidRPr="00572033">
              <w:rPr>
                <w:rFonts w:eastAsia="Times New Roman" w:cs="Arial"/>
                <w:lang w:val="en-US" w:eastAsia="en-US"/>
              </w:rPr>
              <w:t xml:space="preserve">Groupings for information on individual hedges can be found in </w:t>
            </w:r>
            <w:r w:rsidRPr="00572033">
              <w:rPr>
                <w:rFonts w:eastAsia="Times New Roman" w:cs="Arial"/>
                <w:i/>
                <w:iCs/>
                <w:color w:val="006411"/>
                <w:lang w:val="en-US" w:eastAsia="en-US"/>
              </w:rPr>
              <w:t>Hedge accounting</w:t>
            </w:r>
            <w:r w:rsidRPr="00572033">
              <w:rPr>
                <w:rFonts w:eastAsia="Times New Roman" w:cs="Arial"/>
                <w:lang w:val="en-US" w:eastAsia="en-US"/>
              </w:rPr>
              <w:t xml:space="preserve">, under </w:t>
            </w:r>
            <w:r w:rsidRPr="00CF701B">
              <w:rPr>
                <w:rFonts w:eastAsia="Times New Roman" w:cs="Arial"/>
                <w:i/>
                <w:iCs/>
                <w:color w:val="008000"/>
                <w:lang w:val="en-US" w:eastAsia="en-US"/>
              </w:rPr>
              <w:t>Notes on assets and liabilities</w:t>
            </w:r>
            <w:r w:rsidRPr="00572033">
              <w:rPr>
                <w:rFonts w:eastAsia="Times New Roman" w:cs="Arial"/>
                <w:lang w:val="en-US" w:eastAsia="en-US"/>
              </w:rPr>
              <w:t xml:space="preserve">.  </w:t>
            </w:r>
          </w:p>
        </w:tc>
      </w:tr>
    </w:tbl>
    <w:p w:rsidR="00B83151" w:rsidRDefault="00B83151" w:rsidP="00B83151">
      <w:pPr>
        <w:rPr>
          <w:rFonts w:cs="Arial"/>
        </w:rPr>
      </w:pPr>
    </w:p>
    <w:p w:rsidR="00B83151" w:rsidRPr="00572033" w:rsidRDefault="00572033" w:rsidP="002B5133">
      <w:pPr>
        <w:pStyle w:val="Heading2"/>
      </w:pPr>
      <w:r>
        <w:br w:type="page"/>
      </w:r>
      <w:bookmarkStart w:id="39" w:name="_Toc292036842"/>
      <w:r w:rsidRPr="00572033">
        <w:lastRenderedPageBreak/>
        <w:t>IFRS</w:t>
      </w:r>
      <w:r w:rsidR="001D32C0">
        <w:t xml:space="preserve"> – Balance </w:t>
      </w:r>
      <w:r w:rsidRPr="00572033">
        <w:t>Sheet and</w:t>
      </w:r>
      <w:r w:rsidR="00FA1CC7">
        <w:t xml:space="preserve"> </w:t>
      </w:r>
      <w:r w:rsidRPr="00572033">
        <w:t>notes</w:t>
      </w:r>
      <w:bookmarkEnd w:id="39"/>
    </w:p>
    <w:p w:rsidR="00B83151" w:rsidRDefault="00B83151" w:rsidP="00B83151">
      <w:pPr>
        <w:rPr>
          <w:rFonts w:cs="Arial"/>
        </w:rPr>
      </w:pPr>
    </w:p>
    <w:tbl>
      <w:tblPr>
        <w:tblW w:w="9231" w:type="dxa"/>
        <w:tblInd w:w="91" w:type="dxa"/>
        <w:tblLook w:val="0000"/>
      </w:tblPr>
      <w:tblGrid>
        <w:gridCol w:w="495"/>
        <w:gridCol w:w="1728"/>
        <w:gridCol w:w="7008"/>
      </w:tblGrid>
      <w:tr w:rsidR="00B83151" w:rsidRPr="00D50F7D" w:rsidTr="008A19C4">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ID</w:t>
            </w:r>
          </w:p>
        </w:tc>
        <w:tc>
          <w:tcPr>
            <w:tcW w:w="1728" w:type="dxa"/>
            <w:tcBorders>
              <w:top w:val="single" w:sz="4" w:space="0" w:color="auto"/>
              <w:left w:val="nil"/>
              <w:bottom w:val="single" w:sz="4" w:space="0" w:color="auto"/>
              <w:right w:val="single" w:sz="4" w:space="0" w:color="auto"/>
            </w:tcBorders>
            <w:shd w:val="clear" w:color="auto" w:fill="auto"/>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Item</w:t>
            </w:r>
          </w:p>
        </w:tc>
        <w:tc>
          <w:tcPr>
            <w:tcW w:w="7008" w:type="dxa"/>
            <w:tcBorders>
              <w:top w:val="single" w:sz="4" w:space="0" w:color="auto"/>
              <w:left w:val="nil"/>
              <w:bottom w:val="single" w:sz="4" w:space="0" w:color="auto"/>
              <w:right w:val="single" w:sz="4" w:space="0" w:color="auto"/>
            </w:tcBorders>
            <w:shd w:val="clear" w:color="auto" w:fill="auto"/>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Description</w:t>
            </w:r>
          </w:p>
        </w:tc>
      </w:tr>
      <w:tr w:rsidR="004B3E83" w:rsidRPr="004B3E83" w:rsidTr="004B3E83">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3E83" w:rsidRPr="004B3E83" w:rsidRDefault="004B3E83" w:rsidP="004B3E83">
            <w:pPr>
              <w:spacing w:before="60" w:after="60"/>
              <w:jc w:val="left"/>
              <w:rPr>
                <w:rFonts w:eastAsia="Times New Roman" w:cs="Arial"/>
                <w:lang w:val="en-US" w:eastAsia="en-US"/>
              </w:rPr>
            </w:pPr>
            <w:r w:rsidRPr="004B3E83">
              <w:rPr>
                <w:rFonts w:eastAsia="Times New Roman" w:cs="Arial"/>
                <w:lang w:val="en-US" w:eastAsia="en-US"/>
              </w:rPr>
              <w:t>9.7</w:t>
            </w:r>
          </w:p>
        </w:tc>
        <w:tc>
          <w:tcPr>
            <w:tcW w:w="1728" w:type="dxa"/>
            <w:tcBorders>
              <w:top w:val="single" w:sz="4" w:space="0" w:color="auto"/>
              <w:left w:val="nil"/>
              <w:bottom w:val="single" w:sz="4" w:space="0" w:color="auto"/>
              <w:right w:val="single" w:sz="4" w:space="0" w:color="auto"/>
            </w:tcBorders>
            <w:shd w:val="clear" w:color="auto" w:fill="auto"/>
            <w:vAlign w:val="center"/>
          </w:tcPr>
          <w:p w:rsidR="004B3E83" w:rsidRPr="004B3E83" w:rsidRDefault="004B3E83" w:rsidP="004B3E83">
            <w:pPr>
              <w:spacing w:before="60" w:after="60"/>
              <w:jc w:val="left"/>
              <w:rPr>
                <w:rFonts w:eastAsia="Times New Roman" w:cs="Arial"/>
                <w:lang w:val="en-US" w:eastAsia="en-US"/>
              </w:rPr>
            </w:pPr>
            <w:r w:rsidRPr="004B3E83">
              <w:rPr>
                <w:rFonts w:eastAsia="Times New Roman" w:cs="Arial"/>
                <w:lang w:val="en-US" w:eastAsia="en-US"/>
              </w:rPr>
              <w:t>Current and non-current assets and liabilities</w:t>
            </w:r>
          </w:p>
        </w:tc>
        <w:tc>
          <w:tcPr>
            <w:tcW w:w="7008" w:type="dxa"/>
            <w:tcBorders>
              <w:top w:val="single" w:sz="4" w:space="0" w:color="auto"/>
              <w:left w:val="nil"/>
              <w:bottom w:val="single" w:sz="4" w:space="0" w:color="auto"/>
              <w:right w:val="single" w:sz="4" w:space="0" w:color="auto"/>
            </w:tcBorders>
            <w:shd w:val="clear" w:color="auto" w:fill="auto"/>
            <w:vAlign w:val="center"/>
          </w:tcPr>
          <w:p w:rsidR="0043483A" w:rsidRDefault="004B3E83" w:rsidP="004B3E83">
            <w:pPr>
              <w:spacing w:before="60" w:after="60"/>
              <w:jc w:val="left"/>
              <w:rPr>
                <w:rFonts w:eastAsia="Times New Roman" w:cs="Arial"/>
                <w:lang w:val="en-US" w:eastAsia="en-US"/>
              </w:rPr>
            </w:pPr>
            <w:r w:rsidRPr="004B3E83">
              <w:rPr>
                <w:rFonts w:eastAsia="Times New Roman" w:cs="Arial"/>
                <w:lang w:val="en-US" w:eastAsia="en-US"/>
              </w:rPr>
              <w:t xml:space="preserve">The IFRS taxonomy uses separate line item tags for current and non-current assets and liabilities which are </w:t>
            </w:r>
            <w:r w:rsidRPr="004B3E83">
              <w:rPr>
                <w:rFonts w:eastAsia="Times New Roman" w:cs="Arial"/>
                <w:b/>
                <w:bCs/>
                <w:lang w:val="en-US" w:eastAsia="en-US"/>
              </w:rPr>
              <w:t>non-financial</w:t>
            </w:r>
            <w:r w:rsidRPr="004B3E83">
              <w:rPr>
                <w:rFonts w:eastAsia="Times New Roman" w:cs="Arial"/>
                <w:lang w:val="en-US" w:eastAsia="en-US"/>
              </w:rPr>
              <w:t xml:space="preserve">.  </w:t>
            </w:r>
          </w:p>
          <w:p w:rsidR="004B3E83" w:rsidRPr="004B3E83" w:rsidRDefault="004B3E83" w:rsidP="004B3E83">
            <w:pPr>
              <w:spacing w:before="60" w:after="60"/>
              <w:jc w:val="left"/>
              <w:rPr>
                <w:rFonts w:eastAsia="Times New Roman" w:cs="Arial"/>
                <w:lang w:val="en-US" w:eastAsia="en-US"/>
              </w:rPr>
            </w:pPr>
            <w:r w:rsidRPr="004B3E83">
              <w:rPr>
                <w:rFonts w:eastAsia="Times New Roman" w:cs="Arial"/>
                <w:lang w:val="en-US" w:eastAsia="en-US"/>
              </w:rPr>
              <w:t xml:space="preserve">However, current and non-current </w:t>
            </w:r>
            <w:r w:rsidRPr="004B3E83">
              <w:rPr>
                <w:rFonts w:eastAsia="Times New Roman" w:cs="Arial"/>
                <w:b/>
                <w:bCs/>
                <w:lang w:val="en-US" w:eastAsia="en-US"/>
              </w:rPr>
              <w:t>financial</w:t>
            </w:r>
            <w:r w:rsidRPr="004B3E83">
              <w:rPr>
                <w:rFonts w:eastAsia="Times New Roman" w:cs="Arial"/>
                <w:lang w:val="en-US" w:eastAsia="en-US"/>
              </w:rPr>
              <w:t xml:space="preserve"> assets and liabilities are distinguished by </w:t>
            </w:r>
            <w:r w:rsidR="00F739C3" w:rsidRPr="004B3E83">
              <w:rPr>
                <w:rFonts w:eastAsia="Times New Roman" w:cs="Arial"/>
                <w:lang w:val="en-US" w:eastAsia="en-US"/>
              </w:rPr>
              <w:t>the ‘</w:t>
            </w:r>
            <w:r w:rsidR="00F739C3" w:rsidRPr="004575AB">
              <w:rPr>
                <w:rFonts w:eastAsia="Times New Roman" w:cs="Arial"/>
                <w:i/>
                <w:color w:val="FF0000"/>
                <w:lang w:val="en-US" w:eastAsia="en-US"/>
              </w:rPr>
              <w:t>Current</w:t>
            </w:r>
            <w:r w:rsidRPr="004575AB">
              <w:rPr>
                <w:rFonts w:eastAsia="Times New Roman" w:cs="Arial"/>
                <w:i/>
                <w:iCs/>
                <w:color w:val="FF0000"/>
                <w:lang w:val="en-US" w:eastAsia="en-US"/>
              </w:rPr>
              <w:t xml:space="preserve"> financial instruments</w:t>
            </w:r>
            <w:r w:rsidRPr="004B3E83">
              <w:rPr>
                <w:rFonts w:eastAsia="Times New Roman" w:cs="Arial"/>
                <w:lang w:val="en-US" w:eastAsia="en-US"/>
              </w:rPr>
              <w:t>’ and ‘</w:t>
            </w:r>
            <w:r w:rsidRPr="004575AB">
              <w:rPr>
                <w:rFonts w:eastAsia="Times New Roman" w:cs="Arial"/>
                <w:i/>
                <w:iCs/>
                <w:color w:val="FF0000"/>
                <w:lang w:val="en-US" w:eastAsia="en-US"/>
              </w:rPr>
              <w:t>Non-current financial instruments</w:t>
            </w:r>
            <w:r w:rsidRPr="004B3E83">
              <w:rPr>
                <w:rFonts w:eastAsia="Times New Roman" w:cs="Arial"/>
                <w:lang w:val="en-US" w:eastAsia="en-US"/>
              </w:rPr>
              <w:t xml:space="preserve">’ dimension tags.  </w:t>
            </w:r>
          </w:p>
        </w:tc>
      </w:tr>
      <w:tr w:rsidR="004B3E83" w:rsidRPr="004B3E83" w:rsidTr="004B3E83">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3E83" w:rsidRPr="004B3E83" w:rsidRDefault="004B3E83" w:rsidP="004B3E83">
            <w:pPr>
              <w:spacing w:before="60" w:after="60"/>
              <w:jc w:val="left"/>
              <w:rPr>
                <w:rFonts w:eastAsia="Times New Roman" w:cs="Arial"/>
                <w:lang w:val="en-US" w:eastAsia="en-US"/>
              </w:rPr>
            </w:pPr>
            <w:r w:rsidRPr="004B3E83">
              <w:rPr>
                <w:rFonts w:eastAsia="Times New Roman" w:cs="Arial"/>
                <w:lang w:val="en-US" w:eastAsia="en-US"/>
              </w:rPr>
              <w:t>9.8</w:t>
            </w:r>
          </w:p>
        </w:tc>
        <w:tc>
          <w:tcPr>
            <w:tcW w:w="1728" w:type="dxa"/>
            <w:tcBorders>
              <w:top w:val="single" w:sz="4" w:space="0" w:color="auto"/>
              <w:left w:val="nil"/>
              <w:bottom w:val="single" w:sz="4" w:space="0" w:color="auto"/>
              <w:right w:val="single" w:sz="4" w:space="0" w:color="auto"/>
            </w:tcBorders>
            <w:shd w:val="clear" w:color="auto" w:fill="auto"/>
            <w:vAlign w:val="center"/>
          </w:tcPr>
          <w:p w:rsidR="004B3E83" w:rsidRPr="004B3E83" w:rsidRDefault="004B3E83" w:rsidP="004B3E83">
            <w:pPr>
              <w:spacing w:before="60" w:after="60"/>
              <w:jc w:val="left"/>
              <w:rPr>
                <w:rFonts w:eastAsia="Times New Roman" w:cs="Arial"/>
                <w:lang w:val="en-US" w:eastAsia="en-US"/>
              </w:rPr>
            </w:pPr>
            <w:r w:rsidRPr="004B3E83">
              <w:rPr>
                <w:rFonts w:eastAsia="Times New Roman" w:cs="Arial"/>
                <w:lang w:val="en-US" w:eastAsia="en-US"/>
              </w:rPr>
              <w:t>Trade and other receivables</w:t>
            </w:r>
          </w:p>
        </w:tc>
        <w:tc>
          <w:tcPr>
            <w:tcW w:w="7008" w:type="dxa"/>
            <w:tcBorders>
              <w:top w:val="single" w:sz="4" w:space="0" w:color="auto"/>
              <w:left w:val="nil"/>
              <w:bottom w:val="single" w:sz="4" w:space="0" w:color="auto"/>
              <w:right w:val="single" w:sz="4" w:space="0" w:color="auto"/>
            </w:tcBorders>
            <w:shd w:val="clear" w:color="auto" w:fill="auto"/>
            <w:vAlign w:val="center"/>
          </w:tcPr>
          <w:p w:rsidR="004B3E83" w:rsidRPr="004B3E83" w:rsidRDefault="004B3E83" w:rsidP="004B3E83">
            <w:pPr>
              <w:spacing w:before="60" w:after="60"/>
              <w:jc w:val="left"/>
              <w:rPr>
                <w:rFonts w:eastAsia="Times New Roman" w:cs="Arial"/>
                <w:lang w:val="en-US" w:eastAsia="en-US"/>
              </w:rPr>
            </w:pPr>
            <w:r w:rsidRPr="004B3E83">
              <w:rPr>
                <w:rFonts w:eastAsia="Times New Roman" w:cs="Arial"/>
                <w:lang w:val="en-US" w:eastAsia="en-US"/>
              </w:rPr>
              <w:t>‘Trade and other receivables’ is represented by the tag ‘</w:t>
            </w:r>
            <w:r w:rsidRPr="004B3E83">
              <w:rPr>
                <w:rFonts w:eastAsia="Times New Roman" w:cs="Arial"/>
                <w:i/>
                <w:iCs/>
                <w:color w:val="DD0806"/>
                <w:lang w:val="en-US" w:eastAsia="en-US"/>
              </w:rPr>
              <w:t>Loans and receivables, trade and other receivables</w:t>
            </w:r>
            <w:r w:rsidRPr="004B3E83">
              <w:rPr>
                <w:rFonts w:eastAsia="Times New Roman" w:cs="Arial"/>
                <w:lang w:val="en-US" w:eastAsia="en-US"/>
              </w:rPr>
              <w:t xml:space="preserve">’ in the </w:t>
            </w:r>
            <w:r w:rsidRPr="00CF701B">
              <w:rPr>
                <w:rFonts w:eastAsia="Times New Roman" w:cs="Arial"/>
                <w:i/>
                <w:iCs/>
                <w:color w:val="008000"/>
                <w:lang w:val="en-US" w:eastAsia="en-US"/>
              </w:rPr>
              <w:t>Loans and receivables</w:t>
            </w:r>
            <w:r w:rsidRPr="004B3E83">
              <w:rPr>
                <w:rFonts w:eastAsia="Times New Roman" w:cs="Arial"/>
                <w:lang w:val="en-US" w:eastAsia="en-US"/>
              </w:rPr>
              <w:t xml:space="preserve"> section of </w:t>
            </w:r>
            <w:r w:rsidRPr="00CF701B">
              <w:rPr>
                <w:rFonts w:eastAsia="Times New Roman" w:cs="Arial"/>
                <w:i/>
                <w:iCs/>
                <w:color w:val="008000"/>
                <w:lang w:val="en-US" w:eastAsia="en-US"/>
              </w:rPr>
              <w:t>Notes on assets and liabilities</w:t>
            </w:r>
            <w:r w:rsidRPr="004B3E83">
              <w:rPr>
                <w:rFonts w:eastAsia="Times New Roman" w:cs="Arial"/>
                <w:i/>
                <w:iCs/>
                <w:lang w:val="en-US" w:eastAsia="en-US"/>
              </w:rPr>
              <w:t xml:space="preserve">.  </w:t>
            </w:r>
            <w:r w:rsidRPr="004B3E83">
              <w:rPr>
                <w:rFonts w:eastAsia="Times New Roman" w:cs="Arial"/>
                <w:lang w:val="en-US" w:eastAsia="en-US"/>
              </w:rPr>
              <w:t xml:space="preserve">(The ‘Loans and receivables’ part of the label reflects the classification of the item under IAS 39.   The meaning of the tag corresponds to 'trade and other </w:t>
            </w:r>
            <w:r w:rsidR="00F739C3" w:rsidRPr="004B3E83">
              <w:rPr>
                <w:rFonts w:eastAsia="Times New Roman" w:cs="Arial"/>
                <w:lang w:val="en-US" w:eastAsia="en-US"/>
              </w:rPr>
              <w:t>receivables’.</w:t>
            </w:r>
            <w:r w:rsidRPr="004B3E83">
              <w:rPr>
                <w:rFonts w:eastAsia="Times New Roman" w:cs="Arial"/>
                <w:lang w:val="en-US" w:eastAsia="en-US"/>
              </w:rPr>
              <w:t xml:space="preserve">)  </w:t>
            </w:r>
          </w:p>
        </w:tc>
      </w:tr>
    </w:tbl>
    <w:p w:rsidR="00B83151" w:rsidRDefault="00B83151" w:rsidP="00B83151">
      <w:pPr>
        <w:rPr>
          <w:rFonts w:cs="Arial"/>
        </w:rPr>
      </w:pPr>
    </w:p>
    <w:p w:rsidR="00434A34" w:rsidRDefault="00434A34" w:rsidP="002B5133">
      <w:pPr>
        <w:pStyle w:val="Heading2"/>
      </w:pPr>
      <w:bookmarkStart w:id="40" w:name="_Toc292036843"/>
      <w:r>
        <w:t>IFRS – Cash Flow Statement and notes</w:t>
      </w:r>
      <w:bookmarkEnd w:id="40"/>
    </w:p>
    <w:p w:rsidR="00434A34" w:rsidRDefault="00434A34" w:rsidP="00434A34"/>
    <w:tbl>
      <w:tblPr>
        <w:tblW w:w="9231" w:type="dxa"/>
        <w:tblInd w:w="91" w:type="dxa"/>
        <w:tblLook w:val="0000"/>
      </w:tblPr>
      <w:tblGrid>
        <w:gridCol w:w="495"/>
        <w:gridCol w:w="1728"/>
        <w:gridCol w:w="7008"/>
      </w:tblGrid>
      <w:tr w:rsidR="00434A34" w:rsidRPr="00D50F7D" w:rsidTr="00FE7A47">
        <w:trPr>
          <w:cantSplit/>
          <w:trHeight w:val="240"/>
          <w:tblHeader/>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434A34" w:rsidRPr="00D87AA9" w:rsidRDefault="00434A34" w:rsidP="00FE7A47">
            <w:pPr>
              <w:spacing w:before="60" w:after="60"/>
              <w:jc w:val="left"/>
              <w:rPr>
                <w:rFonts w:eastAsia="Times New Roman" w:cs="Arial"/>
                <w:b/>
                <w:bCs/>
                <w:lang w:val="en-US" w:eastAsia="en-US"/>
              </w:rPr>
            </w:pPr>
            <w:r w:rsidRPr="00D87AA9">
              <w:rPr>
                <w:rFonts w:eastAsia="Times New Roman" w:cs="Arial"/>
                <w:b/>
                <w:bCs/>
                <w:lang w:val="en-US" w:eastAsia="en-US"/>
              </w:rPr>
              <w:t>ID</w:t>
            </w:r>
          </w:p>
        </w:tc>
        <w:tc>
          <w:tcPr>
            <w:tcW w:w="1728" w:type="dxa"/>
            <w:tcBorders>
              <w:top w:val="single" w:sz="4" w:space="0" w:color="auto"/>
              <w:left w:val="nil"/>
              <w:bottom w:val="single" w:sz="4" w:space="0" w:color="auto"/>
              <w:right w:val="single" w:sz="4" w:space="0" w:color="auto"/>
            </w:tcBorders>
            <w:shd w:val="clear" w:color="auto" w:fill="auto"/>
            <w:vAlign w:val="center"/>
          </w:tcPr>
          <w:p w:rsidR="00434A34" w:rsidRPr="00D87AA9" w:rsidRDefault="00434A34" w:rsidP="00FE7A47">
            <w:pPr>
              <w:spacing w:before="60" w:after="60"/>
              <w:jc w:val="left"/>
              <w:rPr>
                <w:rFonts w:eastAsia="Times New Roman" w:cs="Arial"/>
                <w:b/>
                <w:bCs/>
                <w:lang w:val="en-US" w:eastAsia="en-US"/>
              </w:rPr>
            </w:pPr>
            <w:r w:rsidRPr="00D87AA9">
              <w:rPr>
                <w:rFonts w:eastAsia="Times New Roman" w:cs="Arial"/>
                <w:b/>
                <w:bCs/>
                <w:lang w:val="en-US" w:eastAsia="en-US"/>
              </w:rPr>
              <w:t>Item</w:t>
            </w:r>
          </w:p>
        </w:tc>
        <w:tc>
          <w:tcPr>
            <w:tcW w:w="7008" w:type="dxa"/>
            <w:tcBorders>
              <w:top w:val="single" w:sz="4" w:space="0" w:color="auto"/>
              <w:left w:val="nil"/>
              <w:bottom w:val="single" w:sz="4" w:space="0" w:color="auto"/>
              <w:right w:val="single" w:sz="4" w:space="0" w:color="auto"/>
            </w:tcBorders>
            <w:shd w:val="clear" w:color="auto" w:fill="auto"/>
            <w:vAlign w:val="center"/>
          </w:tcPr>
          <w:p w:rsidR="00434A34" w:rsidRPr="00D87AA9" w:rsidRDefault="00434A34" w:rsidP="00FE7A47">
            <w:pPr>
              <w:spacing w:before="60" w:after="60"/>
              <w:jc w:val="left"/>
              <w:rPr>
                <w:rFonts w:eastAsia="Times New Roman" w:cs="Arial"/>
                <w:b/>
                <w:bCs/>
                <w:lang w:val="en-US" w:eastAsia="en-US"/>
              </w:rPr>
            </w:pPr>
            <w:r w:rsidRPr="00D87AA9">
              <w:rPr>
                <w:rFonts w:eastAsia="Times New Roman" w:cs="Arial"/>
                <w:b/>
                <w:bCs/>
                <w:lang w:val="en-US" w:eastAsia="en-US"/>
              </w:rPr>
              <w:t>Description</w:t>
            </w:r>
          </w:p>
        </w:tc>
      </w:tr>
      <w:tr w:rsidR="00434A34" w:rsidRPr="004B3E83" w:rsidTr="00FE7A47">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434A34" w:rsidRPr="004B3E83" w:rsidRDefault="00434A34" w:rsidP="00FE7A47">
            <w:pPr>
              <w:spacing w:before="60" w:after="60"/>
              <w:jc w:val="left"/>
              <w:rPr>
                <w:rFonts w:eastAsia="Times New Roman" w:cs="Arial"/>
                <w:lang w:val="en-US" w:eastAsia="en-US"/>
              </w:rPr>
            </w:pPr>
            <w:r w:rsidRPr="00B7745D">
              <w:rPr>
                <w:rFonts w:eastAsia="Times New Roman" w:cs="Arial"/>
                <w:lang w:val="en-US" w:eastAsia="en-US"/>
              </w:rPr>
              <w:t>9.9</w:t>
            </w:r>
          </w:p>
        </w:tc>
        <w:tc>
          <w:tcPr>
            <w:tcW w:w="1728" w:type="dxa"/>
            <w:tcBorders>
              <w:top w:val="single" w:sz="4" w:space="0" w:color="auto"/>
              <w:left w:val="nil"/>
              <w:bottom w:val="single" w:sz="4" w:space="0" w:color="auto"/>
              <w:right w:val="single" w:sz="4" w:space="0" w:color="auto"/>
            </w:tcBorders>
            <w:shd w:val="clear" w:color="auto" w:fill="auto"/>
            <w:vAlign w:val="center"/>
          </w:tcPr>
          <w:p w:rsidR="00434A34" w:rsidRDefault="00434A34">
            <w:pPr>
              <w:rPr>
                <w:rFonts w:cs="Arial"/>
              </w:rPr>
            </w:pPr>
            <w:r>
              <w:t>Location of cash flow tags</w:t>
            </w:r>
          </w:p>
        </w:tc>
        <w:tc>
          <w:tcPr>
            <w:tcW w:w="7008" w:type="dxa"/>
            <w:tcBorders>
              <w:top w:val="single" w:sz="4" w:space="0" w:color="auto"/>
              <w:left w:val="nil"/>
              <w:bottom w:val="single" w:sz="4" w:space="0" w:color="auto"/>
              <w:right w:val="single" w:sz="4" w:space="0" w:color="auto"/>
            </w:tcBorders>
            <w:shd w:val="clear" w:color="auto" w:fill="auto"/>
            <w:vAlign w:val="center"/>
          </w:tcPr>
          <w:p w:rsidR="00434A34" w:rsidRDefault="00434A34" w:rsidP="00434A34">
            <w:pPr>
              <w:spacing w:before="60" w:after="60"/>
              <w:rPr>
                <w:rFonts w:cs="Arial"/>
              </w:rPr>
            </w:pPr>
            <w:r>
              <w:t xml:space="preserve">When tagging a cash flow statement, preparers may find they require tags from the </w:t>
            </w:r>
            <w:r>
              <w:rPr>
                <w:i/>
                <w:iCs/>
                <w:color w:val="006411"/>
              </w:rPr>
              <w:t>Notes on cash flow</w:t>
            </w:r>
            <w:r>
              <w:t xml:space="preserve"> section.  In particular, tags for </w:t>
            </w:r>
            <w:r w:rsidRPr="00434A34">
              <w:rPr>
                <w:b/>
                <w:bCs/>
                <w:iCs/>
              </w:rPr>
              <w:t>Adjustments to cash flows from non-cash items, excluding movements in working capital</w:t>
            </w:r>
            <w:r w:rsidRPr="00434A34">
              <w:t xml:space="preserve"> and </w:t>
            </w:r>
            <w:r w:rsidRPr="00434A34">
              <w:rPr>
                <w:b/>
                <w:bCs/>
                <w:iCs/>
              </w:rPr>
              <w:t>Adjustments to cash flow from working capital</w:t>
            </w:r>
            <w:r w:rsidRPr="00434A34">
              <w:t xml:space="preserve"> a</w:t>
            </w:r>
            <w:r>
              <w:t xml:space="preserve">re in the </w:t>
            </w:r>
            <w:r>
              <w:rPr>
                <w:i/>
                <w:iCs/>
                <w:color w:val="006411"/>
              </w:rPr>
              <w:t>Notes on cash flow</w:t>
            </w:r>
            <w:r>
              <w:t xml:space="preserve">, reflecting the 'indirect method' of reporting cash generated from operations.  </w:t>
            </w:r>
          </w:p>
        </w:tc>
      </w:tr>
    </w:tbl>
    <w:p w:rsidR="00434A34" w:rsidRPr="00434A34" w:rsidRDefault="00434A34" w:rsidP="00434A34"/>
    <w:p w:rsidR="00B83151" w:rsidRDefault="004B3E83" w:rsidP="002B5133">
      <w:pPr>
        <w:pStyle w:val="Heading2"/>
      </w:pPr>
      <w:bookmarkStart w:id="41" w:name="_Toc292036844"/>
      <w:r>
        <w:t>IFRS – Notes on income</w:t>
      </w:r>
      <w:bookmarkEnd w:id="41"/>
    </w:p>
    <w:p w:rsidR="00B83151" w:rsidRDefault="00B83151" w:rsidP="00B83151">
      <w:pPr>
        <w:rPr>
          <w:rFonts w:cs="Arial"/>
        </w:rPr>
      </w:pPr>
    </w:p>
    <w:tbl>
      <w:tblPr>
        <w:tblW w:w="9231" w:type="dxa"/>
        <w:tblInd w:w="91" w:type="dxa"/>
        <w:tblLook w:val="0000"/>
      </w:tblPr>
      <w:tblGrid>
        <w:gridCol w:w="606"/>
        <w:gridCol w:w="1721"/>
        <w:gridCol w:w="6904"/>
      </w:tblGrid>
      <w:tr w:rsidR="00B83151" w:rsidRPr="00D50F7D" w:rsidTr="000B2365">
        <w:trPr>
          <w:cantSplit/>
          <w:trHeight w:val="240"/>
          <w:tblHeader/>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ID</w:t>
            </w:r>
          </w:p>
        </w:tc>
        <w:tc>
          <w:tcPr>
            <w:tcW w:w="1728" w:type="dxa"/>
            <w:tcBorders>
              <w:top w:val="single" w:sz="4" w:space="0" w:color="auto"/>
              <w:left w:val="nil"/>
              <w:bottom w:val="single" w:sz="4" w:space="0" w:color="auto"/>
              <w:right w:val="single" w:sz="4" w:space="0" w:color="auto"/>
            </w:tcBorders>
            <w:shd w:val="clear" w:color="auto" w:fill="auto"/>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Item</w:t>
            </w:r>
          </w:p>
        </w:tc>
        <w:tc>
          <w:tcPr>
            <w:tcW w:w="7008" w:type="dxa"/>
            <w:tcBorders>
              <w:top w:val="single" w:sz="4" w:space="0" w:color="auto"/>
              <w:left w:val="nil"/>
              <w:bottom w:val="single" w:sz="4" w:space="0" w:color="auto"/>
              <w:right w:val="single" w:sz="4" w:space="0" w:color="auto"/>
            </w:tcBorders>
            <w:shd w:val="clear" w:color="auto" w:fill="auto"/>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Description</w:t>
            </w:r>
          </w:p>
        </w:tc>
      </w:tr>
      <w:tr w:rsidR="004B3E83" w:rsidRPr="004B3E83" w:rsidTr="004B3E83">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3E83" w:rsidRPr="004B3E83" w:rsidRDefault="004B3E83" w:rsidP="000B2365">
            <w:pPr>
              <w:spacing w:before="60" w:after="60"/>
              <w:jc w:val="left"/>
              <w:rPr>
                <w:rFonts w:eastAsia="Times New Roman" w:cs="Arial"/>
                <w:lang w:val="en-US" w:eastAsia="en-US"/>
              </w:rPr>
            </w:pPr>
            <w:r w:rsidRPr="004B3E83">
              <w:rPr>
                <w:rFonts w:eastAsia="Times New Roman" w:cs="Arial"/>
                <w:lang w:val="en-US" w:eastAsia="en-US"/>
              </w:rPr>
              <w:t>9.</w:t>
            </w:r>
            <w:r w:rsidR="00B7745D">
              <w:rPr>
                <w:rFonts w:eastAsia="Times New Roman" w:cs="Arial"/>
                <w:lang w:val="en-US" w:eastAsia="en-US"/>
              </w:rPr>
              <w:t>10</w:t>
            </w:r>
          </w:p>
        </w:tc>
        <w:tc>
          <w:tcPr>
            <w:tcW w:w="1728" w:type="dxa"/>
            <w:tcBorders>
              <w:top w:val="single" w:sz="4" w:space="0" w:color="auto"/>
              <w:left w:val="nil"/>
              <w:bottom w:val="single" w:sz="4" w:space="0" w:color="auto"/>
              <w:right w:val="single" w:sz="4" w:space="0" w:color="auto"/>
            </w:tcBorders>
            <w:shd w:val="clear" w:color="auto" w:fill="auto"/>
            <w:vAlign w:val="center"/>
          </w:tcPr>
          <w:p w:rsidR="004B3E83" w:rsidRPr="004B3E83" w:rsidRDefault="004B3E83" w:rsidP="000B2365">
            <w:pPr>
              <w:spacing w:before="60" w:after="60"/>
              <w:jc w:val="left"/>
              <w:rPr>
                <w:rFonts w:eastAsia="Times New Roman" w:cs="Arial"/>
                <w:lang w:val="en-US" w:eastAsia="en-US"/>
              </w:rPr>
            </w:pPr>
            <w:r w:rsidRPr="004B3E83">
              <w:rPr>
                <w:rFonts w:eastAsia="Times New Roman" w:cs="Arial"/>
                <w:lang w:val="en-US" w:eastAsia="en-US"/>
              </w:rPr>
              <w:t>Non-financial assets: costs and movements</w:t>
            </w:r>
          </w:p>
        </w:tc>
        <w:tc>
          <w:tcPr>
            <w:tcW w:w="7008" w:type="dxa"/>
            <w:tcBorders>
              <w:top w:val="single" w:sz="4" w:space="0" w:color="auto"/>
              <w:left w:val="nil"/>
              <w:bottom w:val="single" w:sz="4" w:space="0" w:color="auto"/>
              <w:right w:val="single" w:sz="4" w:space="0" w:color="auto"/>
            </w:tcBorders>
            <w:shd w:val="clear" w:color="auto" w:fill="auto"/>
            <w:vAlign w:val="center"/>
          </w:tcPr>
          <w:p w:rsidR="0043483A" w:rsidRDefault="004B3E83" w:rsidP="000B2365">
            <w:pPr>
              <w:spacing w:before="60" w:after="60"/>
              <w:jc w:val="left"/>
              <w:rPr>
                <w:rFonts w:eastAsia="Times New Roman" w:cs="Arial"/>
                <w:lang w:val="en-US" w:eastAsia="en-US"/>
              </w:rPr>
            </w:pPr>
            <w:r w:rsidRPr="004B3E83">
              <w:rPr>
                <w:rFonts w:eastAsia="Times New Roman" w:cs="Arial"/>
                <w:lang w:val="en-US" w:eastAsia="en-US"/>
              </w:rPr>
              <w:t xml:space="preserve">Income and expenditure related to non-financial assets are covered by tags in the notes on income - principally in the </w:t>
            </w:r>
            <w:r w:rsidRPr="004B3E83">
              <w:rPr>
                <w:rFonts w:eastAsia="Times New Roman" w:cs="Arial"/>
                <w:i/>
                <w:iCs/>
                <w:color w:val="006411"/>
                <w:lang w:val="en-US" w:eastAsia="en-US"/>
              </w:rPr>
              <w:t>Other net gains and losses before tax</w:t>
            </w:r>
            <w:r w:rsidRPr="004B3E83">
              <w:rPr>
                <w:rFonts w:eastAsia="Times New Roman" w:cs="Arial"/>
                <w:lang w:val="en-US" w:eastAsia="en-US"/>
              </w:rPr>
              <w:t xml:space="preserve"> and </w:t>
            </w:r>
            <w:r w:rsidRPr="004B3E83">
              <w:rPr>
                <w:rFonts w:eastAsia="Times New Roman" w:cs="Arial"/>
                <w:i/>
                <w:iCs/>
                <w:color w:val="006411"/>
                <w:lang w:val="en-US" w:eastAsia="en-US"/>
              </w:rPr>
              <w:t>Operating expenses</w:t>
            </w:r>
            <w:r w:rsidRPr="004B3E83">
              <w:rPr>
                <w:rFonts w:eastAsia="Times New Roman" w:cs="Arial"/>
                <w:lang w:val="en-US" w:eastAsia="en-US"/>
              </w:rPr>
              <w:t xml:space="preserve"> sections.  </w:t>
            </w:r>
          </w:p>
          <w:p w:rsidR="004B3E83" w:rsidRPr="004B3E83" w:rsidRDefault="004B3E83" w:rsidP="000B2365">
            <w:pPr>
              <w:spacing w:before="60" w:after="60"/>
              <w:jc w:val="left"/>
              <w:rPr>
                <w:rFonts w:eastAsia="Times New Roman" w:cs="Arial"/>
                <w:lang w:val="en-US" w:eastAsia="en-US"/>
              </w:rPr>
            </w:pPr>
            <w:r w:rsidRPr="004B3E83">
              <w:rPr>
                <w:rFonts w:eastAsia="Times New Roman" w:cs="Arial"/>
                <w:lang w:val="en-US" w:eastAsia="en-US"/>
              </w:rPr>
              <w:t xml:space="preserve">The tags for movements in assets related to depreciation and impairment in the </w:t>
            </w:r>
            <w:r w:rsidRPr="004B3E83">
              <w:rPr>
                <w:rFonts w:eastAsia="Times New Roman" w:cs="Arial"/>
                <w:i/>
                <w:iCs/>
                <w:color w:val="006411"/>
                <w:lang w:val="en-US" w:eastAsia="en-US"/>
              </w:rPr>
              <w:t>Notes on assets and liabilities</w:t>
            </w:r>
            <w:r w:rsidRPr="004B3E83">
              <w:rPr>
                <w:rFonts w:eastAsia="Times New Roman" w:cs="Arial"/>
                <w:lang w:val="en-US" w:eastAsia="en-US"/>
              </w:rPr>
              <w:t xml:space="preserve"> section are the </w:t>
            </w:r>
            <w:r w:rsidRPr="004B3E83">
              <w:rPr>
                <w:rFonts w:eastAsia="Times New Roman" w:cs="Arial"/>
                <w:b/>
                <w:bCs/>
                <w:lang w:val="en-US" w:eastAsia="en-US"/>
              </w:rPr>
              <w:t>counter-entries</w:t>
            </w:r>
            <w:r w:rsidRPr="004B3E83">
              <w:rPr>
                <w:rFonts w:eastAsia="Times New Roman" w:cs="Arial"/>
                <w:lang w:val="en-US" w:eastAsia="en-US"/>
              </w:rPr>
              <w:t xml:space="preserve"> for the income items and have opposite balance attributes.  They must </w:t>
            </w:r>
            <w:r w:rsidRPr="004B3E83">
              <w:rPr>
                <w:rFonts w:eastAsia="Times New Roman" w:cs="Arial"/>
                <w:b/>
                <w:bCs/>
                <w:lang w:val="en-US" w:eastAsia="en-US"/>
              </w:rPr>
              <w:t>not</w:t>
            </w:r>
            <w:r w:rsidRPr="004B3E83">
              <w:rPr>
                <w:rFonts w:eastAsia="Times New Roman" w:cs="Arial"/>
                <w:lang w:val="en-US" w:eastAsia="en-US"/>
              </w:rPr>
              <w:t xml:space="preserve"> be used to tag income items.  </w:t>
            </w:r>
          </w:p>
        </w:tc>
      </w:tr>
      <w:tr w:rsidR="004B3E83" w:rsidRPr="004B3E83" w:rsidTr="004B3E83">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3E83" w:rsidRPr="004B3E83" w:rsidRDefault="004B3E83" w:rsidP="000B2365">
            <w:pPr>
              <w:spacing w:before="60" w:after="60"/>
              <w:jc w:val="left"/>
              <w:rPr>
                <w:rFonts w:eastAsia="Times New Roman" w:cs="Arial"/>
                <w:lang w:val="en-US" w:eastAsia="en-US"/>
              </w:rPr>
            </w:pPr>
            <w:r w:rsidRPr="004B3E83">
              <w:rPr>
                <w:rFonts w:eastAsia="Times New Roman" w:cs="Arial"/>
                <w:lang w:val="en-US" w:eastAsia="en-US"/>
              </w:rPr>
              <w:t>9.1</w:t>
            </w:r>
            <w:r w:rsidR="00B7745D">
              <w:rPr>
                <w:rFonts w:eastAsia="Times New Roman" w:cs="Arial"/>
                <w:lang w:val="en-US" w:eastAsia="en-US"/>
              </w:rPr>
              <w:t>1</w:t>
            </w:r>
          </w:p>
        </w:tc>
        <w:tc>
          <w:tcPr>
            <w:tcW w:w="1728" w:type="dxa"/>
            <w:tcBorders>
              <w:top w:val="single" w:sz="4" w:space="0" w:color="auto"/>
              <w:left w:val="nil"/>
              <w:bottom w:val="single" w:sz="4" w:space="0" w:color="auto"/>
              <w:right w:val="single" w:sz="4" w:space="0" w:color="auto"/>
            </w:tcBorders>
            <w:shd w:val="clear" w:color="auto" w:fill="auto"/>
            <w:vAlign w:val="center"/>
          </w:tcPr>
          <w:p w:rsidR="004B3E83" w:rsidRPr="004B3E83" w:rsidRDefault="004B3E83" w:rsidP="000B2365">
            <w:pPr>
              <w:spacing w:before="60" w:after="60"/>
              <w:jc w:val="left"/>
              <w:rPr>
                <w:rFonts w:eastAsia="Times New Roman" w:cs="Arial"/>
                <w:lang w:val="en-US" w:eastAsia="en-US"/>
              </w:rPr>
            </w:pPr>
            <w:r w:rsidRPr="004B3E83">
              <w:rPr>
                <w:rFonts w:eastAsia="Times New Roman" w:cs="Arial"/>
                <w:lang w:val="en-US" w:eastAsia="en-US"/>
              </w:rPr>
              <w:t>Impairment losses and reversals</w:t>
            </w:r>
          </w:p>
        </w:tc>
        <w:tc>
          <w:tcPr>
            <w:tcW w:w="7008" w:type="dxa"/>
            <w:tcBorders>
              <w:top w:val="single" w:sz="4" w:space="0" w:color="auto"/>
              <w:left w:val="nil"/>
              <w:bottom w:val="single" w:sz="4" w:space="0" w:color="auto"/>
              <w:right w:val="single" w:sz="4" w:space="0" w:color="auto"/>
            </w:tcBorders>
            <w:shd w:val="clear" w:color="auto" w:fill="auto"/>
            <w:vAlign w:val="center"/>
          </w:tcPr>
          <w:p w:rsidR="004B3E83" w:rsidRPr="004B3E83" w:rsidRDefault="004B3E83" w:rsidP="000B2365">
            <w:pPr>
              <w:spacing w:before="60" w:after="60"/>
              <w:jc w:val="left"/>
              <w:rPr>
                <w:rFonts w:eastAsia="Times New Roman" w:cs="Arial"/>
                <w:lang w:val="en-US" w:eastAsia="en-US"/>
              </w:rPr>
            </w:pPr>
            <w:r w:rsidRPr="004B3E83">
              <w:rPr>
                <w:rFonts w:eastAsia="Times New Roman" w:cs="Arial"/>
                <w:lang w:val="en-US" w:eastAsia="en-US"/>
              </w:rPr>
              <w:t xml:space="preserve">In tagging impairment gains and losses, preparers should note the comments on gross and net in the general section of this note.  They should take care in identifying the meaning of data in accounts and in the correct use of tags.  'Impairment loss (reversal)...' is a tag for a net value, while 'Impairment loss...' and 'Impairment reversal...' will typically be tags for gross values.  </w:t>
            </w:r>
          </w:p>
        </w:tc>
      </w:tr>
      <w:tr w:rsidR="004B3E83" w:rsidRPr="004B3E83" w:rsidTr="004B3E83">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3E83" w:rsidRPr="00D86195" w:rsidRDefault="00B7745D" w:rsidP="000B2365">
            <w:pPr>
              <w:spacing w:before="60" w:after="60"/>
              <w:jc w:val="left"/>
              <w:rPr>
                <w:rFonts w:eastAsia="Times New Roman" w:cs="Arial"/>
                <w:highlight w:val="yellow"/>
                <w:lang w:val="en-US" w:eastAsia="en-US"/>
              </w:rPr>
            </w:pPr>
            <w:r>
              <w:rPr>
                <w:rFonts w:eastAsia="Times New Roman" w:cs="Arial"/>
                <w:highlight w:val="yellow"/>
                <w:lang w:val="en-US" w:eastAsia="en-US"/>
              </w:rPr>
              <w:t>9.12</w:t>
            </w:r>
          </w:p>
        </w:tc>
        <w:tc>
          <w:tcPr>
            <w:tcW w:w="1728" w:type="dxa"/>
            <w:tcBorders>
              <w:top w:val="single" w:sz="4" w:space="0" w:color="auto"/>
              <w:left w:val="nil"/>
              <w:bottom w:val="single" w:sz="4" w:space="0" w:color="auto"/>
              <w:right w:val="single" w:sz="4" w:space="0" w:color="auto"/>
            </w:tcBorders>
            <w:shd w:val="clear" w:color="auto" w:fill="auto"/>
            <w:vAlign w:val="center"/>
          </w:tcPr>
          <w:p w:rsidR="004B3E83" w:rsidRPr="00D86195" w:rsidRDefault="004B3E83" w:rsidP="000B2365">
            <w:pPr>
              <w:spacing w:before="60" w:after="60"/>
              <w:jc w:val="left"/>
              <w:rPr>
                <w:rFonts w:eastAsia="Times New Roman" w:cs="Arial"/>
                <w:highlight w:val="yellow"/>
                <w:lang w:val="en-US" w:eastAsia="en-US"/>
              </w:rPr>
            </w:pPr>
            <w:r w:rsidRPr="00D86195">
              <w:rPr>
                <w:rFonts w:eastAsia="Times New Roman" w:cs="Arial"/>
                <w:highlight w:val="yellow"/>
                <w:lang w:val="en-US" w:eastAsia="en-US"/>
              </w:rPr>
              <w:t>Finance costs - interest paid to related parties</w:t>
            </w:r>
          </w:p>
        </w:tc>
        <w:tc>
          <w:tcPr>
            <w:tcW w:w="7008" w:type="dxa"/>
            <w:tcBorders>
              <w:top w:val="single" w:sz="4" w:space="0" w:color="auto"/>
              <w:left w:val="nil"/>
              <w:bottom w:val="single" w:sz="4" w:space="0" w:color="auto"/>
              <w:right w:val="single" w:sz="4" w:space="0" w:color="auto"/>
            </w:tcBorders>
            <w:shd w:val="clear" w:color="auto" w:fill="auto"/>
            <w:vAlign w:val="center"/>
          </w:tcPr>
          <w:p w:rsidR="004B3E83" w:rsidRPr="004B3E83" w:rsidRDefault="004B3E83" w:rsidP="000B2365">
            <w:pPr>
              <w:spacing w:before="60" w:after="60"/>
              <w:jc w:val="left"/>
              <w:rPr>
                <w:rFonts w:eastAsia="Times New Roman" w:cs="Arial"/>
                <w:lang w:val="en-US" w:eastAsia="en-US"/>
              </w:rPr>
            </w:pPr>
            <w:r w:rsidRPr="004B3E83">
              <w:rPr>
                <w:rFonts w:eastAsia="Times New Roman" w:cs="Arial"/>
                <w:lang w:val="en-US" w:eastAsia="en-US"/>
              </w:rPr>
              <w:t>The tag '</w:t>
            </w:r>
            <w:r w:rsidRPr="004B3E83">
              <w:rPr>
                <w:rFonts w:eastAsia="Times New Roman" w:cs="Arial"/>
                <w:i/>
                <w:iCs/>
                <w:color w:val="DD0806"/>
                <w:lang w:val="en-US" w:eastAsia="en-US"/>
              </w:rPr>
              <w:t>Interest paid to related parties</w:t>
            </w:r>
            <w:r w:rsidRPr="004B3E83">
              <w:rPr>
                <w:rFonts w:eastAsia="Times New Roman" w:cs="Arial"/>
                <w:lang w:val="en-US" w:eastAsia="en-US"/>
              </w:rPr>
              <w:t xml:space="preserve">' is not listed in the </w:t>
            </w:r>
            <w:r w:rsidRPr="004B3E83">
              <w:rPr>
                <w:rFonts w:eastAsia="Times New Roman" w:cs="Arial"/>
                <w:i/>
                <w:iCs/>
                <w:color w:val="006411"/>
                <w:lang w:val="en-US" w:eastAsia="en-US"/>
              </w:rPr>
              <w:t>Finance costs</w:t>
            </w:r>
            <w:r w:rsidRPr="004B3E83">
              <w:rPr>
                <w:rFonts w:eastAsia="Times New Roman" w:cs="Arial"/>
                <w:lang w:val="en-US" w:eastAsia="en-US"/>
              </w:rPr>
              <w:t xml:space="preserve"> section, but can be found in the </w:t>
            </w:r>
            <w:r w:rsidRPr="004B3E83">
              <w:rPr>
                <w:rFonts w:eastAsia="Times New Roman" w:cs="Arial"/>
                <w:i/>
                <w:iCs/>
                <w:color w:val="006411"/>
                <w:lang w:val="en-US" w:eastAsia="en-US"/>
              </w:rPr>
              <w:t>Related parties</w:t>
            </w:r>
            <w:r w:rsidRPr="004B3E83">
              <w:rPr>
                <w:rFonts w:eastAsia="Times New Roman" w:cs="Arial"/>
                <w:lang w:val="en-US" w:eastAsia="en-US"/>
              </w:rPr>
              <w:t xml:space="preserve"> section.</w:t>
            </w:r>
          </w:p>
        </w:tc>
      </w:tr>
      <w:tr w:rsidR="004B3E83" w:rsidRPr="004B3E83" w:rsidTr="004B3E83">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3E83" w:rsidRPr="004B3E83" w:rsidRDefault="00B7745D" w:rsidP="000B2365">
            <w:pPr>
              <w:spacing w:before="60" w:after="60"/>
              <w:jc w:val="left"/>
              <w:rPr>
                <w:rFonts w:eastAsia="Times New Roman" w:cs="Arial"/>
                <w:lang w:val="en-US" w:eastAsia="en-US"/>
              </w:rPr>
            </w:pPr>
            <w:r>
              <w:rPr>
                <w:rFonts w:eastAsia="Times New Roman" w:cs="Arial"/>
                <w:lang w:val="en-US" w:eastAsia="en-US"/>
              </w:rPr>
              <w:lastRenderedPageBreak/>
              <w:t>9.13</w:t>
            </w:r>
          </w:p>
        </w:tc>
        <w:tc>
          <w:tcPr>
            <w:tcW w:w="1728" w:type="dxa"/>
            <w:tcBorders>
              <w:top w:val="single" w:sz="4" w:space="0" w:color="auto"/>
              <w:left w:val="nil"/>
              <w:bottom w:val="single" w:sz="4" w:space="0" w:color="auto"/>
              <w:right w:val="single" w:sz="4" w:space="0" w:color="auto"/>
            </w:tcBorders>
            <w:shd w:val="clear" w:color="auto" w:fill="auto"/>
            <w:vAlign w:val="center"/>
          </w:tcPr>
          <w:p w:rsidR="004B3E83" w:rsidRPr="004B3E83" w:rsidRDefault="004B3E83" w:rsidP="000B2365">
            <w:pPr>
              <w:spacing w:before="60" w:after="60"/>
              <w:jc w:val="left"/>
              <w:rPr>
                <w:rFonts w:eastAsia="Times New Roman" w:cs="Arial"/>
                <w:lang w:val="en-US" w:eastAsia="en-US"/>
              </w:rPr>
            </w:pPr>
            <w:r w:rsidRPr="004B3E83">
              <w:rPr>
                <w:rFonts w:eastAsia="Times New Roman" w:cs="Arial"/>
                <w:lang w:val="en-US" w:eastAsia="en-US"/>
              </w:rPr>
              <w:t>Gains (losses) on other non-operating activities</w:t>
            </w:r>
          </w:p>
        </w:tc>
        <w:tc>
          <w:tcPr>
            <w:tcW w:w="7008" w:type="dxa"/>
            <w:tcBorders>
              <w:top w:val="single" w:sz="4" w:space="0" w:color="auto"/>
              <w:left w:val="nil"/>
              <w:bottom w:val="single" w:sz="4" w:space="0" w:color="auto"/>
              <w:right w:val="single" w:sz="4" w:space="0" w:color="auto"/>
            </w:tcBorders>
            <w:shd w:val="clear" w:color="auto" w:fill="auto"/>
            <w:vAlign w:val="center"/>
          </w:tcPr>
          <w:p w:rsidR="004B3E83" w:rsidRPr="004B3E83" w:rsidRDefault="004B3E83" w:rsidP="000B2365">
            <w:pPr>
              <w:spacing w:before="60" w:after="60"/>
              <w:jc w:val="left"/>
              <w:rPr>
                <w:rFonts w:eastAsia="Times New Roman" w:cs="Arial"/>
                <w:lang w:val="en-US" w:eastAsia="en-US"/>
              </w:rPr>
            </w:pPr>
            <w:r w:rsidRPr="004B3E83">
              <w:rPr>
                <w:rFonts w:eastAsia="Times New Roman" w:cs="Arial"/>
                <w:lang w:val="en-US" w:eastAsia="en-US"/>
              </w:rPr>
              <w:t>The tag '</w:t>
            </w:r>
            <w:r w:rsidRPr="004B3E83">
              <w:rPr>
                <w:rFonts w:eastAsia="Times New Roman" w:cs="Arial"/>
                <w:i/>
                <w:iCs/>
                <w:color w:val="DD0806"/>
                <w:lang w:val="en-US" w:eastAsia="en-US"/>
              </w:rPr>
              <w:t>Gains (losses) on other non-operating activities</w:t>
            </w:r>
            <w:r w:rsidRPr="004B3E83">
              <w:rPr>
                <w:rFonts w:eastAsia="Times New Roman" w:cs="Arial"/>
                <w:lang w:val="en-US" w:eastAsia="en-US"/>
              </w:rPr>
              <w:t xml:space="preserve">' in the </w:t>
            </w:r>
            <w:r w:rsidRPr="004B3E83">
              <w:rPr>
                <w:rFonts w:eastAsia="Times New Roman" w:cs="Arial"/>
                <w:i/>
                <w:iCs/>
                <w:color w:val="006411"/>
                <w:lang w:val="en-US" w:eastAsia="en-US"/>
              </w:rPr>
              <w:t xml:space="preserve">Financial instruments net gains  and losses </w:t>
            </w:r>
            <w:r w:rsidRPr="004B3E83">
              <w:rPr>
                <w:rFonts w:eastAsia="Times New Roman" w:cs="Arial"/>
                <w:lang w:val="en-US" w:eastAsia="en-US"/>
              </w:rPr>
              <w:t xml:space="preserve">section may be used for gains/losses on any non-operating activities, whether or not they relate directly to financial instruments.  </w:t>
            </w:r>
          </w:p>
        </w:tc>
      </w:tr>
      <w:tr w:rsidR="004B3E83" w:rsidRPr="004B3E83" w:rsidTr="004B3E83">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3E83" w:rsidRPr="004B3E83" w:rsidRDefault="004B3E83" w:rsidP="000B2365">
            <w:pPr>
              <w:spacing w:before="60" w:after="60"/>
              <w:jc w:val="left"/>
              <w:rPr>
                <w:rFonts w:eastAsia="Times New Roman" w:cs="Arial"/>
                <w:lang w:val="en-US" w:eastAsia="en-US"/>
              </w:rPr>
            </w:pPr>
            <w:r w:rsidRPr="004B3E83">
              <w:rPr>
                <w:rFonts w:eastAsia="Times New Roman" w:cs="Arial"/>
                <w:lang w:val="en-US" w:eastAsia="en-US"/>
              </w:rPr>
              <w:t>9.1</w:t>
            </w:r>
            <w:r w:rsidR="00B7745D">
              <w:rPr>
                <w:rFonts w:eastAsia="Times New Roman" w:cs="Arial"/>
                <w:lang w:val="en-US" w:eastAsia="en-US"/>
              </w:rPr>
              <w:t>4</w:t>
            </w:r>
          </w:p>
        </w:tc>
        <w:tc>
          <w:tcPr>
            <w:tcW w:w="1728" w:type="dxa"/>
            <w:tcBorders>
              <w:top w:val="single" w:sz="4" w:space="0" w:color="auto"/>
              <w:left w:val="nil"/>
              <w:bottom w:val="single" w:sz="4" w:space="0" w:color="auto"/>
              <w:right w:val="single" w:sz="4" w:space="0" w:color="auto"/>
            </w:tcBorders>
            <w:shd w:val="clear" w:color="auto" w:fill="auto"/>
            <w:vAlign w:val="center"/>
          </w:tcPr>
          <w:p w:rsidR="004B3E83" w:rsidRPr="004B3E83" w:rsidRDefault="004B3E83" w:rsidP="000B2365">
            <w:pPr>
              <w:spacing w:before="60" w:after="60"/>
              <w:jc w:val="left"/>
              <w:rPr>
                <w:rFonts w:eastAsia="Times New Roman" w:cs="Arial"/>
                <w:lang w:val="en-US" w:eastAsia="en-US"/>
              </w:rPr>
            </w:pPr>
            <w:r w:rsidRPr="004B3E83">
              <w:rPr>
                <w:rFonts w:eastAsia="Times New Roman" w:cs="Arial"/>
                <w:lang w:val="en-US" w:eastAsia="en-US"/>
              </w:rPr>
              <w:t>Adjustments to tax reflecting prior periods</w:t>
            </w:r>
          </w:p>
        </w:tc>
        <w:tc>
          <w:tcPr>
            <w:tcW w:w="7008" w:type="dxa"/>
            <w:tcBorders>
              <w:top w:val="single" w:sz="4" w:space="0" w:color="auto"/>
              <w:left w:val="nil"/>
              <w:bottom w:val="single" w:sz="4" w:space="0" w:color="auto"/>
              <w:right w:val="single" w:sz="4" w:space="0" w:color="auto"/>
            </w:tcBorders>
            <w:shd w:val="clear" w:color="auto" w:fill="auto"/>
            <w:vAlign w:val="center"/>
          </w:tcPr>
          <w:p w:rsidR="004B3E83" w:rsidRPr="004B3E83" w:rsidRDefault="004B3E83" w:rsidP="000B2365">
            <w:pPr>
              <w:spacing w:before="60" w:after="60"/>
              <w:jc w:val="left"/>
              <w:rPr>
                <w:rFonts w:eastAsia="Times New Roman" w:cs="Arial"/>
                <w:lang w:val="en-US" w:eastAsia="en-US"/>
              </w:rPr>
            </w:pPr>
            <w:r w:rsidRPr="004B3E83">
              <w:rPr>
                <w:rFonts w:eastAsia="Times New Roman" w:cs="Arial"/>
                <w:lang w:val="en-US" w:eastAsia="en-US"/>
              </w:rPr>
              <w:t xml:space="preserve">As stated in the general section of this note, adjustments to tax related to prior periods are handled by the specific line item tags shown in the tax sections - not the prior period adjustment tags in the </w:t>
            </w:r>
            <w:r w:rsidRPr="008F256A">
              <w:rPr>
                <w:rFonts w:eastAsia="Times New Roman" w:cs="Arial"/>
                <w:i/>
                <w:lang w:val="en-US" w:eastAsia="en-US"/>
              </w:rPr>
              <w:t>Restatements</w:t>
            </w:r>
            <w:r w:rsidRPr="004B3E83">
              <w:rPr>
                <w:rFonts w:eastAsia="Times New Roman" w:cs="Arial"/>
                <w:lang w:val="en-US" w:eastAsia="en-US"/>
              </w:rPr>
              <w:t xml:space="preserve"> dimension.  This is because such adjustments do not involve restatements as such.  They reflect adjustments made in the current period and should take current period contexts.  </w:t>
            </w:r>
          </w:p>
        </w:tc>
      </w:tr>
      <w:tr w:rsidR="004B3E83" w:rsidRPr="004B3E83" w:rsidTr="004B3E83">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3E83" w:rsidRPr="004B3E83" w:rsidRDefault="004B3E83" w:rsidP="000B2365">
            <w:pPr>
              <w:spacing w:before="60" w:after="60"/>
              <w:jc w:val="left"/>
              <w:rPr>
                <w:rFonts w:eastAsia="Times New Roman" w:cs="Arial"/>
                <w:lang w:val="en-US" w:eastAsia="en-US"/>
              </w:rPr>
            </w:pPr>
            <w:r w:rsidRPr="004B3E83">
              <w:rPr>
                <w:rFonts w:eastAsia="Times New Roman" w:cs="Arial"/>
                <w:lang w:val="en-US" w:eastAsia="en-US"/>
              </w:rPr>
              <w:t>9.1</w:t>
            </w:r>
            <w:r w:rsidR="00B7745D">
              <w:rPr>
                <w:rFonts w:eastAsia="Times New Roman" w:cs="Arial"/>
                <w:lang w:val="en-US" w:eastAsia="en-US"/>
              </w:rPr>
              <w:t>5</w:t>
            </w:r>
          </w:p>
        </w:tc>
        <w:tc>
          <w:tcPr>
            <w:tcW w:w="1728" w:type="dxa"/>
            <w:tcBorders>
              <w:top w:val="single" w:sz="4" w:space="0" w:color="auto"/>
              <w:left w:val="nil"/>
              <w:bottom w:val="single" w:sz="4" w:space="0" w:color="auto"/>
              <w:right w:val="single" w:sz="4" w:space="0" w:color="auto"/>
            </w:tcBorders>
            <w:shd w:val="clear" w:color="auto" w:fill="auto"/>
            <w:vAlign w:val="center"/>
          </w:tcPr>
          <w:p w:rsidR="004B3E83" w:rsidRPr="004B3E83" w:rsidRDefault="004B3E83" w:rsidP="000B2365">
            <w:pPr>
              <w:spacing w:before="60" w:after="60"/>
              <w:jc w:val="left"/>
              <w:rPr>
                <w:rFonts w:eastAsia="Times New Roman" w:cs="Arial"/>
                <w:lang w:val="en-US" w:eastAsia="en-US"/>
              </w:rPr>
            </w:pPr>
            <w:r w:rsidRPr="004B3E83">
              <w:rPr>
                <w:rFonts w:eastAsia="Times New Roman" w:cs="Arial"/>
                <w:lang w:val="en-US" w:eastAsia="en-US"/>
              </w:rPr>
              <w:t>Tax reconciliation</w:t>
            </w:r>
          </w:p>
        </w:tc>
        <w:tc>
          <w:tcPr>
            <w:tcW w:w="7008" w:type="dxa"/>
            <w:tcBorders>
              <w:top w:val="single" w:sz="4" w:space="0" w:color="auto"/>
              <w:left w:val="nil"/>
              <w:bottom w:val="single" w:sz="4" w:space="0" w:color="auto"/>
              <w:right w:val="single" w:sz="4" w:space="0" w:color="auto"/>
            </w:tcBorders>
            <w:shd w:val="clear" w:color="auto" w:fill="auto"/>
            <w:vAlign w:val="center"/>
          </w:tcPr>
          <w:p w:rsidR="004B3E83" w:rsidRPr="004B3E83" w:rsidRDefault="004B3E83" w:rsidP="000B2365">
            <w:pPr>
              <w:spacing w:before="60" w:after="60"/>
              <w:jc w:val="left"/>
              <w:rPr>
                <w:rFonts w:eastAsia="Times New Roman" w:cs="Arial"/>
                <w:lang w:val="en-US" w:eastAsia="en-US"/>
              </w:rPr>
            </w:pPr>
            <w:r w:rsidRPr="004B3E83">
              <w:rPr>
                <w:rFonts w:eastAsia="Times New Roman" w:cs="Arial"/>
                <w:lang w:val="en-US" w:eastAsia="en-US"/>
              </w:rPr>
              <w:t>Care should be taken on the choice of tags used in reconciliations of tax paid to tax on profit at the applicable rate.  In general, these should be selected from the reconciliation section of the taxonomy.  Tags which appear elsewhere may not be appropriate, since they may not represent reconciling values.  For example, '</w:t>
            </w:r>
            <w:r w:rsidRPr="004B3E83">
              <w:rPr>
                <w:rFonts w:eastAsia="Times New Roman" w:cs="Arial"/>
                <w:i/>
                <w:iCs/>
                <w:color w:val="DD0806"/>
                <w:lang w:val="en-US" w:eastAsia="en-US"/>
              </w:rPr>
              <w:t>Group tax relief received (paid)</w:t>
            </w:r>
            <w:r w:rsidRPr="004B3E83">
              <w:rPr>
                <w:rFonts w:eastAsia="Times New Roman" w:cs="Arial"/>
                <w:lang w:val="en-US" w:eastAsia="en-US"/>
              </w:rPr>
              <w:t xml:space="preserve">' under the calculation of total current tax will </w:t>
            </w:r>
            <w:r w:rsidRPr="004B3E83">
              <w:rPr>
                <w:rFonts w:eastAsia="Times New Roman" w:cs="Arial"/>
                <w:b/>
                <w:bCs/>
                <w:lang w:val="en-US" w:eastAsia="en-US"/>
              </w:rPr>
              <w:t>not</w:t>
            </w:r>
            <w:r w:rsidRPr="004B3E83">
              <w:rPr>
                <w:rFonts w:eastAsia="Times New Roman" w:cs="Arial"/>
                <w:lang w:val="en-US" w:eastAsia="en-US"/>
              </w:rPr>
              <w:t xml:space="preserve"> necessarily match any reconciling value for group relief under the reconciliation.  There is no tag for the latter amount.  </w:t>
            </w:r>
          </w:p>
        </w:tc>
      </w:tr>
    </w:tbl>
    <w:p w:rsidR="00B83151" w:rsidRDefault="00B83151" w:rsidP="00B83151">
      <w:pPr>
        <w:rPr>
          <w:rFonts w:cs="Arial"/>
        </w:rPr>
      </w:pPr>
    </w:p>
    <w:p w:rsidR="00B83151" w:rsidRDefault="00B83151" w:rsidP="00B83151">
      <w:pPr>
        <w:rPr>
          <w:rFonts w:cs="Arial"/>
        </w:rPr>
      </w:pPr>
    </w:p>
    <w:p w:rsidR="00B83151" w:rsidRPr="004B3E83" w:rsidRDefault="004B3E83" w:rsidP="002B5133">
      <w:pPr>
        <w:pStyle w:val="Heading2"/>
      </w:pPr>
      <w:bookmarkStart w:id="42" w:name="_Toc292036845"/>
      <w:r w:rsidRPr="004B3E83">
        <w:t xml:space="preserve">IFRS </w:t>
      </w:r>
      <w:r>
        <w:t>–</w:t>
      </w:r>
      <w:r w:rsidRPr="004B3E83">
        <w:t xml:space="preserve"> </w:t>
      </w:r>
      <w:r>
        <w:t>Notes</w:t>
      </w:r>
      <w:r w:rsidRPr="004B3E83">
        <w:t xml:space="preserve"> on assets and liabilities</w:t>
      </w:r>
      <w:bookmarkEnd w:id="42"/>
    </w:p>
    <w:p w:rsidR="00B83151" w:rsidRDefault="00B83151" w:rsidP="00B83151">
      <w:pPr>
        <w:rPr>
          <w:rFonts w:cs="Arial"/>
        </w:rPr>
      </w:pPr>
    </w:p>
    <w:tbl>
      <w:tblPr>
        <w:tblW w:w="9231" w:type="dxa"/>
        <w:tblInd w:w="91" w:type="dxa"/>
        <w:tblLook w:val="0000"/>
      </w:tblPr>
      <w:tblGrid>
        <w:gridCol w:w="606"/>
        <w:gridCol w:w="1722"/>
        <w:gridCol w:w="6903"/>
      </w:tblGrid>
      <w:tr w:rsidR="00B83151" w:rsidRPr="00D50F7D" w:rsidTr="00B7745D">
        <w:trPr>
          <w:cantSplit/>
          <w:trHeight w:val="240"/>
          <w:tblHeader/>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ID</w:t>
            </w:r>
          </w:p>
        </w:tc>
        <w:tc>
          <w:tcPr>
            <w:tcW w:w="1722" w:type="dxa"/>
            <w:tcBorders>
              <w:top w:val="single" w:sz="4" w:space="0" w:color="auto"/>
              <w:left w:val="nil"/>
              <w:bottom w:val="single" w:sz="4" w:space="0" w:color="auto"/>
              <w:right w:val="single" w:sz="4" w:space="0" w:color="auto"/>
            </w:tcBorders>
            <w:shd w:val="clear" w:color="auto" w:fill="auto"/>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Item</w:t>
            </w:r>
          </w:p>
        </w:tc>
        <w:tc>
          <w:tcPr>
            <w:tcW w:w="6903" w:type="dxa"/>
            <w:tcBorders>
              <w:top w:val="single" w:sz="4" w:space="0" w:color="auto"/>
              <w:left w:val="nil"/>
              <w:bottom w:val="single" w:sz="4" w:space="0" w:color="auto"/>
              <w:right w:val="single" w:sz="4" w:space="0" w:color="auto"/>
            </w:tcBorders>
            <w:shd w:val="clear" w:color="auto" w:fill="auto"/>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Description</w:t>
            </w:r>
          </w:p>
        </w:tc>
      </w:tr>
      <w:tr w:rsidR="004B3E83" w:rsidRPr="004B3E83" w:rsidTr="00B7745D">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3E83" w:rsidRPr="004B3E83" w:rsidRDefault="004B3E83" w:rsidP="000B2365">
            <w:pPr>
              <w:spacing w:before="60" w:after="60"/>
              <w:jc w:val="left"/>
              <w:rPr>
                <w:rFonts w:eastAsia="Times New Roman" w:cs="Arial"/>
                <w:lang w:val="en-US" w:eastAsia="en-US"/>
              </w:rPr>
            </w:pPr>
            <w:r w:rsidRPr="004B3E83">
              <w:rPr>
                <w:rFonts w:eastAsia="Times New Roman" w:cs="Arial"/>
                <w:lang w:val="en-US" w:eastAsia="en-US"/>
              </w:rPr>
              <w:t>9.1</w:t>
            </w:r>
            <w:r w:rsidR="00B7745D">
              <w:rPr>
                <w:rFonts w:eastAsia="Times New Roman" w:cs="Arial"/>
                <w:lang w:val="en-US" w:eastAsia="en-US"/>
              </w:rPr>
              <w:t>6</w:t>
            </w:r>
          </w:p>
        </w:tc>
        <w:tc>
          <w:tcPr>
            <w:tcW w:w="1722" w:type="dxa"/>
            <w:tcBorders>
              <w:top w:val="single" w:sz="4" w:space="0" w:color="auto"/>
              <w:left w:val="nil"/>
              <w:bottom w:val="single" w:sz="4" w:space="0" w:color="auto"/>
              <w:right w:val="single" w:sz="4" w:space="0" w:color="auto"/>
            </w:tcBorders>
            <w:shd w:val="clear" w:color="auto" w:fill="auto"/>
            <w:vAlign w:val="center"/>
          </w:tcPr>
          <w:p w:rsidR="004B3E83" w:rsidRPr="004B3E83" w:rsidRDefault="004B3E83" w:rsidP="000B2365">
            <w:pPr>
              <w:spacing w:before="60" w:after="60"/>
              <w:jc w:val="left"/>
              <w:rPr>
                <w:rFonts w:eastAsia="Times New Roman" w:cs="Arial"/>
                <w:lang w:val="en-US" w:eastAsia="en-US"/>
              </w:rPr>
            </w:pPr>
            <w:r w:rsidRPr="004B3E83">
              <w:rPr>
                <w:rFonts w:eastAsia="Times New Roman" w:cs="Arial"/>
                <w:lang w:val="en-US" w:eastAsia="en-US"/>
              </w:rPr>
              <w:t>Revaluation of PPE</w:t>
            </w:r>
          </w:p>
        </w:tc>
        <w:tc>
          <w:tcPr>
            <w:tcW w:w="6903" w:type="dxa"/>
            <w:tcBorders>
              <w:top w:val="single" w:sz="4" w:space="0" w:color="auto"/>
              <w:left w:val="nil"/>
              <w:bottom w:val="single" w:sz="4" w:space="0" w:color="auto"/>
              <w:right w:val="single" w:sz="4" w:space="0" w:color="auto"/>
            </w:tcBorders>
            <w:shd w:val="clear" w:color="auto" w:fill="auto"/>
            <w:vAlign w:val="center"/>
          </w:tcPr>
          <w:p w:rsidR="004B3E83" w:rsidRPr="004B3E83" w:rsidRDefault="004B3E83" w:rsidP="000B2365">
            <w:pPr>
              <w:spacing w:before="60" w:after="60"/>
              <w:jc w:val="left"/>
              <w:rPr>
                <w:rFonts w:eastAsia="Times New Roman" w:cs="Arial"/>
                <w:lang w:val="en-US" w:eastAsia="en-US"/>
              </w:rPr>
            </w:pPr>
            <w:r w:rsidRPr="004B3E83">
              <w:rPr>
                <w:rFonts w:eastAsia="Times New Roman" w:cs="Arial"/>
                <w:lang w:val="en-US" w:eastAsia="en-US"/>
              </w:rPr>
              <w:t>Unlike in the UK GAAP taxonomy, tags on revaluation of PPE do not appear in a grouping.  Only the latest revaluation for a particular class of asset can therefore be tagged.</w:t>
            </w:r>
          </w:p>
        </w:tc>
      </w:tr>
      <w:tr w:rsidR="004B3E83" w:rsidRPr="004B3E83" w:rsidTr="00B7745D">
        <w:trPr>
          <w:cantSplit/>
          <w:trHeight w:val="240"/>
        </w:trPr>
        <w:tc>
          <w:tcPr>
            <w:tcW w:w="606" w:type="dxa"/>
            <w:tcBorders>
              <w:top w:val="single" w:sz="4" w:space="0" w:color="auto"/>
              <w:left w:val="single" w:sz="4" w:space="0" w:color="auto"/>
              <w:bottom w:val="single" w:sz="4" w:space="0" w:color="auto"/>
              <w:right w:val="single" w:sz="4" w:space="0" w:color="auto"/>
            </w:tcBorders>
            <w:noWrap/>
            <w:vAlign w:val="center"/>
          </w:tcPr>
          <w:p w:rsidR="004B3E83" w:rsidRPr="004B3E83" w:rsidRDefault="004B3E83" w:rsidP="000B2365">
            <w:pPr>
              <w:spacing w:before="60" w:after="60"/>
              <w:jc w:val="left"/>
              <w:rPr>
                <w:rFonts w:eastAsia="Times New Roman" w:cs="Arial"/>
                <w:lang w:val="en-US" w:eastAsia="en-US"/>
              </w:rPr>
            </w:pPr>
            <w:r w:rsidRPr="004B3E83">
              <w:rPr>
                <w:rFonts w:eastAsia="Times New Roman" w:cs="Arial"/>
                <w:lang w:val="en-US" w:eastAsia="en-US"/>
              </w:rPr>
              <w:t>9.1</w:t>
            </w:r>
            <w:r w:rsidR="00B7745D">
              <w:rPr>
                <w:rFonts w:eastAsia="Times New Roman" w:cs="Arial"/>
                <w:lang w:val="en-US" w:eastAsia="en-US"/>
              </w:rPr>
              <w:t>7</w:t>
            </w:r>
          </w:p>
        </w:tc>
        <w:tc>
          <w:tcPr>
            <w:tcW w:w="1722" w:type="dxa"/>
            <w:tcBorders>
              <w:top w:val="single" w:sz="4" w:space="0" w:color="auto"/>
              <w:left w:val="nil"/>
              <w:bottom w:val="single" w:sz="4" w:space="0" w:color="auto"/>
              <w:right w:val="single" w:sz="4" w:space="0" w:color="auto"/>
            </w:tcBorders>
            <w:shd w:val="clear" w:color="auto" w:fill="auto"/>
            <w:vAlign w:val="center"/>
          </w:tcPr>
          <w:p w:rsidR="004B3E83" w:rsidRPr="004B3E83" w:rsidRDefault="004B3E83" w:rsidP="000B2365">
            <w:pPr>
              <w:spacing w:before="60" w:after="60"/>
              <w:jc w:val="left"/>
              <w:rPr>
                <w:rFonts w:eastAsia="Times New Roman" w:cs="Arial"/>
                <w:lang w:val="en-US" w:eastAsia="en-US"/>
              </w:rPr>
            </w:pPr>
            <w:r w:rsidRPr="004B3E83">
              <w:rPr>
                <w:rFonts w:eastAsia="Times New Roman" w:cs="Arial"/>
                <w:lang w:val="en-US" w:eastAsia="en-US"/>
              </w:rPr>
              <w:t>Financial instruments</w:t>
            </w:r>
          </w:p>
        </w:tc>
        <w:tc>
          <w:tcPr>
            <w:tcW w:w="6903" w:type="dxa"/>
            <w:tcBorders>
              <w:top w:val="single" w:sz="4" w:space="0" w:color="auto"/>
              <w:left w:val="nil"/>
              <w:bottom w:val="single" w:sz="4" w:space="0" w:color="auto"/>
              <w:right w:val="single" w:sz="4" w:space="0" w:color="auto"/>
            </w:tcBorders>
            <w:shd w:val="clear" w:color="auto" w:fill="auto"/>
            <w:vAlign w:val="center"/>
          </w:tcPr>
          <w:p w:rsidR="0043483A" w:rsidRDefault="004B3E83" w:rsidP="000B2365">
            <w:pPr>
              <w:spacing w:before="60" w:after="60"/>
              <w:jc w:val="left"/>
              <w:rPr>
                <w:rFonts w:eastAsia="Times New Roman" w:cs="Arial"/>
                <w:lang w:val="en-US" w:eastAsia="en-US"/>
              </w:rPr>
            </w:pPr>
            <w:r w:rsidRPr="004B3E83">
              <w:rPr>
                <w:rFonts w:eastAsia="Times New Roman" w:cs="Arial"/>
                <w:lang w:val="en-US" w:eastAsia="en-US"/>
              </w:rPr>
              <w:t xml:space="preserve">The </w:t>
            </w:r>
            <w:r w:rsidRPr="002C086B">
              <w:rPr>
                <w:rFonts w:eastAsia="Times New Roman" w:cs="Arial"/>
                <w:i/>
                <w:iCs/>
                <w:color w:val="006411"/>
                <w:lang w:val="en-US" w:eastAsia="en-US"/>
              </w:rPr>
              <w:t>Financial instruments</w:t>
            </w:r>
            <w:r w:rsidRPr="004B3E83">
              <w:rPr>
                <w:rFonts w:eastAsia="Times New Roman" w:cs="Arial"/>
                <w:lang w:val="en-US" w:eastAsia="en-US"/>
              </w:rPr>
              <w:t xml:space="preserve"> section of the taxonomy contains lists of financial assets and liabilities by category and class.  Other sections, such as </w:t>
            </w:r>
            <w:r w:rsidRPr="002C086B">
              <w:rPr>
                <w:rFonts w:eastAsia="Times New Roman" w:cs="Arial"/>
                <w:i/>
                <w:iCs/>
                <w:color w:val="006411"/>
                <w:lang w:val="en-US" w:eastAsia="en-US"/>
              </w:rPr>
              <w:t>Loans and receivables</w:t>
            </w:r>
            <w:r w:rsidRPr="004B3E83">
              <w:rPr>
                <w:rFonts w:eastAsia="Times New Roman" w:cs="Arial"/>
                <w:lang w:val="en-US" w:eastAsia="en-US"/>
              </w:rPr>
              <w:t xml:space="preserve">, </w:t>
            </w:r>
            <w:r w:rsidRPr="002C086B">
              <w:rPr>
                <w:rFonts w:eastAsia="Times New Roman" w:cs="Arial"/>
                <w:i/>
                <w:iCs/>
                <w:color w:val="006411"/>
                <w:lang w:val="en-US" w:eastAsia="en-US"/>
              </w:rPr>
              <w:t>Borrowings</w:t>
            </w:r>
            <w:r w:rsidRPr="004B3E83">
              <w:rPr>
                <w:rFonts w:eastAsia="Times New Roman" w:cs="Arial"/>
                <w:lang w:val="en-US" w:eastAsia="en-US"/>
              </w:rPr>
              <w:t xml:space="preserve">, </w:t>
            </w:r>
            <w:r w:rsidRPr="002C086B">
              <w:rPr>
                <w:rFonts w:eastAsia="Times New Roman" w:cs="Arial"/>
                <w:i/>
                <w:iCs/>
                <w:color w:val="006411"/>
                <w:lang w:val="en-US" w:eastAsia="en-US"/>
              </w:rPr>
              <w:t>Derivatives</w:t>
            </w:r>
            <w:r w:rsidRPr="004B3E83">
              <w:rPr>
                <w:rFonts w:eastAsia="Times New Roman" w:cs="Arial"/>
                <w:lang w:val="en-US" w:eastAsia="en-US"/>
              </w:rPr>
              <w:t xml:space="preserve">, </w:t>
            </w:r>
            <w:r w:rsidRPr="002C086B">
              <w:rPr>
                <w:rFonts w:eastAsia="Times New Roman" w:cs="Arial"/>
                <w:i/>
                <w:iCs/>
                <w:color w:val="006411"/>
                <w:lang w:val="en-US" w:eastAsia="en-US"/>
              </w:rPr>
              <w:t>Trade and payables</w:t>
            </w:r>
            <w:r w:rsidRPr="004B3E83">
              <w:rPr>
                <w:rFonts w:eastAsia="Times New Roman" w:cs="Arial"/>
                <w:lang w:val="en-US" w:eastAsia="en-US"/>
              </w:rPr>
              <w:t xml:space="preserve"> and </w:t>
            </w:r>
            <w:r w:rsidRPr="002C086B">
              <w:rPr>
                <w:rFonts w:eastAsia="Times New Roman" w:cs="Arial"/>
                <w:i/>
                <w:iCs/>
                <w:color w:val="006411"/>
                <w:lang w:val="en-US" w:eastAsia="en-US"/>
              </w:rPr>
              <w:t>Finance leases</w:t>
            </w:r>
            <w:r w:rsidRPr="004B3E83">
              <w:rPr>
                <w:rFonts w:eastAsia="Times New Roman" w:cs="Arial"/>
                <w:i/>
                <w:iCs/>
                <w:lang w:val="en-US" w:eastAsia="en-US"/>
              </w:rPr>
              <w:t>,</w:t>
            </w:r>
            <w:r w:rsidRPr="004B3E83">
              <w:rPr>
                <w:rFonts w:eastAsia="Times New Roman" w:cs="Arial"/>
                <w:lang w:val="en-US" w:eastAsia="en-US"/>
              </w:rPr>
              <w:t xml:space="preserve"> contain further details on specific types of instrument.   </w:t>
            </w:r>
          </w:p>
          <w:p w:rsidR="0043483A" w:rsidRDefault="004B3E83" w:rsidP="000B2365">
            <w:pPr>
              <w:spacing w:before="60" w:after="60"/>
              <w:jc w:val="left"/>
              <w:rPr>
                <w:rFonts w:eastAsia="Times New Roman" w:cs="Arial"/>
                <w:lang w:val="en-US" w:eastAsia="en-US"/>
              </w:rPr>
            </w:pPr>
            <w:r w:rsidRPr="004B3E83">
              <w:rPr>
                <w:rFonts w:eastAsia="Times New Roman" w:cs="Arial"/>
                <w:lang w:val="en-US" w:eastAsia="en-US"/>
              </w:rPr>
              <w:t xml:space="preserve">Dimensions, applying to all financial instruments, enable tagging of </w:t>
            </w:r>
            <w:r w:rsidRPr="004B3E83">
              <w:rPr>
                <w:rFonts w:eastAsia="Times New Roman" w:cs="Arial"/>
                <w:b/>
                <w:bCs/>
                <w:lang w:val="en-US" w:eastAsia="en-US"/>
              </w:rPr>
              <w:t>value type</w:t>
            </w:r>
            <w:r w:rsidRPr="004B3E83">
              <w:rPr>
                <w:rFonts w:eastAsia="Times New Roman" w:cs="Arial"/>
                <w:lang w:val="en-US" w:eastAsia="en-US"/>
              </w:rPr>
              <w:t xml:space="preserve"> (e.g. fair value, impaired, not impaired, notional etc.);  </w:t>
            </w:r>
            <w:r w:rsidRPr="004B3E83">
              <w:rPr>
                <w:rFonts w:eastAsia="Times New Roman" w:cs="Arial"/>
                <w:b/>
                <w:bCs/>
                <w:lang w:val="en-US" w:eastAsia="en-US"/>
              </w:rPr>
              <w:t>current / non-current</w:t>
            </w:r>
            <w:r w:rsidRPr="004B3E83">
              <w:rPr>
                <w:rFonts w:eastAsia="Times New Roman" w:cs="Arial"/>
                <w:lang w:val="en-US" w:eastAsia="en-US"/>
              </w:rPr>
              <w:t xml:space="preserve">;  </w:t>
            </w:r>
            <w:r w:rsidRPr="004B3E83">
              <w:rPr>
                <w:rFonts w:eastAsia="Times New Roman" w:cs="Arial"/>
                <w:b/>
                <w:bCs/>
                <w:lang w:val="en-US" w:eastAsia="en-US"/>
              </w:rPr>
              <w:t>maturities</w:t>
            </w:r>
            <w:r w:rsidRPr="004B3E83">
              <w:rPr>
                <w:rFonts w:eastAsia="Times New Roman" w:cs="Arial"/>
                <w:lang w:val="en-US" w:eastAsia="en-US"/>
              </w:rPr>
              <w:t xml:space="preserve">; </w:t>
            </w:r>
            <w:r w:rsidRPr="004B3E83">
              <w:rPr>
                <w:rFonts w:eastAsia="Times New Roman" w:cs="Arial"/>
                <w:b/>
                <w:bCs/>
                <w:lang w:val="en-US" w:eastAsia="en-US"/>
              </w:rPr>
              <w:t>currency exposure</w:t>
            </w:r>
            <w:r w:rsidRPr="004B3E83">
              <w:rPr>
                <w:rFonts w:eastAsia="Times New Roman" w:cs="Arial"/>
                <w:lang w:val="en-US" w:eastAsia="en-US"/>
              </w:rPr>
              <w:t xml:space="preserve">;  </w:t>
            </w:r>
            <w:r w:rsidRPr="004B3E83">
              <w:rPr>
                <w:rFonts w:eastAsia="Times New Roman" w:cs="Arial"/>
                <w:b/>
                <w:bCs/>
                <w:lang w:val="en-US" w:eastAsia="en-US"/>
              </w:rPr>
              <w:t>credit ratings</w:t>
            </w:r>
            <w:r w:rsidRPr="004B3E83">
              <w:rPr>
                <w:rFonts w:eastAsia="Times New Roman" w:cs="Arial"/>
                <w:lang w:val="en-US" w:eastAsia="en-US"/>
              </w:rPr>
              <w:t>;  i</w:t>
            </w:r>
            <w:r w:rsidRPr="004B3E83">
              <w:rPr>
                <w:rFonts w:eastAsia="Times New Roman" w:cs="Arial"/>
                <w:b/>
                <w:bCs/>
                <w:lang w:val="en-US" w:eastAsia="en-US"/>
              </w:rPr>
              <w:t>ndustry concentration risk</w:t>
            </w:r>
            <w:r w:rsidRPr="004B3E83">
              <w:rPr>
                <w:rFonts w:eastAsia="Times New Roman" w:cs="Arial"/>
                <w:lang w:val="en-US" w:eastAsia="en-US"/>
              </w:rPr>
              <w:t xml:space="preserve">;  </w:t>
            </w:r>
            <w:r w:rsidRPr="004B3E83">
              <w:rPr>
                <w:rFonts w:eastAsia="Times New Roman" w:cs="Arial"/>
                <w:b/>
                <w:bCs/>
                <w:lang w:val="en-US" w:eastAsia="en-US"/>
              </w:rPr>
              <w:t>financial instrument risk level</w:t>
            </w:r>
            <w:r w:rsidRPr="004B3E83">
              <w:rPr>
                <w:rFonts w:eastAsia="Times New Roman" w:cs="Arial"/>
                <w:lang w:val="en-US" w:eastAsia="en-US"/>
              </w:rPr>
              <w:t xml:space="preserve"> and </w:t>
            </w:r>
            <w:r w:rsidRPr="004B3E83">
              <w:rPr>
                <w:rFonts w:eastAsia="Times New Roman" w:cs="Arial"/>
                <w:b/>
                <w:bCs/>
                <w:lang w:val="en-US" w:eastAsia="en-US"/>
              </w:rPr>
              <w:t>movements in risk levels</w:t>
            </w:r>
            <w:r w:rsidRPr="004B3E83">
              <w:rPr>
                <w:rFonts w:eastAsia="Times New Roman" w:cs="Arial"/>
                <w:lang w:val="en-US" w:eastAsia="en-US"/>
              </w:rPr>
              <w:t xml:space="preserve">. </w:t>
            </w:r>
          </w:p>
          <w:p w:rsidR="004B3E83" w:rsidRPr="004B3E83" w:rsidRDefault="004B3E83" w:rsidP="000B2365">
            <w:pPr>
              <w:spacing w:before="60" w:after="60"/>
              <w:jc w:val="left"/>
              <w:rPr>
                <w:rFonts w:eastAsia="Times New Roman" w:cs="Arial"/>
                <w:lang w:val="en-US" w:eastAsia="en-US"/>
              </w:rPr>
            </w:pPr>
            <w:r w:rsidRPr="004B3E83">
              <w:rPr>
                <w:rFonts w:eastAsia="Times New Roman" w:cs="Arial"/>
                <w:lang w:val="en-US" w:eastAsia="en-US"/>
              </w:rPr>
              <w:t xml:space="preserve">For financial instrument risks, see </w:t>
            </w:r>
            <w:hyperlink w:anchor="XR_FinInst" w:history="1">
              <w:r w:rsidRPr="005C4817">
                <w:rPr>
                  <w:rStyle w:val="Hyperlink"/>
                  <w:rFonts w:eastAsia="Times New Roman" w:cs="Arial"/>
                  <w:lang w:val="en-US" w:eastAsia="en-US"/>
                </w:rPr>
                <w:t xml:space="preserve">item </w:t>
              </w:r>
              <w:r w:rsidR="005C4817" w:rsidRPr="005C4817">
                <w:rPr>
                  <w:rStyle w:val="Hyperlink"/>
                  <w:rFonts w:eastAsia="Times New Roman" w:cs="Arial"/>
                  <w:lang w:val="en-US" w:eastAsia="en-US"/>
                </w:rPr>
                <w:t>9.2</w:t>
              </w:r>
              <w:r w:rsidR="00C83B0D">
                <w:rPr>
                  <w:rStyle w:val="Hyperlink"/>
                  <w:rFonts w:eastAsia="Times New Roman" w:cs="Arial"/>
                  <w:lang w:val="en-US" w:eastAsia="en-US"/>
                </w:rPr>
                <w:t>9</w:t>
              </w:r>
            </w:hyperlink>
            <w:r w:rsidRPr="004B3E83">
              <w:rPr>
                <w:rFonts w:eastAsia="Times New Roman" w:cs="Arial"/>
                <w:lang w:val="en-US" w:eastAsia="en-US"/>
              </w:rPr>
              <w:t xml:space="preserve"> below.</w:t>
            </w:r>
          </w:p>
        </w:tc>
      </w:tr>
      <w:tr w:rsidR="004B3E83" w:rsidRPr="004B3E83" w:rsidTr="00B7745D">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3E83" w:rsidRPr="004B3E83" w:rsidRDefault="004B3E83" w:rsidP="000B2365">
            <w:pPr>
              <w:spacing w:before="60" w:after="60"/>
              <w:jc w:val="left"/>
              <w:rPr>
                <w:rFonts w:eastAsia="Times New Roman" w:cs="Arial"/>
                <w:lang w:val="en-US" w:eastAsia="en-US"/>
              </w:rPr>
            </w:pPr>
            <w:r w:rsidRPr="004B3E83">
              <w:rPr>
                <w:rFonts w:eastAsia="Times New Roman" w:cs="Arial"/>
                <w:lang w:val="en-US" w:eastAsia="en-US"/>
              </w:rPr>
              <w:t>9.1</w:t>
            </w:r>
            <w:r w:rsidR="00B7745D">
              <w:rPr>
                <w:rFonts w:eastAsia="Times New Roman" w:cs="Arial"/>
                <w:lang w:val="en-US" w:eastAsia="en-US"/>
              </w:rPr>
              <w:t>8</w:t>
            </w:r>
          </w:p>
        </w:tc>
        <w:tc>
          <w:tcPr>
            <w:tcW w:w="1722" w:type="dxa"/>
            <w:tcBorders>
              <w:top w:val="single" w:sz="4" w:space="0" w:color="auto"/>
              <w:left w:val="nil"/>
              <w:bottom w:val="single" w:sz="4" w:space="0" w:color="auto"/>
              <w:right w:val="single" w:sz="4" w:space="0" w:color="auto"/>
            </w:tcBorders>
            <w:shd w:val="clear" w:color="auto" w:fill="auto"/>
            <w:vAlign w:val="center"/>
          </w:tcPr>
          <w:p w:rsidR="004B3E83" w:rsidRPr="004B3E83" w:rsidRDefault="004B3E83" w:rsidP="000B2365">
            <w:pPr>
              <w:spacing w:before="60" w:after="60"/>
              <w:jc w:val="left"/>
              <w:rPr>
                <w:rFonts w:eastAsia="Times New Roman" w:cs="Arial"/>
                <w:lang w:val="en-US" w:eastAsia="en-US"/>
              </w:rPr>
            </w:pPr>
            <w:r w:rsidRPr="004B3E83">
              <w:rPr>
                <w:rFonts w:eastAsia="Times New Roman" w:cs="Arial"/>
                <w:lang w:val="en-US" w:eastAsia="en-US"/>
              </w:rPr>
              <w:t>Use of current / non-current and maturities tags with financial instruments</w:t>
            </w:r>
          </w:p>
        </w:tc>
        <w:tc>
          <w:tcPr>
            <w:tcW w:w="6903" w:type="dxa"/>
            <w:tcBorders>
              <w:top w:val="single" w:sz="4" w:space="0" w:color="auto"/>
              <w:left w:val="nil"/>
              <w:bottom w:val="single" w:sz="4" w:space="0" w:color="auto"/>
              <w:right w:val="single" w:sz="4" w:space="0" w:color="auto"/>
            </w:tcBorders>
            <w:shd w:val="clear" w:color="auto" w:fill="auto"/>
            <w:vAlign w:val="center"/>
          </w:tcPr>
          <w:p w:rsidR="004B3E83" w:rsidRPr="004B3E83" w:rsidRDefault="004B3E83" w:rsidP="000B2365">
            <w:pPr>
              <w:spacing w:before="60" w:after="60"/>
              <w:jc w:val="left"/>
              <w:rPr>
                <w:rFonts w:eastAsia="Times New Roman" w:cs="Arial"/>
                <w:lang w:val="en-US" w:eastAsia="en-US"/>
              </w:rPr>
            </w:pPr>
            <w:r w:rsidRPr="004B3E83">
              <w:rPr>
                <w:rFonts w:eastAsia="Times New Roman" w:cs="Arial"/>
                <w:lang w:val="en-US" w:eastAsia="en-US"/>
              </w:rPr>
              <w:t>In tagging some financial instruments reported as being 'within one year' or 'after one year', preparers may face a choice between the use of current / non-current dimension tags and the use of the 'within one year' and 'after one year' dimension</w:t>
            </w:r>
            <w:r w:rsidR="008F256A">
              <w:rPr>
                <w:rFonts w:eastAsia="Times New Roman" w:cs="Arial"/>
                <w:lang w:val="en-US" w:eastAsia="en-US"/>
              </w:rPr>
              <w:t xml:space="preserve"> tag</w:t>
            </w:r>
            <w:r w:rsidRPr="004B3E83">
              <w:rPr>
                <w:rFonts w:eastAsia="Times New Roman" w:cs="Arial"/>
                <w:lang w:val="en-US" w:eastAsia="en-US"/>
              </w:rPr>
              <w:t xml:space="preserve">s.   It is expected that the current / non-current tags will be used in general current / non-current breakdowns of assets and liabilities in primary statements and notes.   However, the maturities tags should be used in maturities analyses and in all financial risk management notes.   </w:t>
            </w:r>
          </w:p>
        </w:tc>
      </w:tr>
      <w:tr w:rsidR="00B7745D" w:rsidRPr="004B3E83" w:rsidTr="00B7745D">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7745D" w:rsidRDefault="00B7745D">
            <w:pPr>
              <w:rPr>
                <w:rFonts w:cs="Arial"/>
              </w:rPr>
            </w:pPr>
            <w:r>
              <w:lastRenderedPageBreak/>
              <w:t>9.19</w:t>
            </w:r>
          </w:p>
        </w:tc>
        <w:tc>
          <w:tcPr>
            <w:tcW w:w="1722" w:type="dxa"/>
            <w:tcBorders>
              <w:top w:val="single" w:sz="4" w:space="0" w:color="auto"/>
              <w:left w:val="nil"/>
              <w:bottom w:val="single" w:sz="4" w:space="0" w:color="auto"/>
              <w:right w:val="single" w:sz="4" w:space="0" w:color="auto"/>
            </w:tcBorders>
            <w:shd w:val="clear" w:color="auto" w:fill="auto"/>
            <w:vAlign w:val="center"/>
          </w:tcPr>
          <w:p w:rsidR="00B7745D" w:rsidRPr="004B3E83" w:rsidRDefault="00B7745D" w:rsidP="000B2365">
            <w:pPr>
              <w:spacing w:before="60" w:after="60"/>
              <w:jc w:val="left"/>
              <w:rPr>
                <w:rFonts w:eastAsia="Times New Roman" w:cs="Arial"/>
                <w:lang w:val="en-US" w:eastAsia="en-US"/>
              </w:rPr>
            </w:pPr>
            <w:r w:rsidRPr="004B3E83">
              <w:rPr>
                <w:rFonts w:eastAsia="Times New Roman" w:cs="Arial"/>
                <w:lang w:val="en-US" w:eastAsia="en-US"/>
              </w:rPr>
              <w:t>Financial liabilities</w:t>
            </w:r>
          </w:p>
        </w:tc>
        <w:tc>
          <w:tcPr>
            <w:tcW w:w="6903" w:type="dxa"/>
            <w:tcBorders>
              <w:top w:val="single" w:sz="4" w:space="0" w:color="auto"/>
              <w:left w:val="nil"/>
              <w:bottom w:val="single" w:sz="4" w:space="0" w:color="auto"/>
              <w:right w:val="single" w:sz="4" w:space="0" w:color="auto"/>
            </w:tcBorders>
            <w:shd w:val="clear" w:color="auto" w:fill="auto"/>
            <w:vAlign w:val="center"/>
          </w:tcPr>
          <w:p w:rsidR="00B7745D" w:rsidRPr="004B3E83" w:rsidRDefault="00B7745D" w:rsidP="000B2365">
            <w:pPr>
              <w:spacing w:before="60" w:after="60"/>
              <w:jc w:val="left"/>
              <w:rPr>
                <w:rFonts w:eastAsia="Times New Roman" w:cs="Arial"/>
                <w:lang w:val="en-US" w:eastAsia="en-US"/>
              </w:rPr>
            </w:pPr>
            <w:r w:rsidRPr="004B3E83">
              <w:rPr>
                <w:rFonts w:eastAsia="Times New Roman" w:cs="Arial"/>
                <w:lang w:val="en-US" w:eastAsia="en-US"/>
              </w:rPr>
              <w:t xml:space="preserve">The IFRS taxonomy does not provide tags for a detailed breakdown of specific financial liabilities in the </w:t>
            </w:r>
            <w:r w:rsidRPr="004B3E83">
              <w:rPr>
                <w:rFonts w:eastAsia="Times New Roman" w:cs="Arial"/>
                <w:i/>
                <w:iCs/>
                <w:color w:val="006411"/>
                <w:lang w:val="en-US" w:eastAsia="en-US"/>
              </w:rPr>
              <w:t>Financial liabilities by category and by class</w:t>
            </w:r>
            <w:r w:rsidRPr="004B3E83">
              <w:rPr>
                <w:rFonts w:eastAsia="Times New Roman" w:cs="Arial"/>
                <w:lang w:val="en-US" w:eastAsia="en-US"/>
              </w:rPr>
              <w:t xml:space="preserve"> section;  it only provides relatively hi</w:t>
            </w:r>
            <w:r>
              <w:rPr>
                <w:rFonts w:eastAsia="Times New Roman" w:cs="Arial"/>
                <w:lang w:val="en-US" w:eastAsia="en-US"/>
              </w:rPr>
              <w:t xml:space="preserve">gh-level subtotals.   The main </w:t>
            </w:r>
            <w:r w:rsidRPr="004B3E83">
              <w:rPr>
                <w:rFonts w:eastAsia="Times New Roman" w:cs="Arial"/>
                <w:lang w:val="en-US" w:eastAsia="en-US"/>
              </w:rPr>
              <w:t>breakdowns</w:t>
            </w:r>
            <w:r>
              <w:rPr>
                <w:rFonts w:eastAsia="Times New Roman" w:cs="Arial"/>
                <w:lang w:val="en-US" w:eastAsia="en-US"/>
              </w:rPr>
              <w:t xml:space="preserve">, in so far as they are available, </w:t>
            </w:r>
            <w:r w:rsidRPr="004B3E83">
              <w:rPr>
                <w:rFonts w:eastAsia="Times New Roman" w:cs="Arial"/>
                <w:lang w:val="en-US" w:eastAsia="en-US"/>
              </w:rPr>
              <w:t xml:space="preserve">are under the </w:t>
            </w:r>
            <w:r w:rsidRPr="004B3E83">
              <w:rPr>
                <w:rFonts w:eastAsia="Times New Roman" w:cs="Arial"/>
                <w:i/>
                <w:iCs/>
                <w:color w:val="006411"/>
                <w:lang w:val="en-US" w:eastAsia="en-US"/>
              </w:rPr>
              <w:t>Derivative</w:t>
            </w:r>
            <w:r>
              <w:rPr>
                <w:rFonts w:eastAsia="Times New Roman" w:cs="Arial"/>
                <w:i/>
                <w:iCs/>
                <w:color w:val="006411"/>
                <w:lang w:val="en-US" w:eastAsia="en-US"/>
              </w:rPr>
              <w:t xml:space="preserve"> financial instrument</w:t>
            </w:r>
            <w:r w:rsidRPr="004B3E83">
              <w:rPr>
                <w:rFonts w:eastAsia="Times New Roman" w:cs="Arial"/>
                <w:i/>
                <w:iCs/>
                <w:color w:val="006411"/>
                <w:lang w:val="en-US" w:eastAsia="en-US"/>
              </w:rPr>
              <w:t>s</w:t>
            </w:r>
            <w:r w:rsidRPr="004B3E83">
              <w:rPr>
                <w:rFonts w:eastAsia="Times New Roman" w:cs="Arial"/>
                <w:lang w:val="en-US" w:eastAsia="en-US"/>
              </w:rPr>
              <w:t xml:space="preserve">, </w:t>
            </w:r>
            <w:r w:rsidRPr="004B3E83">
              <w:rPr>
                <w:rFonts w:eastAsia="Times New Roman" w:cs="Arial"/>
                <w:i/>
                <w:iCs/>
                <w:color w:val="006411"/>
                <w:lang w:val="en-US" w:eastAsia="en-US"/>
              </w:rPr>
              <w:t>Borrowings</w:t>
            </w:r>
            <w:r w:rsidRPr="004B3E83">
              <w:rPr>
                <w:rFonts w:eastAsia="Times New Roman" w:cs="Arial"/>
                <w:lang w:val="en-US" w:eastAsia="en-US"/>
              </w:rPr>
              <w:t xml:space="preserve"> and </w:t>
            </w:r>
            <w:r w:rsidRPr="004B3E83">
              <w:rPr>
                <w:rFonts w:eastAsia="Times New Roman" w:cs="Arial"/>
                <w:i/>
                <w:iCs/>
                <w:color w:val="006411"/>
                <w:lang w:val="en-US" w:eastAsia="en-US"/>
              </w:rPr>
              <w:t>Trade and other payables</w:t>
            </w:r>
            <w:r w:rsidRPr="004B3E83">
              <w:rPr>
                <w:rFonts w:eastAsia="Times New Roman" w:cs="Arial"/>
                <w:lang w:val="en-US" w:eastAsia="en-US"/>
              </w:rPr>
              <w:t xml:space="preserve"> sections.  </w:t>
            </w:r>
          </w:p>
        </w:tc>
      </w:tr>
      <w:tr w:rsidR="00B7745D" w:rsidRPr="004B3E83" w:rsidTr="00B7745D">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7745D" w:rsidRDefault="00B7745D">
            <w:pPr>
              <w:rPr>
                <w:rFonts w:cs="Arial"/>
              </w:rPr>
            </w:pPr>
            <w:r>
              <w:t>9.20</w:t>
            </w:r>
          </w:p>
        </w:tc>
        <w:tc>
          <w:tcPr>
            <w:tcW w:w="1722" w:type="dxa"/>
            <w:tcBorders>
              <w:top w:val="single" w:sz="4" w:space="0" w:color="auto"/>
              <w:left w:val="nil"/>
              <w:bottom w:val="single" w:sz="4" w:space="0" w:color="auto"/>
              <w:right w:val="single" w:sz="4" w:space="0" w:color="auto"/>
            </w:tcBorders>
            <w:shd w:val="clear" w:color="auto" w:fill="auto"/>
            <w:vAlign w:val="center"/>
          </w:tcPr>
          <w:p w:rsidR="00B7745D" w:rsidRPr="004B3E83" w:rsidRDefault="00B7745D" w:rsidP="000B2365">
            <w:pPr>
              <w:spacing w:before="60" w:after="60"/>
              <w:jc w:val="left"/>
              <w:rPr>
                <w:rFonts w:eastAsia="Times New Roman" w:cs="Arial"/>
                <w:lang w:val="en-US" w:eastAsia="en-US"/>
              </w:rPr>
            </w:pPr>
            <w:r w:rsidRPr="004B3E83">
              <w:rPr>
                <w:rFonts w:eastAsia="Times New Roman" w:cs="Arial"/>
                <w:lang w:val="en-US" w:eastAsia="en-US"/>
              </w:rPr>
              <w:t>Movements in financial instrument fair value hierarchy</w:t>
            </w:r>
          </w:p>
        </w:tc>
        <w:tc>
          <w:tcPr>
            <w:tcW w:w="6903" w:type="dxa"/>
            <w:tcBorders>
              <w:top w:val="single" w:sz="4" w:space="0" w:color="auto"/>
              <w:left w:val="nil"/>
              <w:bottom w:val="single" w:sz="4" w:space="0" w:color="auto"/>
              <w:right w:val="single" w:sz="4" w:space="0" w:color="auto"/>
            </w:tcBorders>
            <w:shd w:val="clear" w:color="auto" w:fill="auto"/>
            <w:vAlign w:val="center"/>
          </w:tcPr>
          <w:p w:rsidR="00B7745D" w:rsidRPr="004B3E83" w:rsidRDefault="00B7745D" w:rsidP="000B2365">
            <w:pPr>
              <w:spacing w:before="60" w:after="60"/>
              <w:jc w:val="left"/>
              <w:rPr>
                <w:rFonts w:eastAsia="Times New Roman" w:cs="Arial"/>
                <w:lang w:val="en-US" w:eastAsia="en-US"/>
              </w:rPr>
            </w:pPr>
            <w:r w:rsidRPr="004B3E83">
              <w:rPr>
                <w:rFonts w:eastAsia="Times New Roman" w:cs="Arial"/>
                <w:lang w:val="en-US" w:eastAsia="en-US"/>
              </w:rPr>
              <w:t xml:space="preserve">The expected sign on values in movements in the fair value hierarchy is determined by the label of the </w:t>
            </w:r>
            <w:r w:rsidRPr="004B3E83">
              <w:rPr>
                <w:rFonts w:eastAsia="Times New Roman" w:cs="Arial"/>
                <w:b/>
                <w:bCs/>
                <w:lang w:val="en-US" w:eastAsia="en-US"/>
              </w:rPr>
              <w:t>dimension tag</w:t>
            </w:r>
            <w:r w:rsidRPr="004B3E83">
              <w:rPr>
                <w:rFonts w:eastAsia="Times New Roman" w:cs="Arial"/>
                <w:lang w:val="en-US" w:eastAsia="en-US"/>
              </w:rPr>
              <w:t xml:space="preserve"> describing the movement (not the line item tag which simply refers to 'change' and does not give a sign indication).  </w:t>
            </w:r>
          </w:p>
        </w:tc>
      </w:tr>
      <w:tr w:rsidR="00B7745D" w:rsidRPr="004B3E83" w:rsidTr="00B7745D">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7745D" w:rsidRDefault="00B7745D">
            <w:pPr>
              <w:rPr>
                <w:rFonts w:cs="Arial"/>
              </w:rPr>
            </w:pPr>
            <w:r w:rsidRPr="00B7745D">
              <w:rPr>
                <w:highlight w:val="yellow"/>
              </w:rPr>
              <w:t>9.21</w:t>
            </w:r>
          </w:p>
        </w:tc>
        <w:tc>
          <w:tcPr>
            <w:tcW w:w="1722" w:type="dxa"/>
            <w:tcBorders>
              <w:top w:val="single" w:sz="4" w:space="0" w:color="auto"/>
              <w:left w:val="nil"/>
              <w:bottom w:val="single" w:sz="4" w:space="0" w:color="auto"/>
              <w:right w:val="single" w:sz="4" w:space="0" w:color="auto"/>
            </w:tcBorders>
            <w:shd w:val="clear" w:color="auto" w:fill="auto"/>
            <w:vAlign w:val="center"/>
          </w:tcPr>
          <w:p w:rsidR="00B7745D" w:rsidRPr="00D86195" w:rsidRDefault="00B7745D" w:rsidP="000B2365">
            <w:pPr>
              <w:spacing w:before="60" w:after="60"/>
              <w:jc w:val="left"/>
              <w:rPr>
                <w:rFonts w:eastAsia="Times New Roman" w:cs="Arial"/>
                <w:highlight w:val="yellow"/>
                <w:lang w:val="en-US" w:eastAsia="en-US"/>
              </w:rPr>
            </w:pPr>
            <w:r w:rsidRPr="00D86195">
              <w:rPr>
                <w:rFonts w:eastAsia="Times New Roman" w:cs="Arial"/>
                <w:highlight w:val="yellow"/>
                <w:lang w:val="en-US" w:eastAsia="en-US"/>
              </w:rPr>
              <w:t>Provisions for property</w:t>
            </w:r>
          </w:p>
        </w:tc>
        <w:tc>
          <w:tcPr>
            <w:tcW w:w="6903" w:type="dxa"/>
            <w:tcBorders>
              <w:top w:val="single" w:sz="4" w:space="0" w:color="auto"/>
              <w:left w:val="nil"/>
              <w:bottom w:val="single" w:sz="4" w:space="0" w:color="auto"/>
              <w:right w:val="single" w:sz="4" w:space="0" w:color="auto"/>
            </w:tcBorders>
            <w:shd w:val="clear" w:color="auto" w:fill="auto"/>
            <w:vAlign w:val="center"/>
          </w:tcPr>
          <w:p w:rsidR="00B7745D" w:rsidRPr="004B3E83" w:rsidRDefault="00B7745D" w:rsidP="000B2365">
            <w:pPr>
              <w:spacing w:before="60" w:after="60"/>
              <w:jc w:val="left"/>
              <w:rPr>
                <w:rFonts w:eastAsia="Times New Roman" w:cs="Arial"/>
                <w:lang w:val="en-US" w:eastAsia="en-US"/>
              </w:rPr>
            </w:pPr>
            <w:r w:rsidRPr="004B3E83">
              <w:rPr>
                <w:rFonts w:eastAsia="Times New Roman" w:cs="Arial"/>
                <w:lang w:val="en-US" w:eastAsia="en-US"/>
              </w:rPr>
              <w:t xml:space="preserve">There is no dimension tag to represent 'Property provision'.  If the </w:t>
            </w:r>
            <w:r>
              <w:rPr>
                <w:rFonts w:eastAsia="Times New Roman" w:cs="Arial"/>
                <w:lang w:val="en-US" w:eastAsia="en-US"/>
              </w:rPr>
              <w:t>'</w:t>
            </w:r>
            <w:r w:rsidRPr="002C086B">
              <w:rPr>
                <w:rFonts w:eastAsia="Times New Roman" w:cs="Arial"/>
                <w:i/>
                <w:iCs/>
                <w:color w:val="DD0806"/>
                <w:lang w:val="en-US" w:eastAsia="en-US"/>
              </w:rPr>
              <w:t>Vacant properties</w:t>
            </w:r>
            <w:r w:rsidRPr="004B3E83">
              <w:rPr>
                <w:rFonts w:eastAsia="Times New Roman" w:cs="Arial"/>
                <w:lang w:val="en-US" w:eastAsia="en-US"/>
              </w:rPr>
              <w:t>' dimension tag is not appropriate for particular property provisions data, the latter should be left untagged - unless it is the only class of provision and can be represented by the default total.</w:t>
            </w:r>
          </w:p>
        </w:tc>
      </w:tr>
      <w:tr w:rsidR="00B7745D" w:rsidRPr="004B3E83" w:rsidTr="00B7745D">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7745D" w:rsidRDefault="00B7745D">
            <w:pPr>
              <w:rPr>
                <w:rFonts w:cs="Arial"/>
              </w:rPr>
            </w:pPr>
            <w:r>
              <w:t>9.22</w:t>
            </w:r>
          </w:p>
        </w:tc>
        <w:tc>
          <w:tcPr>
            <w:tcW w:w="1722" w:type="dxa"/>
            <w:tcBorders>
              <w:top w:val="single" w:sz="4" w:space="0" w:color="auto"/>
              <w:left w:val="nil"/>
              <w:bottom w:val="single" w:sz="4" w:space="0" w:color="auto"/>
              <w:right w:val="single" w:sz="4" w:space="0" w:color="auto"/>
            </w:tcBorders>
            <w:shd w:val="clear" w:color="auto" w:fill="auto"/>
            <w:vAlign w:val="center"/>
          </w:tcPr>
          <w:p w:rsidR="00B7745D" w:rsidRPr="004B3E83" w:rsidRDefault="00B7745D" w:rsidP="000B2365">
            <w:pPr>
              <w:spacing w:before="60" w:after="60"/>
              <w:jc w:val="left"/>
              <w:rPr>
                <w:rFonts w:eastAsia="Times New Roman" w:cs="Arial"/>
                <w:lang w:val="en-US" w:eastAsia="en-US"/>
              </w:rPr>
            </w:pPr>
            <w:r w:rsidRPr="004B3E83">
              <w:rPr>
                <w:rFonts w:eastAsia="Times New Roman" w:cs="Arial"/>
                <w:lang w:val="en-US" w:eastAsia="en-US"/>
              </w:rPr>
              <w:t>Movement in provisions</w:t>
            </w:r>
          </w:p>
        </w:tc>
        <w:tc>
          <w:tcPr>
            <w:tcW w:w="6903" w:type="dxa"/>
            <w:tcBorders>
              <w:top w:val="single" w:sz="4" w:space="0" w:color="auto"/>
              <w:left w:val="nil"/>
              <w:bottom w:val="single" w:sz="4" w:space="0" w:color="auto"/>
              <w:right w:val="single" w:sz="4" w:space="0" w:color="auto"/>
            </w:tcBorders>
            <w:shd w:val="clear" w:color="auto" w:fill="auto"/>
            <w:vAlign w:val="center"/>
          </w:tcPr>
          <w:p w:rsidR="00B7745D" w:rsidRPr="004B3E83" w:rsidRDefault="00B7745D" w:rsidP="000B2365">
            <w:pPr>
              <w:spacing w:before="60" w:after="60"/>
              <w:jc w:val="left"/>
              <w:rPr>
                <w:rFonts w:eastAsia="Times New Roman" w:cs="Arial"/>
                <w:lang w:val="en-US" w:eastAsia="en-US"/>
              </w:rPr>
            </w:pPr>
            <w:r w:rsidRPr="004B3E83">
              <w:rPr>
                <w:rFonts w:eastAsia="Times New Roman" w:cs="Arial"/>
                <w:lang w:val="en-US" w:eastAsia="en-US"/>
              </w:rPr>
              <w:t>The '</w:t>
            </w:r>
            <w:r w:rsidRPr="004B3E83">
              <w:rPr>
                <w:rFonts w:eastAsia="Times New Roman" w:cs="Arial"/>
                <w:i/>
                <w:iCs/>
                <w:color w:val="DD0806"/>
                <w:lang w:val="en-US" w:eastAsia="en-US"/>
              </w:rPr>
              <w:t>Additional provisions</w:t>
            </w:r>
            <w:r w:rsidRPr="004B3E83">
              <w:rPr>
                <w:rFonts w:eastAsia="Times New Roman" w:cs="Arial"/>
                <w:lang w:val="en-US" w:eastAsia="en-US"/>
              </w:rPr>
              <w:t xml:space="preserve">' tag may be used to represent </w:t>
            </w:r>
            <w:r w:rsidRPr="004B3E83">
              <w:rPr>
                <w:rFonts w:eastAsia="Times New Roman" w:cs="Arial"/>
                <w:b/>
                <w:bCs/>
                <w:lang w:val="en-US" w:eastAsia="en-US"/>
              </w:rPr>
              <w:t>either</w:t>
            </w:r>
            <w:r w:rsidRPr="004B3E83">
              <w:rPr>
                <w:rFonts w:eastAsia="Times New Roman" w:cs="Arial"/>
                <w:lang w:val="en-US" w:eastAsia="en-US"/>
              </w:rPr>
              <w:t xml:space="preserve"> total additions in provisions </w:t>
            </w:r>
            <w:r w:rsidRPr="004B3E83">
              <w:rPr>
                <w:rFonts w:eastAsia="Times New Roman" w:cs="Arial"/>
                <w:b/>
                <w:bCs/>
                <w:lang w:val="en-US" w:eastAsia="en-US"/>
              </w:rPr>
              <w:t>or</w:t>
            </w:r>
            <w:r w:rsidRPr="004B3E83">
              <w:rPr>
                <w:rFonts w:eastAsia="Times New Roman" w:cs="Arial"/>
                <w:lang w:val="en-US" w:eastAsia="en-US"/>
              </w:rPr>
              <w:t xml:space="preserve"> additional provisions excluding an increase in existing provisions.</w:t>
            </w:r>
          </w:p>
        </w:tc>
      </w:tr>
      <w:tr w:rsidR="00B7745D" w:rsidRPr="004B3E83" w:rsidTr="00B7745D">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7745D" w:rsidRDefault="00B7745D">
            <w:pPr>
              <w:rPr>
                <w:rFonts w:cs="Arial"/>
              </w:rPr>
            </w:pPr>
            <w:r w:rsidRPr="00B7745D">
              <w:rPr>
                <w:highlight w:val="yellow"/>
              </w:rPr>
              <w:t>9.23</w:t>
            </w:r>
          </w:p>
        </w:tc>
        <w:tc>
          <w:tcPr>
            <w:tcW w:w="1722" w:type="dxa"/>
            <w:tcBorders>
              <w:top w:val="single" w:sz="4" w:space="0" w:color="auto"/>
              <w:left w:val="nil"/>
              <w:bottom w:val="single" w:sz="4" w:space="0" w:color="auto"/>
              <w:right w:val="single" w:sz="4" w:space="0" w:color="auto"/>
            </w:tcBorders>
            <w:shd w:val="clear" w:color="auto" w:fill="auto"/>
            <w:vAlign w:val="center"/>
          </w:tcPr>
          <w:p w:rsidR="00B7745D" w:rsidRPr="00D86195" w:rsidRDefault="00B7745D" w:rsidP="000B2365">
            <w:pPr>
              <w:spacing w:before="60" w:after="60"/>
              <w:jc w:val="left"/>
              <w:rPr>
                <w:rFonts w:eastAsia="Times New Roman" w:cs="Arial"/>
                <w:highlight w:val="yellow"/>
                <w:lang w:val="en-US" w:eastAsia="en-US"/>
              </w:rPr>
            </w:pPr>
            <w:r w:rsidRPr="00D86195">
              <w:rPr>
                <w:rFonts w:eastAsia="Times New Roman" w:cs="Arial"/>
                <w:highlight w:val="yellow"/>
                <w:lang w:val="en-US" w:eastAsia="en-US"/>
              </w:rPr>
              <w:t>Maturity analysis of finance lease obligations</w:t>
            </w:r>
          </w:p>
        </w:tc>
        <w:tc>
          <w:tcPr>
            <w:tcW w:w="6903" w:type="dxa"/>
            <w:tcBorders>
              <w:top w:val="single" w:sz="4" w:space="0" w:color="auto"/>
              <w:left w:val="nil"/>
              <w:bottom w:val="single" w:sz="4" w:space="0" w:color="auto"/>
              <w:right w:val="single" w:sz="4" w:space="0" w:color="auto"/>
            </w:tcBorders>
            <w:shd w:val="clear" w:color="auto" w:fill="auto"/>
            <w:vAlign w:val="center"/>
          </w:tcPr>
          <w:p w:rsidR="00B7745D" w:rsidRPr="004B3E83" w:rsidRDefault="00B7745D" w:rsidP="000B2365">
            <w:pPr>
              <w:spacing w:before="60" w:after="60"/>
              <w:jc w:val="left"/>
              <w:rPr>
                <w:rFonts w:eastAsia="Times New Roman" w:cs="Arial"/>
                <w:lang w:val="en-US" w:eastAsia="en-US"/>
              </w:rPr>
            </w:pPr>
            <w:r w:rsidRPr="004B3E83">
              <w:rPr>
                <w:rFonts w:eastAsia="Times New Roman" w:cs="Arial"/>
                <w:lang w:val="en-US" w:eastAsia="en-US"/>
              </w:rPr>
              <w:t>The tag ‘</w:t>
            </w:r>
            <w:r w:rsidRPr="002C086B">
              <w:rPr>
                <w:rFonts w:eastAsia="Times New Roman" w:cs="Arial"/>
                <w:i/>
                <w:iCs/>
                <w:color w:val="DD0806"/>
                <w:lang w:val="en-US" w:eastAsia="en-US"/>
              </w:rPr>
              <w:t>Finance lease payments owing, minimum / gross</w:t>
            </w:r>
            <w:r>
              <w:rPr>
                <w:rFonts w:eastAsia="Times New Roman" w:cs="Arial"/>
                <w:lang w:val="en-US" w:eastAsia="en-US"/>
              </w:rPr>
              <w:t xml:space="preserve">’ is not linked to </w:t>
            </w:r>
            <w:r w:rsidRPr="008F256A">
              <w:rPr>
                <w:rFonts w:eastAsia="Times New Roman" w:cs="Arial"/>
                <w:i/>
                <w:lang w:val="en-US" w:eastAsia="en-US"/>
              </w:rPr>
              <w:t>Maturities</w:t>
            </w:r>
            <w:r>
              <w:rPr>
                <w:rFonts w:eastAsia="Times New Roman" w:cs="Arial"/>
                <w:lang w:val="en-US" w:eastAsia="en-US"/>
              </w:rPr>
              <w:t xml:space="preserve"> and other financial instrument</w:t>
            </w:r>
            <w:r w:rsidRPr="004B3E83">
              <w:rPr>
                <w:rFonts w:eastAsia="Times New Roman" w:cs="Arial"/>
                <w:lang w:val="en-US" w:eastAsia="en-US"/>
              </w:rPr>
              <w:t xml:space="preserve"> dimensions.  A maturity breakdown of this item therefore cannot be tagged.  (By contrast, ‘</w:t>
            </w:r>
            <w:r w:rsidRPr="002C086B">
              <w:rPr>
                <w:rFonts w:eastAsia="Times New Roman" w:cs="Arial"/>
                <w:i/>
                <w:iCs/>
                <w:color w:val="DD0806"/>
                <w:lang w:val="en-US" w:eastAsia="en-US"/>
              </w:rPr>
              <w:t>Finance lease liabilities, present value, total</w:t>
            </w:r>
            <w:r>
              <w:rPr>
                <w:rFonts w:eastAsia="Times New Roman" w:cs="Arial"/>
                <w:lang w:val="en-US" w:eastAsia="en-US"/>
              </w:rPr>
              <w:t>'</w:t>
            </w:r>
            <w:r w:rsidRPr="004B3E83">
              <w:rPr>
                <w:rFonts w:eastAsia="Times New Roman" w:cs="Arial"/>
                <w:lang w:val="en-US" w:eastAsia="en-US"/>
              </w:rPr>
              <w:t xml:space="preserve"> is attached to the financial instrument dimensions, enabling maturity data to be tagged.)</w:t>
            </w:r>
          </w:p>
        </w:tc>
      </w:tr>
      <w:tr w:rsidR="00B7745D" w:rsidRPr="004B3E83" w:rsidTr="00B7745D">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7745D" w:rsidRDefault="00B7745D">
            <w:pPr>
              <w:rPr>
                <w:rFonts w:cs="Arial"/>
              </w:rPr>
            </w:pPr>
            <w:r>
              <w:t>9.24</w:t>
            </w:r>
          </w:p>
        </w:tc>
        <w:tc>
          <w:tcPr>
            <w:tcW w:w="1722" w:type="dxa"/>
            <w:tcBorders>
              <w:top w:val="single" w:sz="4" w:space="0" w:color="auto"/>
              <w:left w:val="nil"/>
              <w:bottom w:val="single" w:sz="4" w:space="0" w:color="auto"/>
              <w:right w:val="single" w:sz="4" w:space="0" w:color="auto"/>
            </w:tcBorders>
            <w:shd w:val="clear" w:color="auto" w:fill="auto"/>
            <w:vAlign w:val="center"/>
          </w:tcPr>
          <w:p w:rsidR="00B7745D" w:rsidRPr="004B3E83" w:rsidRDefault="00B7745D" w:rsidP="000B2365">
            <w:pPr>
              <w:spacing w:before="60" w:after="60"/>
              <w:jc w:val="left"/>
              <w:rPr>
                <w:rFonts w:eastAsia="Times New Roman" w:cs="Arial"/>
                <w:lang w:val="en-US" w:eastAsia="en-US"/>
              </w:rPr>
            </w:pPr>
            <w:r w:rsidRPr="004B3E83">
              <w:rPr>
                <w:rFonts w:eastAsia="Times New Roman" w:cs="Arial"/>
                <w:lang w:val="en-US" w:eastAsia="en-US"/>
              </w:rPr>
              <w:t>Deferred tax</w:t>
            </w:r>
          </w:p>
        </w:tc>
        <w:tc>
          <w:tcPr>
            <w:tcW w:w="6903" w:type="dxa"/>
            <w:tcBorders>
              <w:top w:val="single" w:sz="4" w:space="0" w:color="auto"/>
              <w:left w:val="nil"/>
              <w:bottom w:val="single" w:sz="4" w:space="0" w:color="auto"/>
              <w:right w:val="single" w:sz="4" w:space="0" w:color="auto"/>
            </w:tcBorders>
            <w:shd w:val="clear" w:color="auto" w:fill="auto"/>
            <w:vAlign w:val="center"/>
          </w:tcPr>
          <w:p w:rsidR="00B7745D" w:rsidRDefault="00B7745D" w:rsidP="000B2365">
            <w:pPr>
              <w:spacing w:before="60" w:after="60"/>
              <w:jc w:val="left"/>
              <w:rPr>
                <w:rFonts w:eastAsia="Times New Roman" w:cs="Arial"/>
                <w:lang w:val="en-US" w:eastAsia="en-US"/>
              </w:rPr>
            </w:pPr>
            <w:r w:rsidRPr="004B3E83">
              <w:rPr>
                <w:rFonts w:eastAsia="Times New Roman" w:cs="Arial"/>
                <w:lang w:val="en-US" w:eastAsia="en-US"/>
              </w:rPr>
              <w:t xml:space="preserve">Information on deferred tax in a </w:t>
            </w:r>
            <w:r w:rsidRPr="004B3E83">
              <w:rPr>
                <w:rFonts w:eastAsia="Times New Roman" w:cs="Arial"/>
                <w:b/>
                <w:bCs/>
                <w:lang w:val="en-US" w:eastAsia="en-US"/>
              </w:rPr>
              <w:t>deferred tax note</w:t>
            </w:r>
            <w:r w:rsidRPr="004B3E83">
              <w:rPr>
                <w:rFonts w:eastAsia="Times New Roman" w:cs="Arial"/>
                <w:lang w:val="en-US" w:eastAsia="en-US"/>
              </w:rPr>
              <w:t xml:space="preserve"> should be tagged with tags from the </w:t>
            </w:r>
            <w:r w:rsidRPr="004B3E83">
              <w:rPr>
                <w:rFonts w:eastAsia="Times New Roman" w:cs="Arial"/>
                <w:i/>
                <w:iCs/>
                <w:color w:val="006411"/>
                <w:lang w:val="en-US" w:eastAsia="en-US"/>
              </w:rPr>
              <w:t>Deferred taxation</w:t>
            </w:r>
            <w:r w:rsidRPr="004B3E83">
              <w:rPr>
                <w:rFonts w:eastAsia="Times New Roman" w:cs="Arial"/>
                <w:lang w:val="en-US" w:eastAsia="en-US"/>
              </w:rPr>
              <w:t xml:space="preserve"> section.   This section is intended to support general tagging of deferred tax assets and liabilities.  </w:t>
            </w:r>
          </w:p>
          <w:p w:rsidR="00B7745D" w:rsidRDefault="00B7745D" w:rsidP="000B2365">
            <w:pPr>
              <w:spacing w:before="60" w:after="60"/>
              <w:jc w:val="left"/>
              <w:rPr>
                <w:rFonts w:eastAsia="Times New Roman" w:cs="Arial"/>
                <w:lang w:val="en-US" w:eastAsia="en-US"/>
              </w:rPr>
            </w:pPr>
            <w:r w:rsidRPr="004B3E83">
              <w:rPr>
                <w:rFonts w:eastAsia="Times New Roman" w:cs="Arial"/>
                <w:lang w:val="en-US" w:eastAsia="en-US"/>
              </w:rPr>
              <w:t xml:space="preserve">Information related to deferred tax contained within a </w:t>
            </w:r>
            <w:r w:rsidRPr="004B3E83">
              <w:rPr>
                <w:rFonts w:eastAsia="Times New Roman" w:cs="Arial"/>
                <w:b/>
                <w:bCs/>
                <w:lang w:val="en-US" w:eastAsia="en-US"/>
              </w:rPr>
              <w:t>general provisions movement table</w:t>
            </w:r>
            <w:r w:rsidRPr="004B3E83">
              <w:rPr>
                <w:rFonts w:eastAsia="Times New Roman" w:cs="Arial"/>
                <w:lang w:val="en-US" w:eastAsia="en-US"/>
              </w:rPr>
              <w:t xml:space="preserve"> in a provisions note may be tagged with the appropriate   provisions-related tags from the </w:t>
            </w:r>
            <w:r w:rsidRPr="004B3E83">
              <w:rPr>
                <w:rFonts w:eastAsia="Times New Roman" w:cs="Arial"/>
                <w:i/>
                <w:iCs/>
                <w:color w:val="006411"/>
                <w:lang w:val="en-US" w:eastAsia="en-US"/>
              </w:rPr>
              <w:t>Provisions</w:t>
            </w:r>
            <w:r w:rsidRPr="004B3E83">
              <w:rPr>
                <w:rFonts w:eastAsia="Times New Roman" w:cs="Arial"/>
                <w:lang w:val="en-US" w:eastAsia="en-US"/>
              </w:rPr>
              <w:t xml:space="preserve"> section in combination with the '</w:t>
            </w:r>
            <w:r w:rsidRPr="004B3E83">
              <w:rPr>
                <w:rFonts w:eastAsia="Times New Roman" w:cs="Arial"/>
                <w:i/>
                <w:iCs/>
                <w:color w:val="DD0806"/>
                <w:lang w:val="en-US" w:eastAsia="en-US"/>
              </w:rPr>
              <w:t>Deferred taxation</w:t>
            </w:r>
            <w:r w:rsidRPr="004B3E83">
              <w:rPr>
                <w:rFonts w:eastAsia="Times New Roman" w:cs="Arial"/>
                <w:lang w:val="en-US" w:eastAsia="en-US"/>
              </w:rPr>
              <w:t xml:space="preserve">' dimension tag, in preference to using the tags from the </w:t>
            </w:r>
            <w:r w:rsidRPr="004B3E83">
              <w:rPr>
                <w:rFonts w:eastAsia="Times New Roman" w:cs="Arial"/>
                <w:i/>
                <w:iCs/>
                <w:color w:val="006411"/>
                <w:lang w:val="en-US" w:eastAsia="en-US"/>
              </w:rPr>
              <w:t>Deferred taxation</w:t>
            </w:r>
            <w:r w:rsidRPr="004B3E83">
              <w:rPr>
                <w:rFonts w:eastAsia="Times New Roman" w:cs="Arial"/>
                <w:lang w:val="en-US" w:eastAsia="en-US"/>
              </w:rPr>
              <w:t xml:space="preserve"> section.   (Note that the dimension tag '</w:t>
            </w:r>
            <w:r w:rsidRPr="004B3E83">
              <w:rPr>
                <w:rFonts w:eastAsia="Times New Roman" w:cs="Arial"/>
                <w:i/>
                <w:iCs/>
                <w:color w:val="DD0806"/>
                <w:lang w:val="en-US" w:eastAsia="en-US"/>
              </w:rPr>
              <w:t>Taxation, including deferred taxation</w:t>
            </w:r>
            <w:r w:rsidRPr="004B3E83">
              <w:rPr>
                <w:rFonts w:eastAsia="Times New Roman" w:cs="Arial"/>
                <w:lang w:val="en-US" w:eastAsia="en-US"/>
              </w:rPr>
              <w:t xml:space="preserve">' identifies total provisions for taxation, not just provisions for deferred tax.)    </w:t>
            </w:r>
          </w:p>
          <w:p w:rsidR="00B7745D" w:rsidRPr="004B3E83" w:rsidRDefault="00B7745D" w:rsidP="000B2365">
            <w:pPr>
              <w:spacing w:before="60" w:after="60"/>
              <w:jc w:val="left"/>
              <w:rPr>
                <w:rFonts w:eastAsia="Times New Roman" w:cs="Arial"/>
                <w:lang w:val="en-US" w:eastAsia="en-US"/>
              </w:rPr>
            </w:pPr>
            <w:r w:rsidRPr="004B3E83">
              <w:rPr>
                <w:rFonts w:eastAsia="Times New Roman" w:cs="Arial"/>
                <w:lang w:val="en-US" w:eastAsia="en-US"/>
              </w:rPr>
              <w:t xml:space="preserve">There is some overlap in meaning of tags between the deferred tax and provisions sections as far as deferred tax is concerned.  The provisions tags are intended for tagging general provisions disclosures.  </w:t>
            </w:r>
          </w:p>
        </w:tc>
      </w:tr>
      <w:tr w:rsidR="00B7745D" w:rsidRPr="004B3E83" w:rsidTr="00B7745D">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7745D" w:rsidRDefault="00B7745D">
            <w:pPr>
              <w:rPr>
                <w:rFonts w:cs="Arial"/>
              </w:rPr>
            </w:pPr>
            <w:r>
              <w:t>9.25</w:t>
            </w:r>
          </w:p>
        </w:tc>
        <w:tc>
          <w:tcPr>
            <w:tcW w:w="1722" w:type="dxa"/>
            <w:tcBorders>
              <w:top w:val="single" w:sz="4" w:space="0" w:color="auto"/>
              <w:left w:val="nil"/>
              <w:bottom w:val="single" w:sz="4" w:space="0" w:color="auto"/>
              <w:right w:val="single" w:sz="4" w:space="0" w:color="auto"/>
            </w:tcBorders>
            <w:shd w:val="clear" w:color="auto" w:fill="auto"/>
            <w:vAlign w:val="center"/>
          </w:tcPr>
          <w:p w:rsidR="00B7745D" w:rsidRPr="004B3E83" w:rsidRDefault="00B7745D" w:rsidP="000B2365">
            <w:pPr>
              <w:spacing w:before="60" w:after="60"/>
              <w:jc w:val="left"/>
              <w:rPr>
                <w:rFonts w:eastAsia="Times New Roman" w:cs="Arial"/>
                <w:lang w:val="en-US" w:eastAsia="en-US"/>
              </w:rPr>
            </w:pPr>
            <w:r w:rsidRPr="004B3E83">
              <w:rPr>
                <w:rFonts w:eastAsia="Times New Roman" w:cs="Arial"/>
                <w:lang w:val="en-US" w:eastAsia="en-US"/>
              </w:rPr>
              <w:t>Net and gross trade receivables</w:t>
            </w:r>
          </w:p>
        </w:tc>
        <w:tc>
          <w:tcPr>
            <w:tcW w:w="6903" w:type="dxa"/>
            <w:tcBorders>
              <w:top w:val="single" w:sz="4" w:space="0" w:color="auto"/>
              <w:left w:val="nil"/>
              <w:bottom w:val="single" w:sz="4" w:space="0" w:color="auto"/>
              <w:right w:val="single" w:sz="4" w:space="0" w:color="auto"/>
            </w:tcBorders>
            <w:shd w:val="clear" w:color="auto" w:fill="auto"/>
            <w:vAlign w:val="center"/>
          </w:tcPr>
          <w:p w:rsidR="00B7745D" w:rsidRPr="004B3E83" w:rsidRDefault="00B7745D" w:rsidP="000B2365">
            <w:pPr>
              <w:spacing w:before="60" w:after="60"/>
              <w:jc w:val="left"/>
              <w:rPr>
                <w:rFonts w:eastAsia="Times New Roman" w:cs="Arial"/>
                <w:lang w:val="en-US" w:eastAsia="en-US"/>
              </w:rPr>
            </w:pPr>
            <w:r w:rsidRPr="004B3E83">
              <w:rPr>
                <w:rFonts w:eastAsia="Times New Roman" w:cs="Arial"/>
                <w:lang w:val="en-US" w:eastAsia="en-US"/>
              </w:rPr>
              <w:t>If a company distinguishes between net and gross trade receivables (for example because of allowances for doubtful receivables), the tag '</w:t>
            </w:r>
            <w:r w:rsidRPr="007A7E70">
              <w:rPr>
                <w:rFonts w:eastAsia="Times New Roman" w:cs="Arial"/>
                <w:i/>
                <w:iCs/>
                <w:color w:val="DD0806"/>
                <w:lang w:val="en-US" w:eastAsia="en-US"/>
              </w:rPr>
              <w:t>Trade receivables</w:t>
            </w:r>
            <w:r w:rsidRPr="004B3E83">
              <w:rPr>
                <w:rFonts w:eastAsia="Times New Roman" w:cs="Arial"/>
                <w:lang w:val="en-US" w:eastAsia="en-US"/>
              </w:rPr>
              <w:t xml:space="preserve">' should be used for the net value.  The gross amount cannot be tagged.  If a company makes no distinction then the tag should be used for the amount reported for trade receivables.    </w:t>
            </w:r>
          </w:p>
        </w:tc>
      </w:tr>
      <w:tr w:rsidR="00B7745D" w:rsidRPr="004B3E83" w:rsidTr="00B7745D">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7745D" w:rsidRDefault="00B7745D">
            <w:pPr>
              <w:rPr>
                <w:rFonts w:cs="Arial"/>
              </w:rPr>
            </w:pPr>
            <w:r>
              <w:t>9.26</w:t>
            </w:r>
          </w:p>
        </w:tc>
        <w:tc>
          <w:tcPr>
            <w:tcW w:w="1722" w:type="dxa"/>
            <w:tcBorders>
              <w:top w:val="single" w:sz="4" w:space="0" w:color="auto"/>
              <w:left w:val="nil"/>
              <w:bottom w:val="single" w:sz="4" w:space="0" w:color="auto"/>
              <w:right w:val="single" w:sz="4" w:space="0" w:color="auto"/>
            </w:tcBorders>
            <w:shd w:val="clear" w:color="auto" w:fill="auto"/>
            <w:vAlign w:val="center"/>
          </w:tcPr>
          <w:p w:rsidR="00B7745D" w:rsidRPr="004B3E83" w:rsidRDefault="00B7745D" w:rsidP="000B2365">
            <w:pPr>
              <w:spacing w:before="60" w:after="60"/>
              <w:jc w:val="left"/>
              <w:rPr>
                <w:rFonts w:eastAsia="Times New Roman" w:cs="Arial"/>
                <w:lang w:val="en-US" w:eastAsia="en-US"/>
              </w:rPr>
            </w:pPr>
            <w:r w:rsidRPr="004B3E83">
              <w:rPr>
                <w:rFonts w:eastAsia="Times New Roman" w:cs="Arial"/>
                <w:lang w:val="en-US" w:eastAsia="en-US"/>
              </w:rPr>
              <w:t>Contingent liabilities</w:t>
            </w:r>
          </w:p>
        </w:tc>
        <w:tc>
          <w:tcPr>
            <w:tcW w:w="6903" w:type="dxa"/>
            <w:tcBorders>
              <w:top w:val="single" w:sz="4" w:space="0" w:color="auto"/>
              <w:left w:val="nil"/>
              <w:bottom w:val="single" w:sz="4" w:space="0" w:color="auto"/>
              <w:right w:val="single" w:sz="4" w:space="0" w:color="auto"/>
            </w:tcBorders>
            <w:shd w:val="clear" w:color="auto" w:fill="auto"/>
            <w:vAlign w:val="center"/>
          </w:tcPr>
          <w:p w:rsidR="00B7745D" w:rsidRPr="004B3E83" w:rsidRDefault="00B7745D" w:rsidP="000B2365">
            <w:pPr>
              <w:spacing w:before="60" w:after="60"/>
              <w:jc w:val="left"/>
              <w:rPr>
                <w:rFonts w:eastAsia="Times New Roman" w:cs="Arial"/>
                <w:lang w:val="en-US" w:eastAsia="en-US"/>
              </w:rPr>
            </w:pPr>
            <w:r w:rsidRPr="004B3E83">
              <w:rPr>
                <w:rFonts w:eastAsia="Times New Roman" w:cs="Arial"/>
                <w:lang w:val="en-US" w:eastAsia="en-US"/>
              </w:rPr>
              <w:t>Contingent liabilities are represented by the tag '</w:t>
            </w:r>
            <w:r w:rsidRPr="007A7E70">
              <w:rPr>
                <w:rFonts w:eastAsia="Times New Roman" w:cs="Arial"/>
                <w:i/>
                <w:iCs/>
                <w:color w:val="DD0806"/>
                <w:lang w:val="en-US" w:eastAsia="en-US"/>
              </w:rPr>
              <w:t>Contingent considerations, liabilities</w:t>
            </w:r>
            <w:r w:rsidRPr="004B3E83">
              <w:rPr>
                <w:rFonts w:eastAsia="Times New Roman" w:cs="Arial"/>
                <w:lang w:val="en-US" w:eastAsia="en-US"/>
              </w:rPr>
              <w:t>’ which</w:t>
            </w:r>
            <w:r>
              <w:rPr>
                <w:rFonts w:eastAsia="Times New Roman" w:cs="Arial"/>
                <w:lang w:val="en-US" w:eastAsia="en-US"/>
              </w:rPr>
              <w:t xml:space="preserve"> can be found in the </w:t>
            </w:r>
            <w:r w:rsidRPr="005A3D70">
              <w:rPr>
                <w:rFonts w:eastAsia="Times New Roman" w:cs="Arial"/>
                <w:i/>
                <w:iCs/>
                <w:color w:val="008000"/>
                <w:lang w:val="en-US" w:eastAsia="en-US"/>
              </w:rPr>
              <w:t>Commitments, contingent assets and liabilities</w:t>
            </w:r>
            <w:r w:rsidRPr="004B3E83">
              <w:rPr>
                <w:rFonts w:eastAsia="Times New Roman" w:cs="Arial"/>
                <w:lang w:val="en-US" w:eastAsia="en-US"/>
              </w:rPr>
              <w:t xml:space="preserve"> section.  Different classes of liabilities are represented through the </w:t>
            </w:r>
            <w:r w:rsidRPr="008F256A">
              <w:rPr>
                <w:rFonts w:eastAsia="Times New Roman" w:cs="Arial"/>
                <w:i/>
                <w:lang w:val="en-US" w:eastAsia="en-US"/>
              </w:rPr>
              <w:t>Contingent liabilities classes</w:t>
            </w:r>
            <w:r>
              <w:rPr>
                <w:rFonts w:eastAsia="Times New Roman" w:cs="Arial"/>
                <w:lang w:val="en-US" w:eastAsia="en-US"/>
              </w:rPr>
              <w:t xml:space="preserve"> </w:t>
            </w:r>
            <w:r w:rsidRPr="004B3E83">
              <w:rPr>
                <w:rFonts w:eastAsia="Times New Roman" w:cs="Arial"/>
                <w:lang w:val="en-US" w:eastAsia="en-US"/>
              </w:rPr>
              <w:t xml:space="preserve">dimension.  </w:t>
            </w:r>
          </w:p>
        </w:tc>
      </w:tr>
      <w:tr w:rsidR="00B7745D" w:rsidRPr="004B3E83" w:rsidTr="00B7745D">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B7745D" w:rsidRDefault="00B7745D">
            <w:pPr>
              <w:rPr>
                <w:rFonts w:cs="Arial"/>
              </w:rPr>
            </w:pPr>
            <w:r w:rsidRPr="00B7745D">
              <w:rPr>
                <w:highlight w:val="yellow"/>
              </w:rPr>
              <w:t>9.27</w:t>
            </w:r>
          </w:p>
        </w:tc>
        <w:tc>
          <w:tcPr>
            <w:tcW w:w="1722" w:type="dxa"/>
            <w:tcBorders>
              <w:top w:val="single" w:sz="4" w:space="0" w:color="auto"/>
              <w:left w:val="nil"/>
              <w:bottom w:val="single" w:sz="4" w:space="0" w:color="auto"/>
              <w:right w:val="single" w:sz="4" w:space="0" w:color="auto"/>
            </w:tcBorders>
            <w:shd w:val="clear" w:color="auto" w:fill="auto"/>
            <w:vAlign w:val="center"/>
          </w:tcPr>
          <w:p w:rsidR="00B7745D" w:rsidRPr="00D86195" w:rsidRDefault="00B7745D" w:rsidP="000B2365">
            <w:pPr>
              <w:spacing w:before="60" w:after="60"/>
              <w:jc w:val="left"/>
              <w:rPr>
                <w:rFonts w:eastAsia="Times New Roman" w:cs="Arial"/>
                <w:highlight w:val="yellow"/>
                <w:lang w:val="en-US" w:eastAsia="en-US"/>
              </w:rPr>
            </w:pPr>
            <w:r w:rsidRPr="00D86195">
              <w:rPr>
                <w:rFonts w:eastAsia="Times New Roman" w:cs="Arial"/>
                <w:highlight w:val="yellow"/>
                <w:lang w:val="en-US" w:eastAsia="en-US"/>
              </w:rPr>
              <w:t>Investment property</w:t>
            </w:r>
          </w:p>
        </w:tc>
        <w:tc>
          <w:tcPr>
            <w:tcW w:w="6903" w:type="dxa"/>
            <w:tcBorders>
              <w:top w:val="single" w:sz="4" w:space="0" w:color="auto"/>
              <w:left w:val="nil"/>
              <w:bottom w:val="single" w:sz="4" w:space="0" w:color="auto"/>
              <w:right w:val="single" w:sz="4" w:space="0" w:color="auto"/>
            </w:tcBorders>
            <w:shd w:val="clear" w:color="auto" w:fill="auto"/>
            <w:vAlign w:val="center"/>
          </w:tcPr>
          <w:p w:rsidR="00B7745D" w:rsidRPr="004B3E83" w:rsidRDefault="00B7745D" w:rsidP="000B2365">
            <w:pPr>
              <w:spacing w:before="60" w:after="60"/>
              <w:jc w:val="left"/>
              <w:rPr>
                <w:rFonts w:eastAsia="Times New Roman" w:cs="Arial"/>
                <w:lang w:val="en-US" w:eastAsia="en-US"/>
              </w:rPr>
            </w:pPr>
            <w:r w:rsidRPr="004B3E83">
              <w:rPr>
                <w:rFonts w:eastAsia="Times New Roman" w:cs="Arial"/>
                <w:lang w:val="en-US" w:eastAsia="en-US"/>
              </w:rPr>
              <w:t>The taxonomy heading '</w:t>
            </w:r>
            <w:r w:rsidRPr="004B3E83">
              <w:rPr>
                <w:rFonts w:eastAsia="Times New Roman" w:cs="Arial"/>
                <w:i/>
                <w:iCs/>
                <w:lang w:val="en-US" w:eastAsia="en-US"/>
              </w:rPr>
              <w:t>Income and expense recognised for investment property [heading]</w:t>
            </w:r>
            <w:r w:rsidRPr="004B3E83">
              <w:rPr>
                <w:rFonts w:eastAsia="Times New Roman" w:cs="Arial"/>
                <w:lang w:val="en-US" w:eastAsia="en-US"/>
              </w:rPr>
              <w:t xml:space="preserve">' is not intended to be used as a tag.  However, it has not been set to </w:t>
            </w:r>
            <w:r w:rsidRPr="004B3E83">
              <w:rPr>
                <w:rFonts w:eastAsia="Times New Roman" w:cs="Arial"/>
                <w:i/>
                <w:iCs/>
                <w:lang w:val="en-US" w:eastAsia="en-US"/>
              </w:rPr>
              <w:t>abstract</w:t>
            </w:r>
            <w:r w:rsidRPr="004B3E83">
              <w:rPr>
                <w:rFonts w:eastAsia="Times New Roman" w:cs="Arial"/>
                <w:lang w:val="en-US" w:eastAsia="en-US"/>
              </w:rPr>
              <w:t xml:space="preserve">, so could in theory be used for tagging.  Preparers are recommended </w:t>
            </w:r>
            <w:r w:rsidRPr="004B3E83">
              <w:rPr>
                <w:rFonts w:eastAsia="Times New Roman" w:cs="Arial"/>
                <w:b/>
                <w:bCs/>
                <w:lang w:val="en-US" w:eastAsia="en-US"/>
              </w:rPr>
              <w:t>not</w:t>
            </w:r>
            <w:r w:rsidRPr="004B3E83">
              <w:rPr>
                <w:rFonts w:eastAsia="Times New Roman" w:cs="Arial"/>
                <w:lang w:val="en-US" w:eastAsia="en-US"/>
              </w:rPr>
              <w:t xml:space="preserve"> to use it, but If it is used, this will not cause an XBRL validation error.  </w:t>
            </w:r>
          </w:p>
        </w:tc>
      </w:tr>
      <w:tr w:rsidR="004B3E83" w:rsidRPr="004B3E83" w:rsidTr="00B7745D">
        <w:trPr>
          <w:cantSplit/>
          <w:trHeight w:val="240"/>
        </w:trPr>
        <w:tc>
          <w:tcPr>
            <w:tcW w:w="606" w:type="dxa"/>
            <w:tcBorders>
              <w:top w:val="single" w:sz="4" w:space="0" w:color="auto"/>
              <w:left w:val="single" w:sz="4" w:space="0" w:color="auto"/>
              <w:bottom w:val="single" w:sz="4" w:space="0" w:color="auto"/>
              <w:right w:val="single" w:sz="4" w:space="0" w:color="auto"/>
            </w:tcBorders>
            <w:noWrap/>
            <w:vAlign w:val="center"/>
          </w:tcPr>
          <w:p w:rsidR="004B3E83" w:rsidRPr="004B3E83" w:rsidRDefault="004B3E83" w:rsidP="000B2365">
            <w:pPr>
              <w:spacing w:before="60" w:after="60"/>
              <w:jc w:val="left"/>
              <w:rPr>
                <w:rFonts w:eastAsia="Times New Roman" w:cs="Arial"/>
                <w:lang w:val="en-US" w:eastAsia="en-US"/>
              </w:rPr>
            </w:pPr>
            <w:r w:rsidRPr="004B3E83">
              <w:rPr>
                <w:rFonts w:eastAsia="Times New Roman" w:cs="Arial"/>
                <w:lang w:val="en-US" w:eastAsia="en-US"/>
              </w:rPr>
              <w:lastRenderedPageBreak/>
              <w:t>9.2</w:t>
            </w:r>
            <w:r w:rsidR="00B7745D">
              <w:rPr>
                <w:rFonts w:eastAsia="Times New Roman" w:cs="Arial"/>
                <w:lang w:val="en-US" w:eastAsia="en-US"/>
              </w:rPr>
              <w:t>8</w:t>
            </w:r>
          </w:p>
        </w:tc>
        <w:tc>
          <w:tcPr>
            <w:tcW w:w="1722" w:type="dxa"/>
            <w:tcBorders>
              <w:top w:val="single" w:sz="4" w:space="0" w:color="auto"/>
              <w:left w:val="nil"/>
              <w:bottom w:val="single" w:sz="4" w:space="0" w:color="auto"/>
              <w:right w:val="single" w:sz="4" w:space="0" w:color="auto"/>
            </w:tcBorders>
            <w:shd w:val="clear" w:color="auto" w:fill="auto"/>
            <w:vAlign w:val="center"/>
          </w:tcPr>
          <w:p w:rsidR="004B3E83" w:rsidRPr="004B3E83" w:rsidRDefault="004B3E83" w:rsidP="000B2365">
            <w:pPr>
              <w:spacing w:before="60" w:after="60"/>
              <w:jc w:val="left"/>
              <w:rPr>
                <w:rFonts w:eastAsia="Times New Roman" w:cs="Arial"/>
                <w:lang w:val="en-US" w:eastAsia="en-US"/>
              </w:rPr>
            </w:pPr>
            <w:bookmarkStart w:id="43" w:name="XR_InvPropMod"/>
            <w:r w:rsidRPr="004B3E83">
              <w:rPr>
                <w:rFonts w:eastAsia="Times New Roman" w:cs="Arial"/>
                <w:lang w:val="en-US" w:eastAsia="en-US"/>
              </w:rPr>
              <w:t>Investment property measurement model</w:t>
            </w:r>
            <w:bookmarkEnd w:id="43"/>
          </w:p>
        </w:tc>
        <w:tc>
          <w:tcPr>
            <w:tcW w:w="6903" w:type="dxa"/>
            <w:tcBorders>
              <w:top w:val="single" w:sz="4" w:space="0" w:color="auto"/>
              <w:left w:val="nil"/>
              <w:bottom w:val="single" w:sz="4" w:space="0" w:color="auto"/>
              <w:right w:val="single" w:sz="4" w:space="0" w:color="auto"/>
            </w:tcBorders>
            <w:shd w:val="clear" w:color="auto" w:fill="auto"/>
            <w:vAlign w:val="center"/>
          </w:tcPr>
          <w:p w:rsidR="004B3E83" w:rsidRPr="0097623E" w:rsidRDefault="004B3E83" w:rsidP="000B2365">
            <w:pPr>
              <w:spacing w:before="60" w:after="60"/>
              <w:jc w:val="left"/>
              <w:rPr>
                <w:rFonts w:eastAsia="Times New Roman" w:cs="Arial"/>
                <w:lang w:val="en-US" w:eastAsia="en-US"/>
              </w:rPr>
            </w:pPr>
            <w:r w:rsidRPr="004B3E83">
              <w:rPr>
                <w:rFonts w:eastAsia="Times New Roman" w:cs="Arial"/>
                <w:lang w:val="en-US" w:eastAsia="en-US"/>
              </w:rPr>
              <w:t>The tag '</w:t>
            </w:r>
            <w:r w:rsidRPr="007A7E70">
              <w:rPr>
                <w:rFonts w:eastAsia="Times New Roman" w:cs="Arial"/>
                <w:i/>
                <w:iCs/>
                <w:color w:val="DD0806"/>
                <w:lang w:val="en-US" w:eastAsia="en-US"/>
              </w:rPr>
              <w:t>Model used to measure investment property</w:t>
            </w:r>
            <w:r w:rsidRPr="004B3E83">
              <w:rPr>
                <w:rFonts w:eastAsia="Times New Roman" w:cs="Arial"/>
                <w:lang w:val="en-US" w:eastAsia="en-US"/>
              </w:rPr>
              <w:t>' may only be use</w:t>
            </w:r>
            <w:r w:rsidR="007A7E70">
              <w:rPr>
                <w:rFonts w:eastAsia="Times New Roman" w:cs="Arial"/>
                <w:lang w:val="en-US" w:eastAsia="en-US"/>
              </w:rPr>
              <w:t>d</w:t>
            </w:r>
            <w:r w:rsidRPr="004B3E83">
              <w:rPr>
                <w:rFonts w:eastAsia="Times New Roman" w:cs="Arial"/>
                <w:lang w:val="en-US" w:eastAsia="en-US"/>
              </w:rPr>
              <w:t xml:space="preserve"> to tag two predefined values:  "Cost model" and "Fair value model".  It will not be valid if used with other text.  If the tag is required, but appropriate text does not exist in the accounts, the text may be entered in the ix:hidden section.  For more information on tags which must be used with predefined values, see </w:t>
            </w:r>
            <w:hyperlink w:anchor="XR_PredefValues" w:history="1">
              <w:r w:rsidR="0097623E" w:rsidRPr="0097623E">
                <w:rPr>
                  <w:rStyle w:val="Hyperlink"/>
                  <w:rFonts w:eastAsia="Times New Roman" w:cs="Arial"/>
                  <w:lang w:val="en-US" w:eastAsia="en-US"/>
                </w:rPr>
                <w:t>ite</w:t>
              </w:r>
              <w:r w:rsidR="0097623E" w:rsidRPr="0097623E">
                <w:rPr>
                  <w:rStyle w:val="Hyperlink"/>
                  <w:rFonts w:eastAsia="Times New Roman" w:cs="Arial"/>
                  <w:lang w:val="en-US" w:eastAsia="en-US"/>
                </w:rPr>
                <w:t>m</w:t>
              </w:r>
              <w:r w:rsidR="0097623E" w:rsidRPr="0097623E">
                <w:rPr>
                  <w:rStyle w:val="Hyperlink"/>
                  <w:rFonts w:eastAsia="Times New Roman" w:cs="Arial"/>
                  <w:lang w:val="en-US" w:eastAsia="en-US"/>
                </w:rPr>
                <w:t xml:space="preserve"> 4.24</w:t>
              </w:r>
            </w:hyperlink>
            <w:r w:rsidR="0097623E" w:rsidRPr="0097623E">
              <w:rPr>
                <w:rFonts w:eastAsia="Times New Roman" w:cs="Arial"/>
                <w:lang w:val="en-US" w:eastAsia="en-US"/>
              </w:rPr>
              <w:t xml:space="preserve"> under General points</w:t>
            </w:r>
            <w:r w:rsidR="005A3D70">
              <w:rPr>
                <w:rFonts w:eastAsia="Times New Roman" w:cs="Arial"/>
                <w:lang w:val="en-US" w:eastAsia="en-US"/>
              </w:rPr>
              <w:t xml:space="preserve"> above</w:t>
            </w:r>
            <w:r w:rsidR="0097623E" w:rsidRPr="0097623E">
              <w:rPr>
                <w:rFonts w:eastAsia="Times New Roman" w:cs="Arial"/>
                <w:lang w:val="en-US" w:eastAsia="en-US"/>
              </w:rPr>
              <w:t xml:space="preserve"> and </w:t>
            </w:r>
            <w:hyperlink w:anchor="_14_Predefined_value" w:history="1">
              <w:r w:rsidR="0097623E" w:rsidRPr="00AB6D8D">
                <w:rPr>
                  <w:rStyle w:val="Hyperlink"/>
                  <w:rFonts w:eastAsia="Times New Roman" w:cs="Arial"/>
                  <w:lang w:val="en-US" w:eastAsia="en-US"/>
                </w:rPr>
                <w:t xml:space="preserve">section </w:t>
              </w:r>
              <w:r w:rsidR="00AB6D8D" w:rsidRPr="00AB6D8D">
                <w:rPr>
                  <w:rStyle w:val="Hyperlink"/>
                  <w:rFonts w:eastAsia="Times New Roman" w:cs="Arial"/>
                  <w:lang w:val="en-US" w:eastAsia="en-US"/>
                </w:rPr>
                <w:t>14</w:t>
              </w:r>
            </w:hyperlink>
            <w:r w:rsidR="00AB6D8D">
              <w:rPr>
                <w:rFonts w:eastAsia="Times New Roman" w:cs="Arial"/>
                <w:lang w:val="en-US" w:eastAsia="en-US"/>
              </w:rPr>
              <w:t xml:space="preserve">, which provides a full list of tags carrying predefined values.  </w:t>
            </w:r>
          </w:p>
        </w:tc>
      </w:tr>
    </w:tbl>
    <w:p w:rsidR="00B83151" w:rsidRDefault="00B83151" w:rsidP="00B83151">
      <w:pPr>
        <w:rPr>
          <w:rFonts w:cs="Arial"/>
        </w:rPr>
      </w:pPr>
    </w:p>
    <w:p w:rsidR="00B83151" w:rsidRPr="004B3E83" w:rsidRDefault="004B3E83" w:rsidP="002B5133">
      <w:pPr>
        <w:pStyle w:val="Heading2"/>
      </w:pPr>
      <w:bookmarkStart w:id="44" w:name="_Toc292036846"/>
      <w:r w:rsidRPr="004B3E83">
        <w:t xml:space="preserve">IFRS </w:t>
      </w:r>
      <w:r>
        <w:t>–</w:t>
      </w:r>
      <w:r w:rsidRPr="004B3E83">
        <w:t xml:space="preserve"> </w:t>
      </w:r>
      <w:r>
        <w:t>F</w:t>
      </w:r>
      <w:r w:rsidRPr="004B3E83">
        <w:t>inancial instrument risks</w:t>
      </w:r>
      <w:bookmarkEnd w:id="44"/>
    </w:p>
    <w:p w:rsidR="00B83151" w:rsidRDefault="00B83151" w:rsidP="00B83151">
      <w:pPr>
        <w:rPr>
          <w:rFonts w:cs="Arial"/>
        </w:rPr>
      </w:pPr>
    </w:p>
    <w:tbl>
      <w:tblPr>
        <w:tblW w:w="9231" w:type="dxa"/>
        <w:tblInd w:w="91" w:type="dxa"/>
        <w:tblLook w:val="0000"/>
      </w:tblPr>
      <w:tblGrid>
        <w:gridCol w:w="606"/>
        <w:gridCol w:w="1722"/>
        <w:gridCol w:w="6903"/>
      </w:tblGrid>
      <w:tr w:rsidR="00B83151" w:rsidRPr="00D50F7D" w:rsidTr="008A19C4">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ID</w:t>
            </w:r>
          </w:p>
        </w:tc>
        <w:tc>
          <w:tcPr>
            <w:tcW w:w="1728" w:type="dxa"/>
            <w:tcBorders>
              <w:top w:val="single" w:sz="4" w:space="0" w:color="auto"/>
              <w:left w:val="nil"/>
              <w:bottom w:val="single" w:sz="4" w:space="0" w:color="auto"/>
              <w:right w:val="single" w:sz="4" w:space="0" w:color="auto"/>
            </w:tcBorders>
            <w:shd w:val="clear" w:color="auto" w:fill="auto"/>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Item</w:t>
            </w:r>
          </w:p>
        </w:tc>
        <w:tc>
          <w:tcPr>
            <w:tcW w:w="7008" w:type="dxa"/>
            <w:tcBorders>
              <w:top w:val="single" w:sz="4" w:space="0" w:color="auto"/>
              <w:left w:val="nil"/>
              <w:bottom w:val="single" w:sz="4" w:space="0" w:color="auto"/>
              <w:right w:val="single" w:sz="4" w:space="0" w:color="auto"/>
            </w:tcBorders>
            <w:shd w:val="clear" w:color="auto" w:fill="auto"/>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Description</w:t>
            </w:r>
          </w:p>
        </w:tc>
      </w:tr>
      <w:tr w:rsidR="004B3E83" w:rsidRPr="004B3E83" w:rsidTr="004B3E83">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3E83" w:rsidRPr="004B3E83" w:rsidRDefault="00B7745D" w:rsidP="000B2365">
            <w:pPr>
              <w:spacing w:before="60" w:after="60"/>
              <w:jc w:val="left"/>
              <w:rPr>
                <w:rFonts w:eastAsia="Times New Roman" w:cs="Arial"/>
                <w:lang w:val="en-US" w:eastAsia="en-US"/>
              </w:rPr>
            </w:pPr>
            <w:r>
              <w:rPr>
                <w:rFonts w:eastAsia="Times New Roman" w:cs="Arial"/>
                <w:lang w:val="en-US" w:eastAsia="en-US"/>
              </w:rPr>
              <w:t>9.29</w:t>
            </w:r>
          </w:p>
        </w:tc>
        <w:tc>
          <w:tcPr>
            <w:tcW w:w="1728" w:type="dxa"/>
            <w:tcBorders>
              <w:top w:val="single" w:sz="4" w:space="0" w:color="auto"/>
              <w:left w:val="nil"/>
              <w:bottom w:val="single" w:sz="4" w:space="0" w:color="auto"/>
              <w:right w:val="single" w:sz="4" w:space="0" w:color="auto"/>
            </w:tcBorders>
            <w:shd w:val="clear" w:color="auto" w:fill="auto"/>
            <w:vAlign w:val="center"/>
          </w:tcPr>
          <w:p w:rsidR="004B3E83" w:rsidRPr="004B3E83" w:rsidRDefault="004B3E83" w:rsidP="000B2365">
            <w:pPr>
              <w:spacing w:before="60" w:after="60"/>
              <w:jc w:val="left"/>
              <w:rPr>
                <w:rFonts w:eastAsia="Times New Roman" w:cs="Arial"/>
                <w:lang w:val="en-US" w:eastAsia="en-US"/>
              </w:rPr>
            </w:pPr>
            <w:bookmarkStart w:id="45" w:name="XR_FinInst"/>
            <w:r w:rsidRPr="004B3E83">
              <w:rPr>
                <w:rFonts w:eastAsia="Times New Roman" w:cs="Arial"/>
                <w:lang w:val="en-US" w:eastAsia="en-US"/>
              </w:rPr>
              <w:t>Financial instrument risks</w:t>
            </w:r>
            <w:bookmarkEnd w:id="45"/>
          </w:p>
        </w:tc>
        <w:tc>
          <w:tcPr>
            <w:tcW w:w="7008" w:type="dxa"/>
            <w:tcBorders>
              <w:top w:val="single" w:sz="4" w:space="0" w:color="auto"/>
              <w:left w:val="nil"/>
              <w:bottom w:val="single" w:sz="4" w:space="0" w:color="auto"/>
              <w:right w:val="single" w:sz="4" w:space="0" w:color="auto"/>
            </w:tcBorders>
            <w:shd w:val="clear" w:color="auto" w:fill="auto"/>
            <w:vAlign w:val="center"/>
          </w:tcPr>
          <w:p w:rsidR="0043483A" w:rsidRDefault="004B3E83" w:rsidP="000B2365">
            <w:pPr>
              <w:spacing w:before="60" w:after="60"/>
              <w:jc w:val="left"/>
              <w:rPr>
                <w:rFonts w:eastAsia="Times New Roman" w:cs="Arial"/>
                <w:lang w:val="en-US" w:eastAsia="en-US"/>
              </w:rPr>
            </w:pPr>
            <w:r w:rsidRPr="004B3E83">
              <w:rPr>
                <w:rFonts w:eastAsia="Times New Roman" w:cs="Arial"/>
                <w:lang w:val="en-US" w:eastAsia="en-US"/>
              </w:rPr>
              <w:t xml:space="preserve">Tags for descriptions of financial instrument and market risk are in the </w:t>
            </w:r>
            <w:r w:rsidRPr="004B3E83">
              <w:rPr>
                <w:rFonts w:eastAsia="Times New Roman" w:cs="Arial"/>
                <w:i/>
                <w:iCs/>
                <w:lang w:val="en-US" w:eastAsia="en-US"/>
              </w:rPr>
              <w:t>Financial risk and capital risk management</w:t>
            </w:r>
            <w:r w:rsidRPr="004B3E83">
              <w:rPr>
                <w:rFonts w:eastAsia="Times New Roman" w:cs="Arial"/>
                <w:lang w:val="en-US" w:eastAsia="en-US"/>
              </w:rPr>
              <w:t xml:space="preserve"> section.  (This does not cover general business risks, which do not need to be tagged.)  Tags for </w:t>
            </w:r>
            <w:r w:rsidRPr="004B3E83">
              <w:rPr>
                <w:rFonts w:eastAsia="Times New Roman" w:cs="Arial"/>
                <w:b/>
                <w:bCs/>
                <w:lang w:val="en-US" w:eastAsia="en-US"/>
              </w:rPr>
              <w:t>currency risk</w:t>
            </w:r>
            <w:r w:rsidRPr="004B3E83">
              <w:rPr>
                <w:rFonts w:eastAsia="Times New Roman" w:cs="Arial"/>
                <w:lang w:val="en-US" w:eastAsia="en-US"/>
              </w:rPr>
              <w:t xml:space="preserve">, </w:t>
            </w:r>
            <w:r w:rsidRPr="004B3E83">
              <w:rPr>
                <w:rFonts w:eastAsia="Times New Roman" w:cs="Arial"/>
                <w:b/>
                <w:bCs/>
                <w:lang w:val="en-US" w:eastAsia="en-US"/>
              </w:rPr>
              <w:t>interest rate risk</w:t>
            </w:r>
            <w:r w:rsidRPr="004B3E83">
              <w:rPr>
                <w:rFonts w:eastAsia="Times New Roman" w:cs="Arial"/>
                <w:lang w:val="en-US" w:eastAsia="en-US"/>
              </w:rPr>
              <w:t xml:space="preserve"> and </w:t>
            </w:r>
            <w:r w:rsidRPr="004B3E83">
              <w:rPr>
                <w:rFonts w:eastAsia="Times New Roman" w:cs="Arial"/>
                <w:b/>
                <w:bCs/>
                <w:lang w:val="en-US" w:eastAsia="en-US"/>
              </w:rPr>
              <w:t>other types of risk</w:t>
            </w:r>
            <w:r w:rsidRPr="004B3E83">
              <w:rPr>
                <w:rFonts w:eastAsia="Times New Roman" w:cs="Arial"/>
                <w:lang w:val="en-US" w:eastAsia="en-US"/>
              </w:rPr>
              <w:t xml:space="preserve"> are in the </w:t>
            </w:r>
            <w:r w:rsidRPr="004B3E83">
              <w:rPr>
                <w:rFonts w:eastAsia="Times New Roman" w:cs="Arial"/>
                <w:i/>
                <w:iCs/>
                <w:color w:val="006411"/>
                <w:lang w:val="en-US" w:eastAsia="en-US"/>
              </w:rPr>
              <w:t>Market risk sensitivity</w:t>
            </w:r>
            <w:r w:rsidRPr="004B3E83">
              <w:rPr>
                <w:rFonts w:eastAsia="Times New Roman" w:cs="Arial"/>
                <w:lang w:val="en-US" w:eastAsia="en-US"/>
              </w:rPr>
              <w:t xml:space="preserve"> sub-section.  A general grouping '</w:t>
            </w:r>
            <w:r w:rsidRPr="004B3E83">
              <w:rPr>
                <w:rFonts w:eastAsia="Times New Roman" w:cs="Arial"/>
                <w:i/>
                <w:iCs/>
                <w:color w:val="DD0806"/>
                <w:lang w:val="en-US" w:eastAsia="en-US"/>
              </w:rPr>
              <w:t>Other specific type of risk exposure</w:t>
            </w:r>
            <w:r w:rsidRPr="004B3E83">
              <w:rPr>
                <w:rFonts w:eastAsia="Times New Roman" w:cs="Arial"/>
                <w:lang w:val="en-US" w:eastAsia="en-US"/>
              </w:rPr>
              <w:t xml:space="preserve">' enables tagging of significant types of risk for which individual tags do not exist. </w:t>
            </w:r>
          </w:p>
          <w:p w:rsidR="004B3E83" w:rsidRPr="004B3E83" w:rsidRDefault="004B3E83" w:rsidP="000B2365">
            <w:pPr>
              <w:spacing w:before="60" w:after="60"/>
              <w:jc w:val="left"/>
              <w:rPr>
                <w:rFonts w:eastAsia="Times New Roman" w:cs="Arial"/>
                <w:lang w:val="en-US" w:eastAsia="en-US"/>
              </w:rPr>
            </w:pPr>
            <w:r w:rsidRPr="004B3E83">
              <w:rPr>
                <w:rFonts w:eastAsia="Times New Roman" w:cs="Arial"/>
                <w:lang w:val="en-US" w:eastAsia="en-US"/>
              </w:rPr>
              <w:t xml:space="preserve">The tagging of </w:t>
            </w:r>
            <w:r w:rsidRPr="004B3E83">
              <w:rPr>
                <w:rFonts w:eastAsia="Times New Roman" w:cs="Arial"/>
                <w:b/>
                <w:bCs/>
                <w:lang w:val="en-US" w:eastAsia="en-US"/>
              </w:rPr>
              <w:t>numeric information</w:t>
            </w:r>
            <w:r w:rsidRPr="004B3E83">
              <w:rPr>
                <w:rFonts w:eastAsia="Times New Roman" w:cs="Arial"/>
                <w:lang w:val="en-US" w:eastAsia="en-US"/>
              </w:rPr>
              <w:t xml:space="preserve"> on credit</w:t>
            </w:r>
            <w:r w:rsidR="00F739C3" w:rsidRPr="004B3E83">
              <w:rPr>
                <w:rFonts w:eastAsia="Times New Roman" w:cs="Arial"/>
                <w:lang w:val="en-US" w:eastAsia="en-US"/>
              </w:rPr>
              <w:t>, liquidity, currency</w:t>
            </w:r>
            <w:r w:rsidRPr="004B3E83">
              <w:rPr>
                <w:rFonts w:eastAsia="Times New Roman" w:cs="Arial"/>
                <w:lang w:val="en-US" w:eastAsia="en-US"/>
              </w:rPr>
              <w:t xml:space="preserve">, country and industry risk is primarily achieved through the use of the </w:t>
            </w:r>
            <w:r w:rsidRPr="004B3E83">
              <w:rPr>
                <w:rFonts w:eastAsia="Times New Roman" w:cs="Arial"/>
                <w:b/>
                <w:bCs/>
                <w:lang w:val="en-US" w:eastAsia="en-US"/>
              </w:rPr>
              <w:t>financial instrument dimensions</w:t>
            </w:r>
            <w:r w:rsidRPr="004B3E83">
              <w:rPr>
                <w:rFonts w:eastAsia="Times New Roman" w:cs="Arial"/>
                <w:lang w:val="en-US" w:eastAsia="en-US"/>
              </w:rPr>
              <w:t>.   Some additional points on this are covered in the items</w:t>
            </w:r>
            <w:r w:rsidR="001D324E">
              <w:rPr>
                <w:rFonts w:eastAsia="Times New Roman" w:cs="Arial"/>
                <w:lang w:val="en-US" w:eastAsia="en-US"/>
              </w:rPr>
              <w:t xml:space="preserve"> 9.</w:t>
            </w:r>
            <w:r w:rsidR="00C83B0D">
              <w:rPr>
                <w:rFonts w:eastAsia="Times New Roman" w:cs="Arial"/>
                <w:lang w:val="en-US" w:eastAsia="en-US"/>
              </w:rPr>
              <w:t>30</w:t>
            </w:r>
            <w:r w:rsidR="001D324E">
              <w:rPr>
                <w:rFonts w:eastAsia="Times New Roman" w:cs="Arial"/>
                <w:lang w:val="en-US" w:eastAsia="en-US"/>
              </w:rPr>
              <w:t xml:space="preserve"> to 9.3</w:t>
            </w:r>
            <w:r w:rsidR="00C83B0D">
              <w:rPr>
                <w:rFonts w:eastAsia="Times New Roman" w:cs="Arial"/>
                <w:lang w:val="en-US" w:eastAsia="en-US"/>
              </w:rPr>
              <w:t>2</w:t>
            </w:r>
            <w:r w:rsidRPr="004B3E83">
              <w:rPr>
                <w:rFonts w:eastAsia="Times New Roman" w:cs="Arial"/>
                <w:lang w:val="en-US" w:eastAsia="en-US"/>
              </w:rPr>
              <w:t xml:space="preserve"> below. </w:t>
            </w:r>
          </w:p>
        </w:tc>
      </w:tr>
      <w:tr w:rsidR="004B3E83" w:rsidRPr="004B3E83" w:rsidTr="004B3E83">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3E83" w:rsidRPr="004B3E83" w:rsidRDefault="004B3E83" w:rsidP="000B2365">
            <w:pPr>
              <w:spacing w:before="60" w:after="60"/>
              <w:jc w:val="left"/>
              <w:rPr>
                <w:rFonts w:eastAsia="Times New Roman" w:cs="Arial"/>
                <w:lang w:val="en-US" w:eastAsia="en-US"/>
              </w:rPr>
            </w:pPr>
            <w:r w:rsidRPr="004B3E83">
              <w:rPr>
                <w:rFonts w:eastAsia="Times New Roman" w:cs="Arial"/>
                <w:lang w:val="en-US" w:eastAsia="en-US"/>
              </w:rPr>
              <w:t>9.</w:t>
            </w:r>
            <w:r w:rsidR="00B7745D">
              <w:rPr>
                <w:rFonts w:eastAsia="Times New Roman" w:cs="Arial"/>
                <w:lang w:val="en-US" w:eastAsia="en-US"/>
              </w:rPr>
              <w:t>30</w:t>
            </w:r>
          </w:p>
        </w:tc>
        <w:tc>
          <w:tcPr>
            <w:tcW w:w="1728" w:type="dxa"/>
            <w:tcBorders>
              <w:top w:val="single" w:sz="4" w:space="0" w:color="auto"/>
              <w:left w:val="nil"/>
              <w:bottom w:val="single" w:sz="4" w:space="0" w:color="auto"/>
              <w:right w:val="single" w:sz="4" w:space="0" w:color="auto"/>
            </w:tcBorders>
            <w:shd w:val="clear" w:color="auto" w:fill="auto"/>
            <w:vAlign w:val="center"/>
          </w:tcPr>
          <w:p w:rsidR="004B3E83" w:rsidRPr="004B3E83" w:rsidRDefault="004B3E83" w:rsidP="000B2365">
            <w:pPr>
              <w:spacing w:before="60" w:after="60"/>
              <w:jc w:val="left"/>
              <w:rPr>
                <w:rFonts w:eastAsia="Times New Roman" w:cs="Arial"/>
                <w:lang w:val="en-US" w:eastAsia="en-US"/>
              </w:rPr>
            </w:pPr>
            <w:r w:rsidRPr="004B3E83">
              <w:rPr>
                <w:rFonts w:eastAsia="Times New Roman" w:cs="Arial"/>
                <w:lang w:val="en-US" w:eastAsia="en-US"/>
              </w:rPr>
              <w:t>Credit risk exposure</w:t>
            </w:r>
          </w:p>
        </w:tc>
        <w:tc>
          <w:tcPr>
            <w:tcW w:w="7008" w:type="dxa"/>
            <w:tcBorders>
              <w:top w:val="single" w:sz="4" w:space="0" w:color="auto"/>
              <w:left w:val="nil"/>
              <w:bottom w:val="single" w:sz="4" w:space="0" w:color="auto"/>
              <w:right w:val="single" w:sz="4" w:space="0" w:color="auto"/>
            </w:tcBorders>
            <w:shd w:val="clear" w:color="auto" w:fill="auto"/>
            <w:vAlign w:val="center"/>
          </w:tcPr>
          <w:p w:rsidR="0043483A" w:rsidRDefault="004B3E83" w:rsidP="000B2365">
            <w:pPr>
              <w:spacing w:before="60" w:after="60"/>
              <w:jc w:val="left"/>
              <w:rPr>
                <w:rFonts w:eastAsia="Times New Roman" w:cs="Arial"/>
                <w:lang w:val="en-US" w:eastAsia="en-US"/>
              </w:rPr>
            </w:pPr>
            <w:r w:rsidRPr="004B3E83">
              <w:rPr>
                <w:rFonts w:eastAsia="Times New Roman" w:cs="Arial"/>
                <w:lang w:val="en-US" w:eastAsia="en-US"/>
              </w:rPr>
              <w:t>The IFRS taxonomy provides two alternative methods of tagging credit risk exposure.  Simple numeric data on credit risk exposure may be covered by the '</w:t>
            </w:r>
            <w:r w:rsidRPr="004B3E83">
              <w:rPr>
                <w:rFonts w:eastAsia="Times New Roman" w:cs="Arial"/>
                <w:i/>
                <w:iCs/>
                <w:color w:val="DD0806"/>
                <w:lang w:val="en-US" w:eastAsia="en-US"/>
              </w:rPr>
              <w:t>Maximum exposure to credit risk on financial instruments</w:t>
            </w:r>
            <w:r w:rsidRPr="004B3E83">
              <w:rPr>
                <w:rFonts w:eastAsia="Times New Roman" w:cs="Arial"/>
                <w:lang w:val="en-US" w:eastAsia="en-US"/>
              </w:rPr>
              <w:t>' tag and the use of the grouping '</w:t>
            </w:r>
            <w:r w:rsidRPr="004B3E83">
              <w:rPr>
                <w:rFonts w:eastAsia="Times New Roman" w:cs="Arial"/>
                <w:i/>
                <w:iCs/>
                <w:color w:val="DD0806"/>
                <w:lang w:val="en-US" w:eastAsia="en-US"/>
              </w:rPr>
              <w:t>Credit risk on financial assets [grouping]</w:t>
            </w:r>
            <w:r w:rsidRPr="004B3E83">
              <w:rPr>
                <w:rFonts w:eastAsia="Times New Roman" w:cs="Arial"/>
                <w:lang w:val="en-US" w:eastAsia="en-US"/>
              </w:rPr>
              <w:t xml:space="preserve">'.   </w:t>
            </w:r>
          </w:p>
          <w:p w:rsidR="004B3E83" w:rsidRPr="004B3E83" w:rsidRDefault="004B3E83" w:rsidP="000B2365">
            <w:pPr>
              <w:spacing w:before="60" w:after="60"/>
              <w:jc w:val="left"/>
              <w:rPr>
                <w:rFonts w:eastAsia="Times New Roman" w:cs="Arial"/>
                <w:lang w:val="en-US" w:eastAsia="en-US"/>
              </w:rPr>
            </w:pPr>
            <w:r w:rsidRPr="004B3E83">
              <w:rPr>
                <w:rFonts w:eastAsia="Times New Roman" w:cs="Arial"/>
                <w:lang w:val="en-US" w:eastAsia="en-US"/>
              </w:rPr>
              <w:t xml:space="preserve">However, more extensive </w:t>
            </w:r>
            <w:r w:rsidR="003E54F7">
              <w:rPr>
                <w:rFonts w:eastAsia="Times New Roman" w:cs="Arial"/>
                <w:lang w:val="en-US" w:eastAsia="en-US"/>
              </w:rPr>
              <w:t xml:space="preserve">data on </w:t>
            </w:r>
            <w:r w:rsidRPr="004B3E83">
              <w:rPr>
                <w:rFonts w:eastAsia="Times New Roman" w:cs="Arial"/>
                <w:lang w:val="en-US" w:eastAsia="en-US"/>
              </w:rPr>
              <w:t xml:space="preserve">credit risk exposure </w:t>
            </w:r>
            <w:r w:rsidR="003E54F7">
              <w:rPr>
                <w:rFonts w:eastAsia="Times New Roman" w:cs="Arial"/>
                <w:lang w:val="en-US" w:eastAsia="en-US"/>
              </w:rPr>
              <w:t xml:space="preserve">reported </w:t>
            </w:r>
            <w:r w:rsidRPr="004B3E83">
              <w:rPr>
                <w:rFonts w:eastAsia="Times New Roman" w:cs="Arial"/>
                <w:lang w:val="en-US" w:eastAsia="en-US"/>
              </w:rPr>
              <w:t>by banks, finance companies or other large companies will require use of the '</w:t>
            </w:r>
            <w:r w:rsidRPr="004B3E83">
              <w:rPr>
                <w:rFonts w:eastAsia="Times New Roman" w:cs="Arial"/>
                <w:i/>
                <w:iCs/>
                <w:color w:val="DD0806"/>
                <w:lang w:val="en-US" w:eastAsia="en-US"/>
              </w:rPr>
              <w:t>Maximum credit risk exposure</w:t>
            </w:r>
            <w:r w:rsidRPr="004B3E83">
              <w:rPr>
                <w:rFonts w:eastAsia="Times New Roman" w:cs="Arial"/>
                <w:lang w:val="en-US" w:eastAsia="en-US"/>
              </w:rPr>
              <w:t>' dimension tag, in combination with appropriate line items representing the instruments concerned.  Companies reporting simple data may also use this dimension tag, including for total company credit risk exposure, if they prefer</w:t>
            </w:r>
            <w:r w:rsidR="003E54F7">
              <w:rPr>
                <w:rFonts w:eastAsia="Times New Roman" w:cs="Arial"/>
                <w:lang w:val="en-US" w:eastAsia="en-US"/>
              </w:rPr>
              <w:t xml:space="preserve"> this approach to the use of the credit risk grouping</w:t>
            </w:r>
            <w:r w:rsidRPr="004B3E83">
              <w:rPr>
                <w:rFonts w:eastAsia="Times New Roman" w:cs="Arial"/>
                <w:lang w:val="en-US" w:eastAsia="en-US"/>
              </w:rPr>
              <w:t xml:space="preserve">.  </w:t>
            </w:r>
          </w:p>
        </w:tc>
      </w:tr>
      <w:tr w:rsidR="004B3E83" w:rsidRPr="004B3E83" w:rsidTr="004B3E83">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3E83" w:rsidRPr="004B3E83" w:rsidRDefault="00B7745D" w:rsidP="000B2365">
            <w:pPr>
              <w:spacing w:before="60" w:after="60"/>
              <w:jc w:val="left"/>
              <w:rPr>
                <w:rFonts w:eastAsia="Times New Roman" w:cs="Arial"/>
                <w:lang w:val="en-US" w:eastAsia="en-US"/>
              </w:rPr>
            </w:pPr>
            <w:r>
              <w:rPr>
                <w:rFonts w:eastAsia="Times New Roman" w:cs="Arial"/>
                <w:lang w:val="en-US" w:eastAsia="en-US"/>
              </w:rPr>
              <w:t>9.31</w:t>
            </w:r>
          </w:p>
        </w:tc>
        <w:tc>
          <w:tcPr>
            <w:tcW w:w="1728" w:type="dxa"/>
            <w:tcBorders>
              <w:top w:val="single" w:sz="4" w:space="0" w:color="auto"/>
              <w:left w:val="nil"/>
              <w:bottom w:val="single" w:sz="4" w:space="0" w:color="auto"/>
              <w:right w:val="single" w:sz="4" w:space="0" w:color="auto"/>
            </w:tcBorders>
            <w:shd w:val="clear" w:color="auto" w:fill="auto"/>
            <w:vAlign w:val="center"/>
          </w:tcPr>
          <w:p w:rsidR="004B3E83" w:rsidRPr="004B3E83" w:rsidRDefault="004B3E83" w:rsidP="000B2365">
            <w:pPr>
              <w:spacing w:before="60" w:after="60"/>
              <w:jc w:val="left"/>
              <w:rPr>
                <w:rFonts w:eastAsia="Times New Roman" w:cs="Arial"/>
                <w:lang w:val="en-US" w:eastAsia="en-US"/>
              </w:rPr>
            </w:pPr>
            <w:r w:rsidRPr="004B3E83">
              <w:rPr>
                <w:rFonts w:eastAsia="Times New Roman" w:cs="Arial"/>
                <w:lang w:val="en-US" w:eastAsia="en-US"/>
              </w:rPr>
              <w:t>Liquidity risk note</w:t>
            </w:r>
          </w:p>
        </w:tc>
        <w:tc>
          <w:tcPr>
            <w:tcW w:w="7008" w:type="dxa"/>
            <w:tcBorders>
              <w:top w:val="single" w:sz="4" w:space="0" w:color="auto"/>
              <w:left w:val="nil"/>
              <w:bottom w:val="single" w:sz="4" w:space="0" w:color="auto"/>
              <w:right w:val="single" w:sz="4" w:space="0" w:color="auto"/>
            </w:tcBorders>
            <w:shd w:val="clear" w:color="auto" w:fill="auto"/>
            <w:vAlign w:val="center"/>
          </w:tcPr>
          <w:p w:rsidR="004B3E83" w:rsidRPr="004B3E83" w:rsidRDefault="004B3E83" w:rsidP="000B2365">
            <w:pPr>
              <w:spacing w:before="60" w:after="60"/>
              <w:jc w:val="left"/>
              <w:rPr>
                <w:rFonts w:eastAsia="Times New Roman" w:cs="Arial"/>
                <w:lang w:val="en-US" w:eastAsia="en-US"/>
              </w:rPr>
            </w:pPr>
            <w:r w:rsidRPr="004B3E83">
              <w:rPr>
                <w:rFonts w:eastAsia="Times New Roman" w:cs="Arial"/>
                <w:lang w:val="en-US" w:eastAsia="en-US"/>
              </w:rPr>
              <w:t>Different maturities for contractual undiscounted cash flows in the liquidity risk note should be represented by us</w:t>
            </w:r>
            <w:r w:rsidR="006B4B8D">
              <w:rPr>
                <w:rFonts w:eastAsia="Times New Roman" w:cs="Arial"/>
                <w:lang w:val="en-US" w:eastAsia="en-US"/>
              </w:rPr>
              <w:t xml:space="preserve">e of the </w:t>
            </w:r>
            <w:r w:rsidR="006B4B8D" w:rsidRPr="006B4B8D">
              <w:rPr>
                <w:rFonts w:eastAsia="Times New Roman" w:cs="Arial"/>
                <w:i/>
                <w:lang w:val="en-US" w:eastAsia="en-US"/>
              </w:rPr>
              <w:t>M</w:t>
            </w:r>
            <w:r w:rsidRPr="006B4B8D">
              <w:rPr>
                <w:rFonts w:eastAsia="Times New Roman" w:cs="Arial"/>
                <w:i/>
                <w:lang w:val="en-US" w:eastAsia="en-US"/>
              </w:rPr>
              <w:t>aturities</w:t>
            </w:r>
            <w:r w:rsidRPr="004B3E83">
              <w:rPr>
                <w:rFonts w:eastAsia="Times New Roman" w:cs="Arial"/>
                <w:lang w:val="en-US" w:eastAsia="en-US"/>
              </w:rPr>
              <w:t xml:space="preserve"> dimension in combination with appropriate financial liabi</w:t>
            </w:r>
            <w:r w:rsidR="006B4B8D">
              <w:rPr>
                <w:rFonts w:eastAsia="Times New Roman" w:cs="Arial"/>
                <w:lang w:val="en-US" w:eastAsia="en-US"/>
              </w:rPr>
              <w:t>lities line item tags and the '</w:t>
            </w:r>
            <w:r w:rsidR="006B4B8D" w:rsidRPr="006B4B8D">
              <w:rPr>
                <w:rFonts w:eastAsia="Times New Roman" w:cs="Arial"/>
                <w:i/>
                <w:color w:val="FF0000"/>
                <w:lang w:val="en-US" w:eastAsia="en-US"/>
              </w:rPr>
              <w:t>C</w:t>
            </w:r>
            <w:r w:rsidRPr="006B4B8D">
              <w:rPr>
                <w:rFonts w:eastAsia="Times New Roman" w:cs="Arial"/>
                <w:i/>
                <w:color w:val="FF0000"/>
                <w:lang w:val="en-US" w:eastAsia="en-US"/>
              </w:rPr>
              <w:t>ontractual value</w:t>
            </w:r>
            <w:r w:rsidRPr="004B3E83">
              <w:rPr>
                <w:rFonts w:eastAsia="Times New Roman" w:cs="Arial"/>
                <w:lang w:val="en-US" w:eastAsia="en-US"/>
              </w:rPr>
              <w:t xml:space="preserve">' dimension tag.  </w:t>
            </w:r>
          </w:p>
        </w:tc>
      </w:tr>
      <w:tr w:rsidR="004B3E83" w:rsidRPr="004B3E83" w:rsidTr="004B3E83">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3E83" w:rsidRPr="00D86195" w:rsidRDefault="004B3E83" w:rsidP="000B2365">
            <w:pPr>
              <w:spacing w:before="60" w:after="60"/>
              <w:jc w:val="left"/>
              <w:rPr>
                <w:rFonts w:eastAsia="Times New Roman" w:cs="Arial"/>
                <w:highlight w:val="yellow"/>
                <w:lang w:val="en-US" w:eastAsia="en-US"/>
              </w:rPr>
            </w:pPr>
            <w:r w:rsidRPr="00D86195">
              <w:rPr>
                <w:rFonts w:eastAsia="Times New Roman" w:cs="Arial"/>
                <w:highlight w:val="yellow"/>
                <w:lang w:val="en-US" w:eastAsia="en-US"/>
              </w:rPr>
              <w:t>9.3</w:t>
            </w:r>
            <w:r w:rsidR="00B7745D">
              <w:rPr>
                <w:rFonts w:eastAsia="Times New Roman" w:cs="Arial"/>
                <w:highlight w:val="yellow"/>
                <w:lang w:val="en-US" w:eastAsia="en-US"/>
              </w:rPr>
              <w:t>2</w:t>
            </w:r>
          </w:p>
        </w:tc>
        <w:tc>
          <w:tcPr>
            <w:tcW w:w="1728" w:type="dxa"/>
            <w:tcBorders>
              <w:top w:val="single" w:sz="4" w:space="0" w:color="auto"/>
              <w:left w:val="nil"/>
              <w:bottom w:val="single" w:sz="4" w:space="0" w:color="auto"/>
              <w:right w:val="single" w:sz="4" w:space="0" w:color="auto"/>
            </w:tcBorders>
            <w:shd w:val="clear" w:color="auto" w:fill="auto"/>
            <w:vAlign w:val="center"/>
          </w:tcPr>
          <w:p w:rsidR="004B3E83" w:rsidRPr="00D86195" w:rsidRDefault="004B3E83" w:rsidP="000B2365">
            <w:pPr>
              <w:spacing w:before="60" w:after="60"/>
              <w:jc w:val="left"/>
              <w:rPr>
                <w:rFonts w:eastAsia="Times New Roman" w:cs="Arial"/>
                <w:highlight w:val="yellow"/>
                <w:lang w:val="en-US" w:eastAsia="en-US"/>
              </w:rPr>
            </w:pPr>
            <w:r w:rsidRPr="00D86195">
              <w:rPr>
                <w:rFonts w:eastAsia="Times New Roman" w:cs="Arial"/>
                <w:highlight w:val="yellow"/>
                <w:lang w:val="en-US" w:eastAsia="en-US"/>
              </w:rPr>
              <w:t>Country / region concentration risk</w:t>
            </w:r>
          </w:p>
        </w:tc>
        <w:tc>
          <w:tcPr>
            <w:tcW w:w="7008" w:type="dxa"/>
            <w:tcBorders>
              <w:top w:val="single" w:sz="4" w:space="0" w:color="auto"/>
              <w:left w:val="nil"/>
              <w:bottom w:val="single" w:sz="4" w:space="0" w:color="auto"/>
              <w:right w:val="single" w:sz="4" w:space="0" w:color="auto"/>
            </w:tcBorders>
            <w:shd w:val="clear" w:color="auto" w:fill="auto"/>
            <w:vAlign w:val="center"/>
          </w:tcPr>
          <w:p w:rsidR="004B3E83" w:rsidRPr="004B3E83" w:rsidRDefault="00FD5A3E" w:rsidP="000B2365">
            <w:pPr>
              <w:spacing w:before="60" w:after="60"/>
              <w:jc w:val="left"/>
              <w:rPr>
                <w:rFonts w:eastAsia="Times New Roman" w:cs="Arial"/>
                <w:lang w:val="en-US" w:eastAsia="en-US"/>
              </w:rPr>
            </w:pPr>
            <w:r w:rsidRPr="004B3E83">
              <w:rPr>
                <w:rFonts w:eastAsia="Times New Roman" w:cs="Arial"/>
                <w:lang w:val="en-US" w:eastAsia="en-US"/>
              </w:rPr>
              <w:t xml:space="preserve">When tagging financial instrument concentration risk by </w:t>
            </w:r>
            <w:r w:rsidRPr="004B3E83">
              <w:rPr>
                <w:rFonts w:eastAsia="Times New Roman" w:cs="Arial"/>
                <w:b/>
                <w:bCs/>
                <w:lang w:val="en-US" w:eastAsia="en-US"/>
              </w:rPr>
              <w:t>country / region</w:t>
            </w:r>
            <w:r w:rsidRPr="004B3E83">
              <w:rPr>
                <w:rFonts w:eastAsia="Times New Roman" w:cs="Arial"/>
                <w:lang w:val="en-US" w:eastAsia="en-US"/>
              </w:rPr>
              <w:t xml:space="preserve"> for all industries, preparers must select the '</w:t>
            </w:r>
            <w:r w:rsidRPr="007A7E70">
              <w:rPr>
                <w:rFonts w:eastAsia="Times New Roman" w:cs="Arial"/>
                <w:i/>
                <w:iCs/>
                <w:color w:val="DD0806"/>
                <w:lang w:val="en-US" w:eastAsia="en-US"/>
              </w:rPr>
              <w:t>Other concentration risk</w:t>
            </w:r>
            <w:r>
              <w:rPr>
                <w:rFonts w:eastAsia="Times New Roman" w:cs="Arial"/>
                <w:lang w:val="en-US" w:eastAsia="en-US"/>
              </w:rPr>
              <w:t xml:space="preserve">' </w:t>
            </w:r>
            <w:r w:rsidRPr="004B3E83">
              <w:rPr>
                <w:rFonts w:eastAsia="Times New Roman" w:cs="Arial"/>
                <w:lang w:val="en-US" w:eastAsia="en-US"/>
              </w:rPr>
              <w:t xml:space="preserve">tag from the </w:t>
            </w:r>
            <w:r w:rsidRPr="006B4B8D">
              <w:rPr>
                <w:rFonts w:eastAsia="Times New Roman" w:cs="Arial"/>
                <w:i/>
                <w:lang w:val="en-US" w:eastAsia="en-US"/>
              </w:rPr>
              <w:t>Industry concentration risk</w:t>
            </w:r>
            <w:r w:rsidRPr="004B3E83">
              <w:rPr>
                <w:rFonts w:eastAsia="Times New Roman" w:cs="Arial"/>
                <w:lang w:val="en-US" w:eastAsia="en-US"/>
              </w:rPr>
              <w:t xml:space="preserve"> dimension.  </w:t>
            </w:r>
            <w:r w:rsidR="004B3E83" w:rsidRPr="004B3E83">
              <w:rPr>
                <w:rFonts w:eastAsia="Times New Roman" w:cs="Arial"/>
                <w:lang w:val="en-US" w:eastAsia="en-US"/>
              </w:rPr>
              <w:t xml:space="preserve">(This is because the latter dimension does not have a total or default tag.) </w:t>
            </w:r>
          </w:p>
        </w:tc>
      </w:tr>
    </w:tbl>
    <w:p w:rsidR="00B83151" w:rsidRDefault="00B83151" w:rsidP="00B83151">
      <w:pPr>
        <w:rPr>
          <w:rFonts w:cs="Arial"/>
        </w:rPr>
      </w:pPr>
    </w:p>
    <w:p w:rsidR="00B83151" w:rsidRPr="004B3E83" w:rsidRDefault="000B2365" w:rsidP="002B5133">
      <w:pPr>
        <w:pStyle w:val="Heading2"/>
      </w:pPr>
      <w:r>
        <w:br w:type="page"/>
      </w:r>
      <w:bookmarkStart w:id="46" w:name="_Toc292036847"/>
      <w:r w:rsidR="004B3E83" w:rsidRPr="004B3E83">
        <w:lastRenderedPageBreak/>
        <w:t xml:space="preserve">IFRS </w:t>
      </w:r>
      <w:r w:rsidR="004B3E83">
        <w:t>–</w:t>
      </w:r>
      <w:r w:rsidR="004B3E83" w:rsidRPr="004B3E83">
        <w:t xml:space="preserve"> </w:t>
      </w:r>
      <w:r w:rsidR="004B3E83">
        <w:t>N</w:t>
      </w:r>
      <w:r w:rsidR="004B3E83" w:rsidRPr="004B3E83">
        <w:t>otes on equity</w:t>
      </w:r>
      <w:bookmarkEnd w:id="46"/>
    </w:p>
    <w:p w:rsidR="00B83151" w:rsidRDefault="00B83151" w:rsidP="00B83151">
      <w:pPr>
        <w:rPr>
          <w:rFonts w:cs="Arial"/>
        </w:rPr>
      </w:pPr>
    </w:p>
    <w:tbl>
      <w:tblPr>
        <w:tblW w:w="9231" w:type="dxa"/>
        <w:tblInd w:w="91" w:type="dxa"/>
        <w:tblLook w:val="0000"/>
      </w:tblPr>
      <w:tblGrid>
        <w:gridCol w:w="606"/>
        <w:gridCol w:w="1716"/>
        <w:gridCol w:w="6909"/>
      </w:tblGrid>
      <w:tr w:rsidR="00B83151" w:rsidRPr="00D50F7D" w:rsidTr="008A19C4">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ID</w:t>
            </w:r>
          </w:p>
        </w:tc>
        <w:tc>
          <w:tcPr>
            <w:tcW w:w="1728" w:type="dxa"/>
            <w:tcBorders>
              <w:top w:val="single" w:sz="4" w:space="0" w:color="auto"/>
              <w:left w:val="nil"/>
              <w:bottom w:val="single" w:sz="4" w:space="0" w:color="auto"/>
              <w:right w:val="single" w:sz="4" w:space="0" w:color="auto"/>
            </w:tcBorders>
            <w:shd w:val="clear" w:color="auto" w:fill="auto"/>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Item</w:t>
            </w:r>
          </w:p>
        </w:tc>
        <w:tc>
          <w:tcPr>
            <w:tcW w:w="7008" w:type="dxa"/>
            <w:tcBorders>
              <w:top w:val="single" w:sz="4" w:space="0" w:color="auto"/>
              <w:left w:val="nil"/>
              <w:bottom w:val="single" w:sz="4" w:space="0" w:color="auto"/>
              <w:right w:val="single" w:sz="4" w:space="0" w:color="auto"/>
            </w:tcBorders>
            <w:shd w:val="clear" w:color="auto" w:fill="auto"/>
            <w:vAlign w:val="center"/>
          </w:tcPr>
          <w:p w:rsidR="00B83151" w:rsidRPr="00D87AA9" w:rsidRDefault="00B83151" w:rsidP="008A19C4">
            <w:pPr>
              <w:spacing w:before="60" w:after="60"/>
              <w:jc w:val="left"/>
              <w:rPr>
                <w:rFonts w:eastAsia="Times New Roman" w:cs="Arial"/>
                <w:b/>
                <w:bCs/>
                <w:lang w:val="en-US" w:eastAsia="en-US"/>
              </w:rPr>
            </w:pPr>
            <w:r w:rsidRPr="00D87AA9">
              <w:rPr>
                <w:rFonts w:eastAsia="Times New Roman" w:cs="Arial"/>
                <w:b/>
                <w:bCs/>
                <w:lang w:val="en-US" w:eastAsia="en-US"/>
              </w:rPr>
              <w:t>Description</w:t>
            </w:r>
          </w:p>
        </w:tc>
      </w:tr>
      <w:tr w:rsidR="004B3E83" w:rsidRPr="004B3E83" w:rsidTr="004B3E83">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3E83" w:rsidRPr="004B3E83" w:rsidRDefault="004B3E83" w:rsidP="000B2365">
            <w:pPr>
              <w:spacing w:before="60" w:after="60"/>
              <w:jc w:val="left"/>
              <w:rPr>
                <w:rFonts w:eastAsia="Times New Roman" w:cs="Arial"/>
                <w:lang w:val="en-US" w:eastAsia="en-US"/>
              </w:rPr>
            </w:pPr>
            <w:r w:rsidRPr="004B3E83">
              <w:rPr>
                <w:rFonts w:eastAsia="Times New Roman" w:cs="Arial"/>
                <w:lang w:val="en-US" w:eastAsia="en-US"/>
              </w:rPr>
              <w:t>9.3</w:t>
            </w:r>
            <w:r w:rsidR="00B7745D">
              <w:rPr>
                <w:rFonts w:eastAsia="Times New Roman" w:cs="Arial"/>
                <w:lang w:val="en-US" w:eastAsia="en-US"/>
              </w:rPr>
              <w:t>3</w:t>
            </w:r>
          </w:p>
        </w:tc>
        <w:tc>
          <w:tcPr>
            <w:tcW w:w="1728" w:type="dxa"/>
            <w:tcBorders>
              <w:top w:val="single" w:sz="4" w:space="0" w:color="auto"/>
              <w:left w:val="nil"/>
              <w:bottom w:val="single" w:sz="4" w:space="0" w:color="auto"/>
              <w:right w:val="single" w:sz="4" w:space="0" w:color="auto"/>
            </w:tcBorders>
            <w:shd w:val="clear" w:color="auto" w:fill="auto"/>
            <w:vAlign w:val="center"/>
          </w:tcPr>
          <w:p w:rsidR="004B3E83" w:rsidRPr="004B3E83" w:rsidRDefault="004B3E83" w:rsidP="000B2365">
            <w:pPr>
              <w:spacing w:before="60" w:after="60"/>
              <w:jc w:val="left"/>
              <w:rPr>
                <w:rFonts w:eastAsia="Times New Roman" w:cs="Arial"/>
                <w:lang w:val="en-US" w:eastAsia="en-US"/>
              </w:rPr>
            </w:pPr>
            <w:r w:rsidRPr="004B3E83">
              <w:rPr>
                <w:rFonts w:eastAsia="Times New Roman" w:cs="Arial"/>
                <w:lang w:val="en-US" w:eastAsia="en-US"/>
              </w:rPr>
              <w:t>Share capital and dividends</w:t>
            </w:r>
          </w:p>
        </w:tc>
        <w:tc>
          <w:tcPr>
            <w:tcW w:w="7008" w:type="dxa"/>
            <w:tcBorders>
              <w:top w:val="single" w:sz="4" w:space="0" w:color="auto"/>
              <w:left w:val="nil"/>
              <w:bottom w:val="single" w:sz="4" w:space="0" w:color="auto"/>
              <w:right w:val="single" w:sz="4" w:space="0" w:color="auto"/>
            </w:tcBorders>
            <w:shd w:val="clear" w:color="auto" w:fill="auto"/>
            <w:vAlign w:val="center"/>
          </w:tcPr>
          <w:p w:rsidR="0043483A" w:rsidRDefault="004B3E83" w:rsidP="000B2365">
            <w:pPr>
              <w:spacing w:before="60" w:after="60"/>
              <w:jc w:val="left"/>
              <w:rPr>
                <w:rFonts w:eastAsia="Times New Roman" w:cs="Arial"/>
                <w:lang w:val="en-US" w:eastAsia="en-US"/>
              </w:rPr>
            </w:pPr>
            <w:r w:rsidRPr="004B3E83">
              <w:rPr>
                <w:rFonts w:eastAsia="Times New Roman" w:cs="Arial"/>
                <w:lang w:val="en-US" w:eastAsia="en-US"/>
              </w:rPr>
              <w:t>The value of share capital can only be tagged using the '</w:t>
            </w:r>
            <w:r w:rsidRPr="007A7E70">
              <w:rPr>
                <w:rFonts w:eastAsia="Times New Roman" w:cs="Arial"/>
                <w:i/>
                <w:iCs/>
                <w:color w:val="DD0806"/>
                <w:lang w:val="en-US" w:eastAsia="en-US"/>
              </w:rPr>
              <w:t>Equity</w:t>
            </w:r>
            <w:r w:rsidRPr="004B3E83">
              <w:rPr>
                <w:rFonts w:eastAsia="Times New Roman" w:cs="Arial"/>
                <w:lang w:val="en-US" w:eastAsia="en-US"/>
              </w:rPr>
              <w:t>' line item tag and the related share capital dimension tags</w:t>
            </w:r>
            <w:r w:rsidR="00C92931">
              <w:rPr>
                <w:rFonts w:eastAsia="Times New Roman" w:cs="Arial"/>
                <w:lang w:val="en-US" w:eastAsia="en-US"/>
              </w:rPr>
              <w:t xml:space="preserve"> (‘</w:t>
            </w:r>
            <w:r w:rsidR="00C92931" w:rsidRPr="00C92931">
              <w:rPr>
                <w:rFonts w:eastAsia="Times New Roman" w:cs="Arial"/>
                <w:i/>
                <w:color w:val="FF0000"/>
                <w:lang w:val="en-US" w:eastAsia="en-US"/>
              </w:rPr>
              <w:t>Share capital</w:t>
            </w:r>
            <w:r w:rsidR="00C92931">
              <w:rPr>
                <w:rFonts w:eastAsia="Times New Roman" w:cs="Arial"/>
                <w:lang w:val="en-US" w:eastAsia="en-US"/>
              </w:rPr>
              <w:t>’, ‘</w:t>
            </w:r>
            <w:r w:rsidR="00C92931" w:rsidRPr="00C92931">
              <w:rPr>
                <w:rFonts w:eastAsia="Times New Roman" w:cs="Arial"/>
                <w:i/>
                <w:color w:val="FF0000"/>
                <w:lang w:val="en-US" w:eastAsia="en-US"/>
              </w:rPr>
              <w:t>Share capital, ordinary shares</w:t>
            </w:r>
            <w:r w:rsidR="00C92931">
              <w:rPr>
                <w:rFonts w:eastAsia="Times New Roman" w:cs="Arial"/>
                <w:lang w:val="en-US" w:eastAsia="en-US"/>
              </w:rPr>
              <w:t>’, ‘</w:t>
            </w:r>
            <w:r w:rsidR="00C92931" w:rsidRPr="00C92931">
              <w:rPr>
                <w:rFonts w:eastAsia="Times New Roman" w:cs="Arial"/>
                <w:i/>
                <w:color w:val="FF0000"/>
                <w:lang w:val="en-US" w:eastAsia="en-US"/>
              </w:rPr>
              <w:t>Share capital, preference shares</w:t>
            </w:r>
            <w:r w:rsidR="00C92931">
              <w:rPr>
                <w:rFonts w:eastAsia="Times New Roman" w:cs="Arial"/>
                <w:lang w:val="en-US" w:eastAsia="en-US"/>
              </w:rPr>
              <w:t>’)</w:t>
            </w:r>
            <w:r w:rsidRPr="004B3E83">
              <w:rPr>
                <w:rFonts w:eastAsia="Times New Roman" w:cs="Arial"/>
                <w:lang w:val="en-US" w:eastAsia="en-US"/>
              </w:rPr>
              <w:t>.  Value of share capital for specific classes of share cannot be tagged.</w:t>
            </w:r>
          </w:p>
          <w:p w:rsidR="0043483A" w:rsidRDefault="004B3E83" w:rsidP="000B2365">
            <w:pPr>
              <w:spacing w:before="60" w:after="60"/>
              <w:jc w:val="left"/>
              <w:rPr>
                <w:rFonts w:eastAsia="Times New Roman" w:cs="Arial"/>
                <w:lang w:val="en-US" w:eastAsia="en-US"/>
              </w:rPr>
            </w:pPr>
            <w:r w:rsidRPr="004B3E83">
              <w:rPr>
                <w:rFonts w:eastAsia="Times New Roman" w:cs="Arial"/>
                <w:lang w:val="en-US" w:eastAsia="en-US"/>
              </w:rPr>
              <w:t xml:space="preserve">The numbers of shares authorised and issued, as well as dividends, may be tagged for specific classes and types of share using the </w:t>
            </w:r>
            <w:r w:rsidR="00C92931" w:rsidRPr="00C92931">
              <w:rPr>
                <w:rFonts w:eastAsia="Times New Roman" w:cs="Arial"/>
                <w:i/>
                <w:lang w:val="en-US" w:eastAsia="en-US"/>
              </w:rPr>
              <w:t>Share classes</w:t>
            </w:r>
            <w:r w:rsidR="00C92931">
              <w:rPr>
                <w:rFonts w:eastAsia="Times New Roman" w:cs="Arial"/>
                <w:lang w:val="en-US" w:eastAsia="en-US"/>
              </w:rPr>
              <w:t xml:space="preserve"> and </w:t>
            </w:r>
            <w:r w:rsidR="00C92931" w:rsidRPr="00C92931">
              <w:rPr>
                <w:rFonts w:eastAsia="Times New Roman" w:cs="Arial"/>
                <w:i/>
                <w:lang w:val="en-US" w:eastAsia="en-US"/>
              </w:rPr>
              <w:t>Share types</w:t>
            </w:r>
            <w:r w:rsidRPr="004B3E83">
              <w:rPr>
                <w:rFonts w:eastAsia="Times New Roman" w:cs="Arial"/>
                <w:lang w:val="en-US" w:eastAsia="en-US"/>
              </w:rPr>
              <w:t xml:space="preserve"> dimension</w:t>
            </w:r>
            <w:r w:rsidR="00C92931">
              <w:rPr>
                <w:rFonts w:eastAsia="Times New Roman" w:cs="Arial"/>
                <w:lang w:val="en-US" w:eastAsia="en-US"/>
              </w:rPr>
              <w:t>s</w:t>
            </w:r>
            <w:r w:rsidRPr="004B3E83">
              <w:rPr>
                <w:rFonts w:eastAsia="Times New Roman" w:cs="Arial"/>
                <w:lang w:val="en-US" w:eastAsia="en-US"/>
              </w:rPr>
              <w:t xml:space="preserve">.  </w:t>
            </w:r>
          </w:p>
          <w:p w:rsidR="0043483A" w:rsidRDefault="004B3E83" w:rsidP="000B2365">
            <w:pPr>
              <w:spacing w:before="60" w:after="60"/>
              <w:jc w:val="left"/>
              <w:rPr>
                <w:rFonts w:eastAsia="Times New Roman" w:cs="Arial"/>
                <w:lang w:val="en-US" w:eastAsia="en-US"/>
              </w:rPr>
            </w:pPr>
            <w:r w:rsidRPr="004B3E83">
              <w:rPr>
                <w:rFonts w:eastAsia="Times New Roman" w:cs="Arial"/>
                <w:lang w:val="en-US" w:eastAsia="en-US"/>
              </w:rPr>
              <w:t xml:space="preserve">If a company has only a </w:t>
            </w:r>
            <w:r w:rsidRPr="004B3E83">
              <w:rPr>
                <w:rFonts w:eastAsia="Times New Roman" w:cs="Arial"/>
                <w:b/>
                <w:bCs/>
                <w:lang w:val="en-US" w:eastAsia="en-US"/>
              </w:rPr>
              <w:t>single class of shares which are ordinary</w:t>
            </w:r>
            <w:r w:rsidRPr="004B3E83">
              <w:rPr>
                <w:rFonts w:eastAsia="Times New Roman" w:cs="Arial"/>
                <w:lang w:val="en-US" w:eastAsia="en-US"/>
              </w:rPr>
              <w:t>, then it may use the default dimension</w:t>
            </w:r>
            <w:r w:rsidR="006B4B8D">
              <w:rPr>
                <w:rFonts w:eastAsia="Times New Roman" w:cs="Arial"/>
                <w:lang w:val="en-US" w:eastAsia="en-US"/>
              </w:rPr>
              <w:t xml:space="preserve"> tag</w:t>
            </w:r>
            <w:r w:rsidRPr="004B3E83">
              <w:rPr>
                <w:rFonts w:eastAsia="Times New Roman" w:cs="Arial"/>
                <w:lang w:val="en-US" w:eastAsia="en-US"/>
              </w:rPr>
              <w:t>s, avoiding the need for dimensional selections.</w:t>
            </w:r>
          </w:p>
          <w:p w:rsidR="0043483A" w:rsidRDefault="004B3E83" w:rsidP="000B2365">
            <w:pPr>
              <w:spacing w:before="60" w:after="60"/>
              <w:jc w:val="left"/>
              <w:rPr>
                <w:rFonts w:eastAsia="Times New Roman" w:cs="Arial"/>
                <w:lang w:val="en-US" w:eastAsia="en-US"/>
              </w:rPr>
            </w:pPr>
            <w:r w:rsidRPr="004B3E83">
              <w:rPr>
                <w:rFonts w:eastAsia="Times New Roman" w:cs="Arial"/>
                <w:lang w:val="en-US" w:eastAsia="en-US"/>
              </w:rPr>
              <w:t>If it has one class of ordinary or one class of preference, then it may use the dimension tags ‘</w:t>
            </w:r>
            <w:r w:rsidRPr="007A7E70">
              <w:rPr>
                <w:rFonts w:eastAsia="Times New Roman" w:cs="Arial"/>
                <w:i/>
                <w:iCs/>
                <w:color w:val="DD0806"/>
                <w:lang w:val="en-US" w:eastAsia="en-US"/>
              </w:rPr>
              <w:t>All ordinary shares</w:t>
            </w:r>
            <w:r w:rsidRPr="004B3E83">
              <w:rPr>
                <w:rFonts w:eastAsia="Times New Roman" w:cs="Arial"/>
                <w:lang w:val="en-US" w:eastAsia="en-US"/>
              </w:rPr>
              <w:t>’ and ‘</w:t>
            </w:r>
            <w:r w:rsidRPr="007A7E70">
              <w:rPr>
                <w:rFonts w:eastAsia="Times New Roman" w:cs="Arial"/>
                <w:i/>
                <w:iCs/>
                <w:color w:val="DD0806"/>
                <w:lang w:val="en-US" w:eastAsia="en-US"/>
              </w:rPr>
              <w:t>All preference shares</w:t>
            </w:r>
            <w:r w:rsidRPr="004B3E83">
              <w:rPr>
                <w:rFonts w:eastAsia="Times New Roman" w:cs="Arial"/>
                <w:lang w:val="en-US" w:eastAsia="en-US"/>
              </w:rPr>
              <w:t xml:space="preserve">’ respectively to identify these.  </w:t>
            </w:r>
          </w:p>
          <w:p w:rsidR="0043483A" w:rsidRDefault="004B3E83" w:rsidP="000B2365">
            <w:pPr>
              <w:spacing w:before="60" w:after="60"/>
              <w:jc w:val="left"/>
              <w:rPr>
                <w:rFonts w:eastAsia="Times New Roman" w:cs="Arial"/>
                <w:lang w:val="en-US" w:eastAsia="en-US"/>
              </w:rPr>
            </w:pPr>
            <w:r w:rsidRPr="004B3E83">
              <w:rPr>
                <w:rFonts w:eastAsia="Times New Roman" w:cs="Arial"/>
                <w:lang w:val="en-US" w:eastAsia="en-US"/>
              </w:rPr>
              <w:t>If it has multiple ordinary or preference shares, it must use the specific share class tags, '</w:t>
            </w:r>
            <w:r w:rsidRPr="007A7E70">
              <w:rPr>
                <w:rFonts w:eastAsia="Times New Roman" w:cs="Arial"/>
                <w:i/>
                <w:iCs/>
                <w:color w:val="DD0806"/>
                <w:lang w:val="en-US" w:eastAsia="en-US"/>
              </w:rPr>
              <w:t>xxxx share class 1</w:t>
            </w:r>
            <w:r w:rsidRPr="004B3E83">
              <w:rPr>
                <w:rFonts w:eastAsia="Times New Roman" w:cs="Arial"/>
                <w:lang w:val="en-US" w:eastAsia="en-US"/>
              </w:rPr>
              <w:t>' etc., to distinguish them.  It must also then use the ‘</w:t>
            </w:r>
            <w:r w:rsidRPr="007A7E70">
              <w:rPr>
                <w:rFonts w:eastAsia="Times New Roman" w:cs="Arial"/>
                <w:i/>
                <w:iCs/>
                <w:color w:val="DD0806"/>
                <w:lang w:val="en-US" w:eastAsia="en-US"/>
              </w:rPr>
              <w:t>Description of share type</w:t>
            </w:r>
            <w:r w:rsidRPr="004B3E83">
              <w:rPr>
                <w:rFonts w:eastAsia="Times New Roman" w:cs="Arial"/>
                <w:lang w:val="en-US" w:eastAsia="en-US"/>
              </w:rPr>
              <w:t>’ tag to identi</w:t>
            </w:r>
            <w:r w:rsidR="006B4B8D">
              <w:rPr>
                <w:rFonts w:eastAsia="Times New Roman" w:cs="Arial"/>
                <w:lang w:val="en-US" w:eastAsia="en-US"/>
              </w:rPr>
              <w:t xml:space="preserve">fy each specific class.  </w:t>
            </w:r>
          </w:p>
          <w:p w:rsidR="004B3E83" w:rsidRPr="004B3E83" w:rsidRDefault="006B4B8D" w:rsidP="000B2365">
            <w:pPr>
              <w:spacing w:before="60" w:after="60"/>
              <w:jc w:val="left"/>
              <w:rPr>
                <w:rFonts w:eastAsia="Times New Roman" w:cs="Arial"/>
                <w:lang w:val="en-US" w:eastAsia="en-US"/>
              </w:rPr>
            </w:pPr>
            <w:r>
              <w:rPr>
                <w:rFonts w:eastAsia="Times New Roman" w:cs="Arial"/>
                <w:lang w:val="en-US" w:eastAsia="en-US"/>
              </w:rPr>
              <w:t xml:space="preserve">The </w:t>
            </w:r>
            <w:r w:rsidRPr="006B4B8D">
              <w:rPr>
                <w:rFonts w:eastAsia="Times New Roman" w:cs="Arial"/>
                <w:i/>
                <w:lang w:val="en-US" w:eastAsia="en-US"/>
              </w:rPr>
              <w:t>S</w:t>
            </w:r>
            <w:r w:rsidR="004B3E83" w:rsidRPr="006B4B8D">
              <w:rPr>
                <w:rFonts w:eastAsia="Times New Roman" w:cs="Arial"/>
                <w:i/>
                <w:lang w:val="en-US" w:eastAsia="en-US"/>
              </w:rPr>
              <w:t>hare types</w:t>
            </w:r>
            <w:r w:rsidR="004B3E83" w:rsidRPr="004B3E83">
              <w:rPr>
                <w:rFonts w:eastAsia="Times New Roman" w:cs="Arial"/>
                <w:lang w:val="en-US" w:eastAsia="en-US"/>
              </w:rPr>
              <w:t xml:space="preserve"> dimension is missing a dimension tag for 'Non-cumulative and redeemable shares'.   (Instead, there is an erroneous repetition of the tag for cumulative and non-redeemable.)   This share type therefore cannot be specifically tagged.  </w:t>
            </w:r>
          </w:p>
        </w:tc>
      </w:tr>
    </w:tbl>
    <w:p w:rsidR="00B83151" w:rsidRDefault="00B83151" w:rsidP="00B83151">
      <w:pPr>
        <w:rPr>
          <w:rFonts w:cs="Arial"/>
        </w:rPr>
      </w:pPr>
    </w:p>
    <w:p w:rsidR="00645D0F" w:rsidRDefault="00645D0F" w:rsidP="004C1F60">
      <w:pPr>
        <w:pStyle w:val="Heading2"/>
      </w:pPr>
      <w:bookmarkStart w:id="47" w:name="_Toc292036848"/>
      <w:r>
        <w:t>IFRS – Employee benefits note</w:t>
      </w:r>
      <w:bookmarkEnd w:id="47"/>
    </w:p>
    <w:p w:rsidR="00645D0F" w:rsidRDefault="00645D0F" w:rsidP="00645D0F"/>
    <w:tbl>
      <w:tblPr>
        <w:tblW w:w="9231" w:type="dxa"/>
        <w:tblInd w:w="91" w:type="dxa"/>
        <w:tblLook w:val="0000"/>
      </w:tblPr>
      <w:tblGrid>
        <w:gridCol w:w="606"/>
        <w:gridCol w:w="1710"/>
        <w:gridCol w:w="6915"/>
      </w:tblGrid>
      <w:tr w:rsidR="00645D0F" w:rsidRPr="00D50F7D" w:rsidTr="00645D0F">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5D0F" w:rsidRPr="00D87AA9" w:rsidRDefault="00645D0F" w:rsidP="00FE7A47">
            <w:pPr>
              <w:spacing w:before="60" w:after="60"/>
              <w:jc w:val="left"/>
              <w:rPr>
                <w:rFonts w:eastAsia="Times New Roman" w:cs="Arial"/>
                <w:b/>
                <w:bCs/>
                <w:lang w:val="en-US" w:eastAsia="en-US"/>
              </w:rPr>
            </w:pPr>
            <w:r w:rsidRPr="00D87AA9">
              <w:rPr>
                <w:rFonts w:eastAsia="Times New Roman" w:cs="Arial"/>
                <w:b/>
                <w:bCs/>
                <w:lang w:val="en-US" w:eastAsia="en-US"/>
              </w:rPr>
              <w:t>ID</w:t>
            </w:r>
          </w:p>
        </w:tc>
        <w:tc>
          <w:tcPr>
            <w:tcW w:w="1710" w:type="dxa"/>
            <w:tcBorders>
              <w:top w:val="single" w:sz="4" w:space="0" w:color="auto"/>
              <w:left w:val="nil"/>
              <w:bottom w:val="single" w:sz="4" w:space="0" w:color="auto"/>
              <w:right w:val="single" w:sz="4" w:space="0" w:color="auto"/>
            </w:tcBorders>
            <w:shd w:val="clear" w:color="auto" w:fill="auto"/>
            <w:vAlign w:val="center"/>
          </w:tcPr>
          <w:p w:rsidR="00645D0F" w:rsidRPr="00D87AA9" w:rsidRDefault="00645D0F" w:rsidP="00FE7A47">
            <w:pPr>
              <w:spacing w:before="60" w:after="60"/>
              <w:jc w:val="left"/>
              <w:rPr>
                <w:rFonts w:eastAsia="Times New Roman" w:cs="Arial"/>
                <w:b/>
                <w:bCs/>
                <w:lang w:val="en-US" w:eastAsia="en-US"/>
              </w:rPr>
            </w:pPr>
            <w:r w:rsidRPr="00D87AA9">
              <w:rPr>
                <w:rFonts w:eastAsia="Times New Roman" w:cs="Arial"/>
                <w:b/>
                <w:bCs/>
                <w:lang w:val="en-US" w:eastAsia="en-US"/>
              </w:rPr>
              <w:t>Item</w:t>
            </w:r>
          </w:p>
        </w:tc>
        <w:tc>
          <w:tcPr>
            <w:tcW w:w="6915" w:type="dxa"/>
            <w:tcBorders>
              <w:top w:val="single" w:sz="4" w:space="0" w:color="auto"/>
              <w:left w:val="nil"/>
              <w:bottom w:val="single" w:sz="4" w:space="0" w:color="auto"/>
              <w:right w:val="single" w:sz="4" w:space="0" w:color="auto"/>
            </w:tcBorders>
            <w:shd w:val="clear" w:color="auto" w:fill="auto"/>
            <w:vAlign w:val="center"/>
          </w:tcPr>
          <w:p w:rsidR="00645D0F" w:rsidRPr="00D87AA9" w:rsidRDefault="00645D0F" w:rsidP="00FE7A47">
            <w:pPr>
              <w:spacing w:before="60" w:after="60"/>
              <w:jc w:val="left"/>
              <w:rPr>
                <w:rFonts w:eastAsia="Times New Roman" w:cs="Arial"/>
                <w:b/>
                <w:bCs/>
                <w:lang w:val="en-US" w:eastAsia="en-US"/>
              </w:rPr>
            </w:pPr>
            <w:r w:rsidRPr="00D87AA9">
              <w:rPr>
                <w:rFonts w:eastAsia="Times New Roman" w:cs="Arial"/>
                <w:b/>
                <w:bCs/>
                <w:lang w:val="en-US" w:eastAsia="en-US"/>
              </w:rPr>
              <w:t>Description</w:t>
            </w:r>
          </w:p>
        </w:tc>
      </w:tr>
      <w:tr w:rsidR="00645D0F" w:rsidRPr="004C1F60" w:rsidTr="00645D0F">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5D0F" w:rsidRPr="00645D0F" w:rsidRDefault="00645D0F" w:rsidP="00FE7A47">
            <w:pPr>
              <w:spacing w:before="60" w:after="60"/>
              <w:jc w:val="left"/>
              <w:rPr>
                <w:rFonts w:eastAsia="Times New Roman" w:cs="Arial"/>
                <w:highlight w:val="yellow"/>
                <w:lang w:val="en-US" w:eastAsia="en-US"/>
              </w:rPr>
            </w:pPr>
            <w:r w:rsidRPr="00645D0F">
              <w:rPr>
                <w:rFonts w:eastAsia="Times New Roman" w:cs="Arial"/>
                <w:highlight w:val="yellow"/>
                <w:lang w:val="en-US" w:eastAsia="en-US"/>
              </w:rPr>
              <w:t>9.34</w:t>
            </w:r>
          </w:p>
        </w:tc>
        <w:tc>
          <w:tcPr>
            <w:tcW w:w="1710" w:type="dxa"/>
            <w:tcBorders>
              <w:top w:val="single" w:sz="4" w:space="0" w:color="auto"/>
              <w:left w:val="nil"/>
              <w:bottom w:val="single" w:sz="4" w:space="0" w:color="auto"/>
              <w:right w:val="single" w:sz="4" w:space="0" w:color="auto"/>
            </w:tcBorders>
            <w:shd w:val="clear" w:color="auto" w:fill="auto"/>
            <w:vAlign w:val="center"/>
          </w:tcPr>
          <w:p w:rsidR="00645D0F" w:rsidRPr="00645D0F" w:rsidRDefault="00645D0F" w:rsidP="00645D0F">
            <w:pPr>
              <w:jc w:val="left"/>
              <w:rPr>
                <w:rFonts w:cs="Arial"/>
                <w:highlight w:val="yellow"/>
              </w:rPr>
            </w:pPr>
            <w:r w:rsidRPr="00645D0F">
              <w:rPr>
                <w:highlight w:val="yellow"/>
              </w:rPr>
              <w:t>Share-based payment expenses</w:t>
            </w:r>
          </w:p>
        </w:tc>
        <w:tc>
          <w:tcPr>
            <w:tcW w:w="6915" w:type="dxa"/>
            <w:tcBorders>
              <w:top w:val="single" w:sz="4" w:space="0" w:color="auto"/>
              <w:left w:val="nil"/>
              <w:bottom w:val="single" w:sz="4" w:space="0" w:color="auto"/>
              <w:right w:val="single" w:sz="4" w:space="0" w:color="auto"/>
            </w:tcBorders>
            <w:shd w:val="clear" w:color="auto" w:fill="auto"/>
            <w:vAlign w:val="center"/>
          </w:tcPr>
          <w:p w:rsidR="00645D0F" w:rsidRDefault="00645D0F" w:rsidP="00645D0F">
            <w:pPr>
              <w:spacing w:before="60" w:after="60"/>
              <w:rPr>
                <w:rFonts w:cs="Arial"/>
              </w:rPr>
            </w:pPr>
            <w:r>
              <w:t>The tag '</w:t>
            </w:r>
            <w:r>
              <w:rPr>
                <w:i/>
                <w:iCs/>
                <w:color w:val="DD0806"/>
              </w:rPr>
              <w:t>Share-based payment expense, equity settled</w:t>
            </w:r>
            <w:r>
              <w:t xml:space="preserve">' is under the </w:t>
            </w:r>
            <w:r w:rsidRPr="00645D0F">
              <w:rPr>
                <w:i/>
                <w:color w:val="008000"/>
              </w:rPr>
              <w:t>Notes on cash flow, additional banking industry items</w:t>
            </w:r>
            <w:r>
              <w:t xml:space="preserve"> section.  It should be shown in the </w:t>
            </w:r>
            <w:r>
              <w:rPr>
                <w:i/>
                <w:iCs/>
                <w:color w:val="006411"/>
              </w:rPr>
              <w:t>Share-based payments</w:t>
            </w:r>
            <w:r>
              <w:t xml:space="preserve"> and </w:t>
            </w:r>
            <w:r>
              <w:rPr>
                <w:i/>
                <w:iCs/>
                <w:color w:val="006411"/>
              </w:rPr>
              <w:t>Employee benefits expense</w:t>
            </w:r>
            <w:r>
              <w:t xml:space="preserve"> sections of the main taxonomy.  </w:t>
            </w:r>
          </w:p>
        </w:tc>
      </w:tr>
    </w:tbl>
    <w:p w:rsidR="00645D0F" w:rsidRPr="00645D0F" w:rsidRDefault="00645D0F" w:rsidP="00645D0F"/>
    <w:p w:rsidR="00B83151" w:rsidRPr="004C1F60" w:rsidRDefault="004C1F60" w:rsidP="004C1F60">
      <w:pPr>
        <w:pStyle w:val="Heading2"/>
      </w:pPr>
      <w:bookmarkStart w:id="48" w:name="_Toc292036849"/>
      <w:r w:rsidRPr="004C1F60">
        <w:t xml:space="preserve">IFRS </w:t>
      </w:r>
      <w:r>
        <w:t>–</w:t>
      </w:r>
      <w:r w:rsidRPr="004C1F60">
        <w:t xml:space="preserve"> </w:t>
      </w:r>
      <w:r>
        <w:t>P</w:t>
      </w:r>
      <w:r w:rsidRPr="004C1F60">
        <w:t>ensions note</w:t>
      </w:r>
      <w:bookmarkEnd w:id="48"/>
    </w:p>
    <w:p w:rsidR="004A354B" w:rsidRDefault="004A354B" w:rsidP="004A354B">
      <w:pPr>
        <w:rPr>
          <w:rFonts w:cs="Arial"/>
        </w:rPr>
      </w:pPr>
    </w:p>
    <w:tbl>
      <w:tblPr>
        <w:tblW w:w="9231" w:type="dxa"/>
        <w:tblInd w:w="91" w:type="dxa"/>
        <w:tblLook w:val="0000"/>
      </w:tblPr>
      <w:tblGrid>
        <w:gridCol w:w="606"/>
        <w:gridCol w:w="1718"/>
        <w:gridCol w:w="6907"/>
      </w:tblGrid>
      <w:tr w:rsidR="004A354B" w:rsidRPr="00D50F7D" w:rsidTr="00AB1C38">
        <w:trPr>
          <w:cantSplit/>
          <w:trHeight w:val="240"/>
          <w:tblHeader/>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4A354B" w:rsidRPr="00D87AA9" w:rsidRDefault="004A354B" w:rsidP="005134B9">
            <w:pPr>
              <w:spacing w:before="60" w:after="60"/>
              <w:jc w:val="left"/>
              <w:rPr>
                <w:rFonts w:eastAsia="Times New Roman" w:cs="Arial"/>
                <w:b/>
                <w:bCs/>
                <w:lang w:val="en-US" w:eastAsia="en-US"/>
              </w:rPr>
            </w:pPr>
            <w:r w:rsidRPr="00D87AA9">
              <w:rPr>
                <w:rFonts w:eastAsia="Times New Roman" w:cs="Arial"/>
                <w:b/>
                <w:bCs/>
                <w:lang w:val="en-US" w:eastAsia="en-US"/>
              </w:rPr>
              <w:t>ID</w:t>
            </w:r>
          </w:p>
        </w:tc>
        <w:tc>
          <w:tcPr>
            <w:tcW w:w="1718" w:type="dxa"/>
            <w:tcBorders>
              <w:top w:val="single" w:sz="4" w:space="0" w:color="auto"/>
              <w:left w:val="nil"/>
              <w:bottom w:val="single" w:sz="4" w:space="0" w:color="auto"/>
              <w:right w:val="single" w:sz="4" w:space="0" w:color="auto"/>
            </w:tcBorders>
            <w:shd w:val="clear" w:color="auto" w:fill="auto"/>
            <w:vAlign w:val="center"/>
          </w:tcPr>
          <w:p w:rsidR="004A354B" w:rsidRPr="00D87AA9" w:rsidRDefault="004A354B" w:rsidP="005134B9">
            <w:pPr>
              <w:spacing w:before="60" w:after="60"/>
              <w:jc w:val="left"/>
              <w:rPr>
                <w:rFonts w:eastAsia="Times New Roman" w:cs="Arial"/>
                <w:b/>
                <w:bCs/>
                <w:lang w:val="en-US" w:eastAsia="en-US"/>
              </w:rPr>
            </w:pPr>
            <w:r w:rsidRPr="00D87AA9">
              <w:rPr>
                <w:rFonts w:eastAsia="Times New Roman" w:cs="Arial"/>
                <w:b/>
                <w:bCs/>
                <w:lang w:val="en-US" w:eastAsia="en-US"/>
              </w:rPr>
              <w:t>Item</w:t>
            </w:r>
          </w:p>
        </w:tc>
        <w:tc>
          <w:tcPr>
            <w:tcW w:w="6907" w:type="dxa"/>
            <w:tcBorders>
              <w:top w:val="single" w:sz="4" w:space="0" w:color="auto"/>
              <w:left w:val="nil"/>
              <w:bottom w:val="single" w:sz="4" w:space="0" w:color="auto"/>
              <w:right w:val="single" w:sz="4" w:space="0" w:color="auto"/>
            </w:tcBorders>
            <w:shd w:val="clear" w:color="auto" w:fill="auto"/>
            <w:vAlign w:val="center"/>
          </w:tcPr>
          <w:p w:rsidR="004A354B" w:rsidRPr="00D87AA9" w:rsidRDefault="004A354B" w:rsidP="005134B9">
            <w:pPr>
              <w:spacing w:before="60" w:after="60"/>
              <w:jc w:val="left"/>
              <w:rPr>
                <w:rFonts w:eastAsia="Times New Roman" w:cs="Arial"/>
                <w:b/>
                <w:bCs/>
                <w:lang w:val="en-US" w:eastAsia="en-US"/>
              </w:rPr>
            </w:pPr>
            <w:r w:rsidRPr="00D87AA9">
              <w:rPr>
                <w:rFonts w:eastAsia="Times New Roman" w:cs="Arial"/>
                <w:b/>
                <w:bCs/>
                <w:lang w:val="en-US" w:eastAsia="en-US"/>
              </w:rPr>
              <w:t>Description</w:t>
            </w:r>
          </w:p>
        </w:tc>
      </w:tr>
      <w:tr w:rsidR="000B2365" w:rsidRPr="004C1F60" w:rsidTr="005144AC">
        <w:trPr>
          <w:cantSplit/>
          <w:trHeight w:val="240"/>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1F60" w:rsidRPr="004C1F60" w:rsidRDefault="00B7745D" w:rsidP="000B2365">
            <w:pPr>
              <w:spacing w:before="60" w:after="60"/>
              <w:jc w:val="left"/>
              <w:rPr>
                <w:rFonts w:eastAsia="Times New Roman" w:cs="Arial"/>
                <w:lang w:val="en-US" w:eastAsia="en-US"/>
              </w:rPr>
            </w:pPr>
            <w:r>
              <w:rPr>
                <w:rFonts w:eastAsia="Times New Roman" w:cs="Arial"/>
                <w:lang w:val="en-US" w:eastAsia="en-US"/>
              </w:rPr>
              <w:t>9.3</w:t>
            </w:r>
            <w:r w:rsidR="005144AC">
              <w:rPr>
                <w:rFonts w:eastAsia="Times New Roman" w:cs="Arial"/>
                <w:lang w:val="en-US" w:eastAsia="en-US"/>
              </w:rPr>
              <w:t>5</w:t>
            </w:r>
          </w:p>
        </w:tc>
        <w:tc>
          <w:tcPr>
            <w:tcW w:w="1718" w:type="dxa"/>
            <w:tcBorders>
              <w:top w:val="single" w:sz="4" w:space="0" w:color="auto"/>
              <w:left w:val="nil"/>
              <w:bottom w:val="single" w:sz="4" w:space="0" w:color="auto"/>
              <w:right w:val="single" w:sz="4" w:space="0" w:color="auto"/>
            </w:tcBorders>
            <w:shd w:val="clear" w:color="auto" w:fill="auto"/>
            <w:vAlign w:val="center"/>
          </w:tcPr>
          <w:p w:rsidR="004C1F60" w:rsidRPr="004C1F60" w:rsidRDefault="004C1F60" w:rsidP="000B2365">
            <w:pPr>
              <w:spacing w:before="60" w:after="60"/>
              <w:jc w:val="left"/>
              <w:rPr>
                <w:rFonts w:eastAsia="Times New Roman" w:cs="Arial"/>
                <w:lang w:val="en-US" w:eastAsia="en-US"/>
              </w:rPr>
            </w:pPr>
            <w:r w:rsidRPr="004C1F60">
              <w:rPr>
                <w:rFonts w:eastAsia="Times New Roman" w:cs="Arial"/>
                <w:lang w:val="en-US" w:eastAsia="en-US"/>
              </w:rPr>
              <w:t>Pensions schemes</w:t>
            </w:r>
          </w:p>
        </w:tc>
        <w:tc>
          <w:tcPr>
            <w:tcW w:w="6907" w:type="dxa"/>
            <w:tcBorders>
              <w:top w:val="single" w:sz="4" w:space="0" w:color="auto"/>
              <w:left w:val="nil"/>
              <w:bottom w:val="single" w:sz="4" w:space="0" w:color="auto"/>
              <w:right w:val="single" w:sz="4" w:space="0" w:color="auto"/>
            </w:tcBorders>
            <w:shd w:val="clear" w:color="auto" w:fill="auto"/>
            <w:vAlign w:val="center"/>
          </w:tcPr>
          <w:p w:rsidR="004C1F60" w:rsidRPr="004C1F60" w:rsidRDefault="00FD5A3E" w:rsidP="000B2365">
            <w:pPr>
              <w:spacing w:before="60" w:after="60"/>
              <w:jc w:val="left"/>
              <w:rPr>
                <w:rFonts w:eastAsia="Times New Roman" w:cs="Arial"/>
                <w:lang w:val="en-US" w:eastAsia="en-US"/>
              </w:rPr>
            </w:pPr>
            <w:r w:rsidRPr="004C1F60">
              <w:rPr>
                <w:rFonts w:eastAsia="Times New Roman" w:cs="Arial"/>
                <w:lang w:val="en-US" w:eastAsia="en-US"/>
              </w:rPr>
              <w:t xml:space="preserve">The presence of a pension scheme </w:t>
            </w:r>
            <w:r w:rsidRPr="004C1F60">
              <w:rPr>
                <w:rFonts w:eastAsia="Times New Roman" w:cs="Arial"/>
                <w:b/>
                <w:bCs/>
                <w:lang w:val="en-US" w:eastAsia="en-US"/>
              </w:rPr>
              <w:t>must</w:t>
            </w:r>
            <w:r w:rsidRPr="004C1F60">
              <w:rPr>
                <w:rFonts w:eastAsia="Times New Roman" w:cs="Arial"/>
                <w:lang w:val="en-US" w:eastAsia="en-US"/>
              </w:rPr>
              <w:t xml:space="preserve"> be indicated by use of the </w:t>
            </w:r>
            <w:r w:rsidRPr="004C1F60">
              <w:rPr>
                <w:rFonts w:eastAsia="Times New Roman" w:cs="Arial"/>
                <w:i/>
                <w:iCs/>
                <w:lang w:val="en-US" w:eastAsia="en-US"/>
              </w:rPr>
              <w:t>'</w:t>
            </w:r>
            <w:r w:rsidRPr="007A7E70">
              <w:rPr>
                <w:rFonts w:eastAsia="Times New Roman" w:cs="Arial"/>
                <w:i/>
                <w:iCs/>
                <w:color w:val="DD0806"/>
                <w:lang w:val="en-US" w:eastAsia="en-US"/>
              </w:rPr>
              <w:t>Name of defined contribution scheme</w:t>
            </w:r>
            <w:r>
              <w:rPr>
                <w:rFonts w:eastAsia="Times New Roman" w:cs="Arial"/>
                <w:lang w:val="en-US" w:eastAsia="en-US"/>
              </w:rPr>
              <w:t xml:space="preserve">' and / </w:t>
            </w:r>
            <w:r w:rsidRPr="004C1F60">
              <w:rPr>
                <w:rFonts w:eastAsia="Times New Roman" w:cs="Arial"/>
                <w:lang w:val="en-US" w:eastAsia="en-US"/>
              </w:rPr>
              <w:t>or '</w:t>
            </w:r>
            <w:r w:rsidRPr="007A7E70">
              <w:rPr>
                <w:rFonts w:eastAsia="Times New Roman" w:cs="Arial"/>
                <w:i/>
                <w:iCs/>
                <w:color w:val="DD0806"/>
                <w:lang w:val="en-US" w:eastAsia="en-US"/>
              </w:rPr>
              <w:t>Name of defined benefit scheme</w:t>
            </w:r>
            <w:r w:rsidRPr="004C1F60">
              <w:rPr>
                <w:rFonts w:eastAsia="Times New Roman" w:cs="Arial"/>
                <w:lang w:val="en-US" w:eastAsia="en-US"/>
              </w:rPr>
              <w:t xml:space="preserve">' tags.  </w:t>
            </w:r>
            <w:r w:rsidR="004C1F60" w:rsidRPr="004C1F60">
              <w:rPr>
                <w:rFonts w:eastAsia="Times New Roman" w:cs="Arial"/>
                <w:lang w:val="en-US" w:eastAsia="en-US"/>
              </w:rPr>
              <w:t xml:space="preserve">(Both are minimum tagging items).   The tags must be applied to general wording such as 'defined benefit scheme' or similar descriptions if no other more precise naming is provided in accounts.  </w:t>
            </w:r>
          </w:p>
        </w:tc>
      </w:tr>
      <w:tr w:rsidR="004C1F60" w:rsidRPr="004C1F60" w:rsidTr="005144AC">
        <w:trPr>
          <w:cantSplit/>
          <w:trHeight w:val="240"/>
        </w:trPr>
        <w:tc>
          <w:tcPr>
            <w:tcW w:w="606" w:type="dxa"/>
            <w:tcBorders>
              <w:top w:val="single" w:sz="4" w:space="0" w:color="auto"/>
              <w:left w:val="single" w:sz="4" w:space="0" w:color="auto"/>
              <w:bottom w:val="single" w:sz="4" w:space="0" w:color="auto"/>
              <w:right w:val="single" w:sz="4" w:space="0" w:color="auto"/>
            </w:tcBorders>
            <w:noWrap/>
            <w:vAlign w:val="center"/>
          </w:tcPr>
          <w:p w:rsidR="004C1F60" w:rsidRPr="004C1F60" w:rsidRDefault="00B7745D" w:rsidP="000B2365">
            <w:pPr>
              <w:spacing w:before="60" w:after="60"/>
              <w:jc w:val="left"/>
              <w:rPr>
                <w:rFonts w:eastAsia="Times New Roman" w:cs="Arial"/>
                <w:lang w:val="en-US" w:eastAsia="en-US"/>
              </w:rPr>
            </w:pPr>
            <w:r>
              <w:rPr>
                <w:rFonts w:eastAsia="Times New Roman" w:cs="Arial"/>
                <w:lang w:val="en-US" w:eastAsia="en-US"/>
              </w:rPr>
              <w:t>9.3</w:t>
            </w:r>
            <w:r w:rsidR="005144AC">
              <w:rPr>
                <w:rFonts w:eastAsia="Times New Roman" w:cs="Arial"/>
                <w:lang w:val="en-US" w:eastAsia="en-US"/>
              </w:rPr>
              <w:t>6</w:t>
            </w:r>
          </w:p>
        </w:tc>
        <w:tc>
          <w:tcPr>
            <w:tcW w:w="1718" w:type="dxa"/>
            <w:tcBorders>
              <w:top w:val="single" w:sz="4" w:space="0" w:color="auto"/>
              <w:left w:val="nil"/>
              <w:bottom w:val="single" w:sz="4" w:space="0" w:color="auto"/>
              <w:right w:val="single" w:sz="4" w:space="0" w:color="auto"/>
            </w:tcBorders>
            <w:shd w:val="clear" w:color="auto" w:fill="auto"/>
            <w:vAlign w:val="center"/>
          </w:tcPr>
          <w:p w:rsidR="004C1F60" w:rsidRPr="004C1F60" w:rsidRDefault="004C1F60" w:rsidP="000B2365">
            <w:pPr>
              <w:spacing w:before="60" w:after="60"/>
              <w:jc w:val="left"/>
              <w:rPr>
                <w:rFonts w:eastAsia="Times New Roman" w:cs="Arial"/>
                <w:lang w:val="en-US" w:eastAsia="en-US"/>
              </w:rPr>
            </w:pPr>
            <w:r w:rsidRPr="004C1F60">
              <w:rPr>
                <w:rFonts w:eastAsia="Times New Roman" w:cs="Arial"/>
                <w:lang w:val="en-US" w:eastAsia="en-US"/>
              </w:rPr>
              <w:t xml:space="preserve">Actuarial gain / loss recognised in pension schemes </w:t>
            </w:r>
          </w:p>
        </w:tc>
        <w:tc>
          <w:tcPr>
            <w:tcW w:w="6907" w:type="dxa"/>
            <w:tcBorders>
              <w:top w:val="single" w:sz="4" w:space="0" w:color="auto"/>
              <w:left w:val="nil"/>
              <w:bottom w:val="single" w:sz="4" w:space="0" w:color="auto"/>
              <w:right w:val="single" w:sz="4" w:space="0" w:color="auto"/>
            </w:tcBorders>
            <w:shd w:val="clear" w:color="auto" w:fill="auto"/>
            <w:vAlign w:val="center"/>
          </w:tcPr>
          <w:p w:rsidR="004C1F60" w:rsidRPr="004C1F60" w:rsidRDefault="00E51E09" w:rsidP="000B2365">
            <w:pPr>
              <w:spacing w:before="60" w:after="60"/>
              <w:jc w:val="left"/>
              <w:rPr>
                <w:rFonts w:eastAsia="Times New Roman" w:cs="Arial"/>
                <w:lang w:val="en-US" w:eastAsia="en-US"/>
              </w:rPr>
            </w:pPr>
            <w:r w:rsidRPr="00E51E09">
              <w:rPr>
                <w:rFonts w:eastAsia="Times New Roman" w:cs="Arial"/>
                <w:lang w:val="en-US" w:eastAsia="en-US"/>
              </w:rPr>
              <w:t xml:space="preserve">As stated in </w:t>
            </w:r>
            <w:hyperlink w:anchor="XR_ActGainLoss" w:history="1">
              <w:r w:rsidRPr="00E51E09">
                <w:rPr>
                  <w:rStyle w:val="Hyperlink"/>
                  <w:rFonts w:eastAsia="Times New Roman" w:cs="Arial"/>
                  <w:lang w:val="en-US" w:eastAsia="en-US"/>
                </w:rPr>
                <w:t>item</w:t>
              </w:r>
              <w:r w:rsidRPr="00E51E09">
                <w:rPr>
                  <w:rStyle w:val="Hyperlink"/>
                  <w:rFonts w:eastAsia="Times New Roman" w:cs="Arial"/>
                  <w:lang w:val="en-US" w:eastAsia="en-US"/>
                </w:rPr>
                <w:t xml:space="preserve"> </w:t>
              </w:r>
              <w:r w:rsidRPr="00E51E09">
                <w:rPr>
                  <w:rStyle w:val="Hyperlink"/>
                  <w:rFonts w:eastAsia="Times New Roman" w:cs="Arial"/>
                  <w:lang w:val="en-US" w:eastAsia="en-US"/>
                </w:rPr>
                <w:t>9.4</w:t>
              </w:r>
            </w:hyperlink>
            <w:r w:rsidRPr="00E51E09">
              <w:rPr>
                <w:rFonts w:eastAsia="Times New Roman" w:cs="Arial"/>
                <w:lang w:val="en-US" w:eastAsia="en-US"/>
              </w:rPr>
              <w:t xml:space="preserve"> on comprehensive income</w:t>
            </w:r>
            <w:r w:rsidR="004C1F60" w:rsidRPr="004C1F60">
              <w:rPr>
                <w:rFonts w:eastAsia="Times New Roman" w:cs="Arial"/>
                <w:lang w:val="en-US" w:eastAsia="en-US"/>
              </w:rPr>
              <w:t>, actuarial gains and losses recognised in OCI under the pensions note should be tagged with '</w:t>
            </w:r>
            <w:r w:rsidR="004C1F60" w:rsidRPr="004C1F60">
              <w:rPr>
                <w:rFonts w:eastAsia="Times New Roman" w:cs="Arial"/>
                <w:i/>
                <w:iCs/>
                <w:color w:val="DD0806"/>
                <w:lang w:val="en-US" w:eastAsia="en-US"/>
              </w:rPr>
              <w:t>Actuarial gain (loss) on defined benefit scheme recognised in other comprehensive income</w:t>
            </w:r>
            <w:r w:rsidR="004C1F60" w:rsidRPr="004C1F60">
              <w:rPr>
                <w:rFonts w:eastAsia="Times New Roman" w:cs="Arial"/>
                <w:lang w:val="en-US" w:eastAsia="en-US"/>
              </w:rPr>
              <w:t xml:space="preserve">'.  This tag may represent values for individual schemes and may be used with the </w:t>
            </w:r>
            <w:r w:rsidR="006B4B8D" w:rsidRPr="006B4B8D">
              <w:rPr>
                <w:rFonts w:eastAsia="Times New Roman" w:cs="Arial"/>
                <w:i/>
                <w:lang w:val="en-US" w:eastAsia="en-US"/>
              </w:rPr>
              <w:t>Pensions scheme</w:t>
            </w:r>
            <w:r w:rsidR="004C1F60" w:rsidRPr="004C1F60">
              <w:rPr>
                <w:rFonts w:eastAsia="Times New Roman" w:cs="Arial"/>
                <w:lang w:val="en-US" w:eastAsia="en-US"/>
              </w:rPr>
              <w:t xml:space="preserve"> dimension.    </w:t>
            </w:r>
          </w:p>
        </w:tc>
      </w:tr>
      <w:tr w:rsidR="005144AC" w:rsidRPr="004C1F60" w:rsidTr="005144AC">
        <w:trPr>
          <w:cantSplit/>
          <w:trHeight w:val="240"/>
        </w:trPr>
        <w:tc>
          <w:tcPr>
            <w:tcW w:w="606" w:type="dxa"/>
            <w:tcBorders>
              <w:top w:val="single" w:sz="4" w:space="0" w:color="auto"/>
              <w:left w:val="single" w:sz="4" w:space="0" w:color="auto"/>
              <w:bottom w:val="single" w:sz="4" w:space="0" w:color="auto"/>
              <w:right w:val="single" w:sz="4" w:space="0" w:color="auto"/>
            </w:tcBorders>
            <w:noWrap/>
            <w:vAlign w:val="center"/>
          </w:tcPr>
          <w:p w:rsidR="005144AC" w:rsidRPr="00AB1C38" w:rsidRDefault="005144AC" w:rsidP="000B2365">
            <w:pPr>
              <w:spacing w:before="60" w:after="60"/>
              <w:jc w:val="left"/>
              <w:rPr>
                <w:rFonts w:eastAsia="Times New Roman" w:cs="Arial"/>
                <w:highlight w:val="yellow"/>
                <w:lang w:val="en-US" w:eastAsia="en-US"/>
              </w:rPr>
            </w:pPr>
            <w:r w:rsidRPr="00AB1C38">
              <w:rPr>
                <w:rFonts w:eastAsia="Times New Roman" w:cs="Arial"/>
                <w:highlight w:val="yellow"/>
                <w:lang w:val="en-US" w:eastAsia="en-US"/>
              </w:rPr>
              <w:lastRenderedPageBreak/>
              <w:t>9.37</w:t>
            </w:r>
          </w:p>
        </w:tc>
        <w:tc>
          <w:tcPr>
            <w:tcW w:w="1718" w:type="dxa"/>
            <w:tcBorders>
              <w:top w:val="single" w:sz="4" w:space="0" w:color="auto"/>
              <w:left w:val="nil"/>
              <w:bottom w:val="single" w:sz="4" w:space="0" w:color="auto"/>
              <w:right w:val="single" w:sz="4" w:space="0" w:color="auto"/>
            </w:tcBorders>
            <w:shd w:val="clear" w:color="auto" w:fill="auto"/>
            <w:vAlign w:val="center"/>
          </w:tcPr>
          <w:p w:rsidR="005144AC" w:rsidRPr="00AB1C38" w:rsidRDefault="005144AC" w:rsidP="005144AC">
            <w:pPr>
              <w:jc w:val="left"/>
              <w:rPr>
                <w:rFonts w:cs="Arial"/>
                <w:highlight w:val="yellow"/>
              </w:rPr>
            </w:pPr>
            <w:r w:rsidRPr="00AB1C38">
              <w:rPr>
                <w:highlight w:val="yellow"/>
              </w:rPr>
              <w:t>Sensitivity of pension scheme liabilities</w:t>
            </w:r>
          </w:p>
        </w:tc>
        <w:tc>
          <w:tcPr>
            <w:tcW w:w="6907" w:type="dxa"/>
            <w:tcBorders>
              <w:top w:val="single" w:sz="4" w:space="0" w:color="auto"/>
              <w:left w:val="nil"/>
              <w:bottom w:val="single" w:sz="4" w:space="0" w:color="auto"/>
              <w:right w:val="single" w:sz="4" w:space="0" w:color="auto"/>
            </w:tcBorders>
            <w:shd w:val="clear" w:color="auto" w:fill="auto"/>
            <w:vAlign w:val="center"/>
          </w:tcPr>
          <w:p w:rsidR="005144AC" w:rsidRDefault="005144AC" w:rsidP="005144AC">
            <w:pPr>
              <w:spacing w:before="60" w:after="60"/>
            </w:pPr>
            <w:r>
              <w:t>The tag '</w:t>
            </w:r>
            <w:r>
              <w:rPr>
                <w:i/>
                <w:iCs/>
                <w:color w:val="DD0806"/>
              </w:rPr>
              <w:t>Percentage increase in scheme liabilities from increase in discount rate by one percentage point</w:t>
            </w:r>
            <w:r>
              <w:t>' should read '</w:t>
            </w:r>
            <w:r>
              <w:rPr>
                <w:i/>
                <w:iCs/>
                <w:color w:val="DD0806"/>
              </w:rPr>
              <w:t xml:space="preserve">Percentage </w:t>
            </w:r>
            <w:r>
              <w:rPr>
                <w:b/>
                <w:bCs/>
                <w:i/>
                <w:iCs/>
                <w:color w:val="DD0806"/>
              </w:rPr>
              <w:t>decrease</w:t>
            </w:r>
            <w:r>
              <w:rPr>
                <w:i/>
                <w:iCs/>
                <w:color w:val="DD0806"/>
              </w:rPr>
              <w:t xml:space="preserve"> in scheme liabilities from increase in discount rate by one percentage point</w:t>
            </w:r>
            <w:r>
              <w:t xml:space="preserve">'.  Preparers </w:t>
            </w:r>
            <w:r>
              <w:rPr>
                <w:b/>
                <w:bCs/>
              </w:rPr>
              <w:t>may</w:t>
            </w:r>
            <w:r>
              <w:t xml:space="preserve"> use the tag assuming that </w:t>
            </w:r>
            <w:r>
              <w:rPr>
                <w:b/>
                <w:bCs/>
              </w:rPr>
              <w:t>decrease</w:t>
            </w:r>
            <w:r>
              <w:t xml:space="preserve">, rather than increase, is meant.  </w:t>
            </w:r>
          </w:p>
          <w:p w:rsidR="005144AC" w:rsidRDefault="005144AC" w:rsidP="005144AC">
            <w:pPr>
              <w:spacing w:before="60" w:after="60"/>
              <w:rPr>
                <w:rFonts w:cs="Arial"/>
              </w:rPr>
            </w:pPr>
            <w:r>
              <w:t>Similarly, the tag '</w:t>
            </w:r>
            <w:r>
              <w:rPr>
                <w:i/>
                <w:iCs/>
                <w:color w:val="DD0806"/>
              </w:rPr>
              <w:t>Percentage decrease in scheme liabilities from decrease in discount rate by one percentage point</w:t>
            </w:r>
            <w:r>
              <w:t>' should read '</w:t>
            </w:r>
            <w:r>
              <w:rPr>
                <w:i/>
                <w:iCs/>
                <w:color w:val="DD0806"/>
              </w:rPr>
              <w:t xml:space="preserve">Percentage </w:t>
            </w:r>
            <w:r>
              <w:rPr>
                <w:b/>
                <w:bCs/>
                <w:i/>
                <w:iCs/>
                <w:color w:val="DD0806"/>
              </w:rPr>
              <w:t>increase</w:t>
            </w:r>
            <w:r>
              <w:rPr>
                <w:i/>
                <w:iCs/>
                <w:color w:val="DD0806"/>
              </w:rPr>
              <w:t xml:space="preserve"> in scheme liabilities from decrease in discount rate by one percentage point</w:t>
            </w:r>
            <w:r>
              <w:t xml:space="preserve">'.  Preparers </w:t>
            </w:r>
            <w:r>
              <w:rPr>
                <w:b/>
                <w:bCs/>
              </w:rPr>
              <w:t>may</w:t>
            </w:r>
            <w:r>
              <w:t xml:space="preserve"> use the tag assuming that </w:t>
            </w:r>
            <w:r>
              <w:rPr>
                <w:b/>
                <w:bCs/>
              </w:rPr>
              <w:t>increase</w:t>
            </w:r>
            <w:r>
              <w:t xml:space="preserve">, rather than decrease, is meant.  </w:t>
            </w:r>
          </w:p>
        </w:tc>
      </w:tr>
    </w:tbl>
    <w:p w:rsidR="004A354B" w:rsidRDefault="004A354B" w:rsidP="004A354B">
      <w:pPr>
        <w:rPr>
          <w:rFonts w:cs="Arial"/>
        </w:rPr>
      </w:pPr>
    </w:p>
    <w:p w:rsidR="004A354B" w:rsidRPr="004C1F60" w:rsidRDefault="004C1F60" w:rsidP="004C1F60">
      <w:pPr>
        <w:pStyle w:val="Heading2"/>
      </w:pPr>
      <w:bookmarkStart w:id="49" w:name="_Toc292036850"/>
      <w:r w:rsidRPr="004C1F60">
        <w:t xml:space="preserve">IFRS </w:t>
      </w:r>
      <w:r>
        <w:t>–</w:t>
      </w:r>
      <w:r w:rsidRPr="004C1F60">
        <w:t xml:space="preserve"> </w:t>
      </w:r>
      <w:r>
        <w:t>R</w:t>
      </w:r>
      <w:r w:rsidRPr="004C1F60">
        <w:t>elated parties note</w:t>
      </w:r>
      <w:bookmarkEnd w:id="49"/>
    </w:p>
    <w:p w:rsidR="004A354B" w:rsidRDefault="004A354B" w:rsidP="004A354B">
      <w:pPr>
        <w:rPr>
          <w:rFonts w:cs="Arial"/>
        </w:rPr>
      </w:pPr>
    </w:p>
    <w:tbl>
      <w:tblPr>
        <w:tblW w:w="9231" w:type="dxa"/>
        <w:tblInd w:w="91" w:type="dxa"/>
        <w:tblLook w:val="0000"/>
      </w:tblPr>
      <w:tblGrid>
        <w:gridCol w:w="606"/>
        <w:gridCol w:w="1721"/>
        <w:gridCol w:w="6904"/>
      </w:tblGrid>
      <w:tr w:rsidR="004A354B" w:rsidRPr="00D50F7D" w:rsidTr="005134B9">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4A354B" w:rsidRPr="00D87AA9" w:rsidRDefault="004A354B" w:rsidP="005134B9">
            <w:pPr>
              <w:spacing w:before="60" w:after="60"/>
              <w:jc w:val="left"/>
              <w:rPr>
                <w:rFonts w:eastAsia="Times New Roman" w:cs="Arial"/>
                <w:b/>
                <w:bCs/>
                <w:lang w:val="en-US" w:eastAsia="en-US"/>
              </w:rPr>
            </w:pPr>
            <w:r w:rsidRPr="00D87AA9">
              <w:rPr>
                <w:rFonts w:eastAsia="Times New Roman" w:cs="Arial"/>
                <w:b/>
                <w:bCs/>
                <w:lang w:val="en-US" w:eastAsia="en-US"/>
              </w:rPr>
              <w:t>ID</w:t>
            </w:r>
          </w:p>
        </w:tc>
        <w:tc>
          <w:tcPr>
            <w:tcW w:w="1728" w:type="dxa"/>
            <w:tcBorders>
              <w:top w:val="single" w:sz="4" w:space="0" w:color="auto"/>
              <w:left w:val="nil"/>
              <w:bottom w:val="single" w:sz="4" w:space="0" w:color="auto"/>
              <w:right w:val="single" w:sz="4" w:space="0" w:color="auto"/>
            </w:tcBorders>
            <w:shd w:val="clear" w:color="auto" w:fill="auto"/>
            <w:vAlign w:val="center"/>
          </w:tcPr>
          <w:p w:rsidR="004A354B" w:rsidRPr="00D87AA9" w:rsidRDefault="004A354B" w:rsidP="005134B9">
            <w:pPr>
              <w:spacing w:before="60" w:after="60"/>
              <w:jc w:val="left"/>
              <w:rPr>
                <w:rFonts w:eastAsia="Times New Roman" w:cs="Arial"/>
                <w:b/>
                <w:bCs/>
                <w:lang w:val="en-US" w:eastAsia="en-US"/>
              </w:rPr>
            </w:pPr>
            <w:r w:rsidRPr="00D87AA9">
              <w:rPr>
                <w:rFonts w:eastAsia="Times New Roman" w:cs="Arial"/>
                <w:b/>
                <w:bCs/>
                <w:lang w:val="en-US" w:eastAsia="en-US"/>
              </w:rPr>
              <w:t>Item</w:t>
            </w:r>
          </w:p>
        </w:tc>
        <w:tc>
          <w:tcPr>
            <w:tcW w:w="7008" w:type="dxa"/>
            <w:tcBorders>
              <w:top w:val="single" w:sz="4" w:space="0" w:color="auto"/>
              <w:left w:val="nil"/>
              <w:bottom w:val="single" w:sz="4" w:space="0" w:color="auto"/>
              <w:right w:val="single" w:sz="4" w:space="0" w:color="auto"/>
            </w:tcBorders>
            <w:shd w:val="clear" w:color="auto" w:fill="auto"/>
            <w:vAlign w:val="center"/>
          </w:tcPr>
          <w:p w:rsidR="004A354B" w:rsidRPr="00D87AA9" w:rsidRDefault="004A354B" w:rsidP="005134B9">
            <w:pPr>
              <w:spacing w:before="60" w:after="60"/>
              <w:jc w:val="left"/>
              <w:rPr>
                <w:rFonts w:eastAsia="Times New Roman" w:cs="Arial"/>
                <w:b/>
                <w:bCs/>
                <w:lang w:val="en-US" w:eastAsia="en-US"/>
              </w:rPr>
            </w:pPr>
            <w:r w:rsidRPr="00D87AA9">
              <w:rPr>
                <w:rFonts w:eastAsia="Times New Roman" w:cs="Arial"/>
                <w:b/>
                <w:bCs/>
                <w:lang w:val="en-US" w:eastAsia="en-US"/>
              </w:rPr>
              <w:t>Description</w:t>
            </w:r>
          </w:p>
        </w:tc>
      </w:tr>
      <w:tr w:rsidR="000B2365" w:rsidRPr="00082AC8" w:rsidTr="00082AC8">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082AC8" w:rsidRPr="00082AC8" w:rsidRDefault="00082AC8" w:rsidP="000B2365">
            <w:pPr>
              <w:spacing w:before="60" w:after="60"/>
              <w:jc w:val="left"/>
              <w:rPr>
                <w:rFonts w:eastAsia="Times New Roman" w:cs="Arial"/>
                <w:lang w:val="en-US" w:eastAsia="en-US"/>
              </w:rPr>
            </w:pPr>
            <w:r w:rsidRPr="005144AC">
              <w:rPr>
                <w:rFonts w:eastAsia="Times New Roman" w:cs="Arial"/>
                <w:lang w:val="en-US" w:eastAsia="en-US"/>
              </w:rPr>
              <w:t>9.3</w:t>
            </w:r>
            <w:r w:rsidR="005144AC" w:rsidRPr="005144AC">
              <w:rPr>
                <w:rFonts w:eastAsia="Times New Roman" w:cs="Arial"/>
                <w:lang w:val="en-US" w:eastAsia="en-US"/>
              </w:rPr>
              <w:t>8</w:t>
            </w:r>
          </w:p>
        </w:tc>
        <w:tc>
          <w:tcPr>
            <w:tcW w:w="1728" w:type="dxa"/>
            <w:tcBorders>
              <w:top w:val="single" w:sz="4" w:space="0" w:color="auto"/>
              <w:left w:val="nil"/>
              <w:bottom w:val="single" w:sz="4" w:space="0" w:color="auto"/>
              <w:right w:val="single" w:sz="4" w:space="0" w:color="auto"/>
            </w:tcBorders>
            <w:shd w:val="clear" w:color="auto" w:fill="auto"/>
            <w:vAlign w:val="center"/>
          </w:tcPr>
          <w:p w:rsidR="00082AC8" w:rsidRPr="00082AC8" w:rsidRDefault="00082AC8" w:rsidP="000B2365">
            <w:pPr>
              <w:spacing w:before="60" w:after="60"/>
              <w:jc w:val="left"/>
              <w:rPr>
                <w:rFonts w:eastAsia="Times New Roman" w:cs="Arial"/>
                <w:lang w:val="en-US" w:eastAsia="en-US"/>
              </w:rPr>
            </w:pPr>
            <w:r w:rsidRPr="00082AC8">
              <w:rPr>
                <w:rFonts w:eastAsia="Times New Roman" w:cs="Arial"/>
                <w:lang w:val="en-US" w:eastAsia="en-US"/>
              </w:rPr>
              <w:t>Transactions with directors</w:t>
            </w:r>
          </w:p>
        </w:tc>
        <w:tc>
          <w:tcPr>
            <w:tcW w:w="7008" w:type="dxa"/>
            <w:tcBorders>
              <w:top w:val="single" w:sz="4" w:space="0" w:color="auto"/>
              <w:left w:val="nil"/>
              <w:bottom w:val="single" w:sz="4" w:space="0" w:color="auto"/>
              <w:right w:val="single" w:sz="4" w:space="0" w:color="auto"/>
            </w:tcBorders>
            <w:shd w:val="clear" w:color="auto" w:fill="auto"/>
            <w:vAlign w:val="center"/>
          </w:tcPr>
          <w:p w:rsidR="00082AC8" w:rsidRPr="00082AC8" w:rsidRDefault="00082AC8" w:rsidP="000B2365">
            <w:pPr>
              <w:spacing w:before="60" w:after="60"/>
              <w:jc w:val="left"/>
              <w:rPr>
                <w:rFonts w:eastAsia="Times New Roman" w:cs="Arial"/>
                <w:lang w:val="en-US" w:eastAsia="en-US"/>
              </w:rPr>
            </w:pPr>
            <w:r w:rsidRPr="00082AC8">
              <w:rPr>
                <w:rFonts w:eastAsia="Times New Roman" w:cs="Arial"/>
                <w:lang w:val="en-US" w:eastAsia="en-US"/>
              </w:rPr>
              <w:t xml:space="preserve">Transactions with individual directors </w:t>
            </w:r>
            <w:r w:rsidRPr="00082AC8">
              <w:rPr>
                <w:rFonts w:eastAsia="Times New Roman" w:cs="Arial"/>
                <w:b/>
                <w:bCs/>
                <w:lang w:val="en-US" w:eastAsia="en-US"/>
              </w:rPr>
              <w:t>must</w:t>
            </w:r>
            <w:r w:rsidRPr="00082AC8">
              <w:rPr>
                <w:rFonts w:eastAsia="Times New Roman" w:cs="Arial"/>
                <w:lang w:val="en-US" w:eastAsia="en-US"/>
              </w:rPr>
              <w:t xml:space="preserve"> be tagged using the tags in the </w:t>
            </w:r>
            <w:r w:rsidRPr="00082AC8">
              <w:rPr>
                <w:rFonts w:eastAsia="Times New Roman" w:cs="Arial"/>
                <w:i/>
                <w:iCs/>
                <w:color w:val="006411"/>
                <w:lang w:val="en-US" w:eastAsia="en-US"/>
              </w:rPr>
              <w:t>Directors' advances, credit and guarantees</w:t>
            </w:r>
            <w:r w:rsidRPr="00082AC8">
              <w:rPr>
                <w:rFonts w:eastAsia="Times New Roman" w:cs="Arial"/>
                <w:lang w:val="en-US" w:eastAsia="en-US"/>
              </w:rPr>
              <w:t xml:space="preserve"> section in the </w:t>
            </w:r>
            <w:r w:rsidRPr="00082AC8">
              <w:rPr>
                <w:rFonts w:eastAsia="Times New Roman" w:cs="Arial"/>
                <w:i/>
                <w:iCs/>
                <w:color w:val="006411"/>
                <w:lang w:val="en-US" w:eastAsia="en-US"/>
              </w:rPr>
              <w:t>Directors report</w:t>
            </w:r>
            <w:r w:rsidRPr="00082AC8">
              <w:rPr>
                <w:rFonts w:eastAsia="Times New Roman" w:cs="Arial"/>
                <w:lang w:val="en-US" w:eastAsia="en-US"/>
              </w:rPr>
              <w:t xml:space="preserve"> part of the taxonomy.    The tags in the </w:t>
            </w:r>
            <w:r w:rsidRPr="00082AC8">
              <w:rPr>
                <w:rFonts w:eastAsia="Times New Roman" w:cs="Arial"/>
                <w:i/>
                <w:iCs/>
                <w:color w:val="006411"/>
                <w:lang w:val="en-US" w:eastAsia="en-US"/>
              </w:rPr>
              <w:t>Related parties</w:t>
            </w:r>
            <w:r w:rsidRPr="00082AC8">
              <w:rPr>
                <w:rFonts w:eastAsia="Times New Roman" w:cs="Arial"/>
                <w:lang w:val="en-US" w:eastAsia="en-US"/>
              </w:rPr>
              <w:t xml:space="preserve"> section are purely for tagging the key management personnel data required under IFRS.  </w:t>
            </w:r>
          </w:p>
        </w:tc>
      </w:tr>
    </w:tbl>
    <w:p w:rsidR="004A354B" w:rsidRDefault="004A354B" w:rsidP="004A354B">
      <w:pPr>
        <w:rPr>
          <w:rFonts w:cs="Arial"/>
        </w:rPr>
      </w:pPr>
    </w:p>
    <w:p w:rsidR="004A354B" w:rsidRDefault="00082AC8" w:rsidP="004C1F60">
      <w:pPr>
        <w:pStyle w:val="Heading2"/>
      </w:pPr>
      <w:bookmarkStart w:id="50" w:name="_Toc292036851"/>
      <w:r>
        <w:t>IFRS – Other notes</w:t>
      </w:r>
      <w:bookmarkEnd w:id="50"/>
    </w:p>
    <w:p w:rsidR="004A354B" w:rsidRDefault="004A354B" w:rsidP="004A354B">
      <w:pPr>
        <w:rPr>
          <w:rFonts w:cs="Arial"/>
        </w:rPr>
      </w:pPr>
    </w:p>
    <w:tbl>
      <w:tblPr>
        <w:tblW w:w="9231" w:type="dxa"/>
        <w:tblInd w:w="91" w:type="dxa"/>
        <w:tblLook w:val="0000"/>
      </w:tblPr>
      <w:tblGrid>
        <w:gridCol w:w="606"/>
        <w:gridCol w:w="1721"/>
        <w:gridCol w:w="6904"/>
      </w:tblGrid>
      <w:tr w:rsidR="004A354B" w:rsidRPr="00D50F7D" w:rsidTr="005134B9">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4A354B" w:rsidRPr="00D87AA9" w:rsidRDefault="004A354B" w:rsidP="005134B9">
            <w:pPr>
              <w:spacing w:before="60" w:after="60"/>
              <w:jc w:val="left"/>
              <w:rPr>
                <w:rFonts w:eastAsia="Times New Roman" w:cs="Arial"/>
                <w:b/>
                <w:bCs/>
                <w:lang w:val="en-US" w:eastAsia="en-US"/>
              </w:rPr>
            </w:pPr>
            <w:r w:rsidRPr="00D87AA9">
              <w:rPr>
                <w:rFonts w:eastAsia="Times New Roman" w:cs="Arial"/>
                <w:b/>
                <w:bCs/>
                <w:lang w:val="en-US" w:eastAsia="en-US"/>
              </w:rPr>
              <w:t>ID</w:t>
            </w:r>
          </w:p>
        </w:tc>
        <w:tc>
          <w:tcPr>
            <w:tcW w:w="1728" w:type="dxa"/>
            <w:tcBorders>
              <w:top w:val="single" w:sz="4" w:space="0" w:color="auto"/>
              <w:left w:val="nil"/>
              <w:bottom w:val="single" w:sz="4" w:space="0" w:color="auto"/>
              <w:right w:val="single" w:sz="4" w:space="0" w:color="auto"/>
            </w:tcBorders>
            <w:shd w:val="clear" w:color="auto" w:fill="auto"/>
            <w:vAlign w:val="center"/>
          </w:tcPr>
          <w:p w:rsidR="004A354B" w:rsidRPr="00D87AA9" w:rsidRDefault="004A354B" w:rsidP="005134B9">
            <w:pPr>
              <w:spacing w:before="60" w:after="60"/>
              <w:jc w:val="left"/>
              <w:rPr>
                <w:rFonts w:eastAsia="Times New Roman" w:cs="Arial"/>
                <w:b/>
                <w:bCs/>
                <w:lang w:val="en-US" w:eastAsia="en-US"/>
              </w:rPr>
            </w:pPr>
            <w:r w:rsidRPr="00D87AA9">
              <w:rPr>
                <w:rFonts w:eastAsia="Times New Roman" w:cs="Arial"/>
                <w:b/>
                <w:bCs/>
                <w:lang w:val="en-US" w:eastAsia="en-US"/>
              </w:rPr>
              <w:t>Item</w:t>
            </w:r>
          </w:p>
        </w:tc>
        <w:tc>
          <w:tcPr>
            <w:tcW w:w="7008" w:type="dxa"/>
            <w:tcBorders>
              <w:top w:val="single" w:sz="4" w:space="0" w:color="auto"/>
              <w:left w:val="nil"/>
              <w:bottom w:val="single" w:sz="4" w:space="0" w:color="auto"/>
              <w:right w:val="single" w:sz="4" w:space="0" w:color="auto"/>
            </w:tcBorders>
            <w:shd w:val="clear" w:color="auto" w:fill="auto"/>
            <w:vAlign w:val="center"/>
          </w:tcPr>
          <w:p w:rsidR="004A354B" w:rsidRPr="00D87AA9" w:rsidRDefault="004A354B" w:rsidP="005134B9">
            <w:pPr>
              <w:spacing w:before="60" w:after="60"/>
              <w:jc w:val="left"/>
              <w:rPr>
                <w:rFonts w:eastAsia="Times New Roman" w:cs="Arial"/>
                <w:b/>
                <w:bCs/>
                <w:lang w:val="en-US" w:eastAsia="en-US"/>
              </w:rPr>
            </w:pPr>
            <w:r w:rsidRPr="00D87AA9">
              <w:rPr>
                <w:rFonts w:eastAsia="Times New Roman" w:cs="Arial"/>
                <w:b/>
                <w:bCs/>
                <w:lang w:val="en-US" w:eastAsia="en-US"/>
              </w:rPr>
              <w:t>Description</w:t>
            </w:r>
          </w:p>
        </w:tc>
      </w:tr>
      <w:tr w:rsidR="00082AC8" w:rsidRPr="00082AC8" w:rsidTr="00082AC8">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082AC8" w:rsidRPr="00D86195" w:rsidRDefault="005144AC" w:rsidP="000B2365">
            <w:pPr>
              <w:spacing w:before="60" w:after="60"/>
              <w:jc w:val="left"/>
              <w:rPr>
                <w:rFonts w:eastAsia="Times New Roman" w:cs="Arial"/>
                <w:highlight w:val="yellow"/>
                <w:lang w:val="en-US" w:eastAsia="en-US"/>
              </w:rPr>
            </w:pPr>
            <w:r>
              <w:rPr>
                <w:rFonts w:eastAsia="Times New Roman" w:cs="Arial"/>
                <w:highlight w:val="yellow"/>
                <w:lang w:val="en-US" w:eastAsia="en-US"/>
              </w:rPr>
              <w:t>9.39</w:t>
            </w:r>
          </w:p>
        </w:tc>
        <w:tc>
          <w:tcPr>
            <w:tcW w:w="1728" w:type="dxa"/>
            <w:tcBorders>
              <w:top w:val="single" w:sz="4" w:space="0" w:color="auto"/>
              <w:left w:val="nil"/>
              <w:bottom w:val="single" w:sz="4" w:space="0" w:color="auto"/>
              <w:right w:val="single" w:sz="4" w:space="0" w:color="auto"/>
            </w:tcBorders>
            <w:shd w:val="clear" w:color="auto" w:fill="auto"/>
            <w:vAlign w:val="center"/>
          </w:tcPr>
          <w:p w:rsidR="00082AC8" w:rsidRPr="00D86195" w:rsidRDefault="00082AC8" w:rsidP="000B2365">
            <w:pPr>
              <w:spacing w:before="60" w:after="60"/>
              <w:jc w:val="left"/>
              <w:rPr>
                <w:rFonts w:eastAsia="Times New Roman" w:cs="Arial"/>
                <w:highlight w:val="yellow"/>
                <w:lang w:val="en-US" w:eastAsia="en-US"/>
              </w:rPr>
            </w:pPr>
            <w:r w:rsidRPr="00D86195">
              <w:rPr>
                <w:rFonts w:eastAsia="Times New Roman" w:cs="Arial"/>
                <w:highlight w:val="yellow"/>
                <w:lang w:val="en-US" w:eastAsia="en-US"/>
              </w:rPr>
              <w:t>Subsidiaries, joint-ventures, associates</w:t>
            </w:r>
          </w:p>
        </w:tc>
        <w:tc>
          <w:tcPr>
            <w:tcW w:w="7008" w:type="dxa"/>
            <w:tcBorders>
              <w:top w:val="single" w:sz="4" w:space="0" w:color="auto"/>
              <w:left w:val="nil"/>
              <w:bottom w:val="single" w:sz="4" w:space="0" w:color="auto"/>
              <w:right w:val="single" w:sz="4" w:space="0" w:color="auto"/>
            </w:tcBorders>
            <w:shd w:val="clear" w:color="auto" w:fill="auto"/>
            <w:vAlign w:val="center"/>
          </w:tcPr>
          <w:p w:rsidR="00082AC8" w:rsidRPr="00082AC8" w:rsidRDefault="00082AC8" w:rsidP="000B2365">
            <w:pPr>
              <w:spacing w:before="60" w:after="60"/>
              <w:jc w:val="left"/>
              <w:rPr>
                <w:rFonts w:eastAsia="Times New Roman" w:cs="Arial"/>
                <w:lang w:val="en-US" w:eastAsia="en-US"/>
              </w:rPr>
            </w:pPr>
            <w:r w:rsidRPr="00082AC8">
              <w:rPr>
                <w:rFonts w:eastAsia="Times New Roman" w:cs="Arial"/>
                <w:lang w:val="en-US" w:eastAsia="en-US"/>
              </w:rPr>
              <w:t>Country of incorporation for subsidiaries, joint-ventures and associates cannot be tagged under IFRS.  The '</w:t>
            </w:r>
            <w:r w:rsidRPr="007A7E70">
              <w:rPr>
                <w:rFonts w:eastAsia="Times New Roman" w:cs="Arial"/>
                <w:i/>
                <w:iCs/>
                <w:color w:val="DD0806"/>
                <w:lang w:val="en-US" w:eastAsia="en-US"/>
              </w:rPr>
              <w:t>Country of incorporation or residence</w:t>
            </w:r>
            <w:r w:rsidR="006B4B8D">
              <w:rPr>
                <w:rFonts w:eastAsia="Times New Roman" w:cs="Arial"/>
                <w:lang w:val="en-US" w:eastAsia="en-US"/>
              </w:rPr>
              <w:t xml:space="preserve">' tag is not linked to the </w:t>
            </w:r>
            <w:r w:rsidR="006B4B8D" w:rsidRPr="006B4B8D">
              <w:rPr>
                <w:rFonts w:eastAsia="Times New Roman" w:cs="Arial"/>
                <w:i/>
                <w:lang w:val="en-US" w:eastAsia="en-US"/>
              </w:rPr>
              <w:t>C</w:t>
            </w:r>
            <w:r w:rsidRPr="006B4B8D">
              <w:rPr>
                <w:rFonts w:eastAsia="Times New Roman" w:cs="Arial"/>
                <w:i/>
                <w:lang w:val="en-US" w:eastAsia="en-US"/>
              </w:rPr>
              <w:t>ountries</w:t>
            </w:r>
            <w:r w:rsidRPr="00082AC8">
              <w:rPr>
                <w:rFonts w:eastAsia="Times New Roman" w:cs="Arial"/>
                <w:lang w:val="en-US" w:eastAsia="en-US"/>
              </w:rPr>
              <w:t xml:space="preserve"> dimension. </w:t>
            </w:r>
          </w:p>
        </w:tc>
      </w:tr>
    </w:tbl>
    <w:p w:rsidR="004A354B" w:rsidRDefault="004A354B" w:rsidP="004A354B">
      <w:pPr>
        <w:rPr>
          <w:rFonts w:cs="Arial"/>
        </w:rPr>
      </w:pPr>
    </w:p>
    <w:p w:rsidR="00082AC8" w:rsidRPr="00720B86" w:rsidRDefault="00082AC8" w:rsidP="00082AC8">
      <w:pPr>
        <w:pStyle w:val="Heading1"/>
      </w:pPr>
      <w:r>
        <w:rPr>
          <w:rFonts w:cs="Arial"/>
        </w:rPr>
        <w:br w:type="page"/>
      </w:r>
      <w:bookmarkStart w:id="51" w:name="_Toc292036852"/>
      <w:r w:rsidR="000B2365">
        <w:rPr>
          <w:rFonts w:cs="Arial"/>
        </w:rPr>
        <w:lastRenderedPageBreak/>
        <w:t>10</w:t>
      </w:r>
      <w:r>
        <w:tab/>
        <w:t>Charities</w:t>
      </w:r>
      <w:bookmarkEnd w:id="51"/>
    </w:p>
    <w:p w:rsidR="004A354B" w:rsidRPr="00082AC8" w:rsidRDefault="00082AC8" w:rsidP="00082AC8">
      <w:pPr>
        <w:pStyle w:val="Heading2"/>
      </w:pPr>
      <w:bookmarkStart w:id="52" w:name="_Toc292036853"/>
      <w:r w:rsidRPr="00082AC8">
        <w:t xml:space="preserve">CHAR </w:t>
      </w:r>
      <w:r>
        <w:t>–</w:t>
      </w:r>
      <w:r w:rsidRPr="00082AC8">
        <w:t xml:space="preserve"> </w:t>
      </w:r>
      <w:r>
        <w:t>G</w:t>
      </w:r>
      <w:r w:rsidRPr="00082AC8">
        <w:t>eneral points</w:t>
      </w:r>
      <w:bookmarkEnd w:id="52"/>
    </w:p>
    <w:p w:rsidR="00082AC8" w:rsidRDefault="00082AC8" w:rsidP="004A354B">
      <w:pPr>
        <w:rPr>
          <w:rFonts w:cs="Arial"/>
        </w:rPr>
      </w:pPr>
    </w:p>
    <w:tbl>
      <w:tblPr>
        <w:tblW w:w="9231" w:type="dxa"/>
        <w:tblInd w:w="91" w:type="dxa"/>
        <w:tblLook w:val="0000"/>
      </w:tblPr>
      <w:tblGrid>
        <w:gridCol w:w="606"/>
        <w:gridCol w:w="1713"/>
        <w:gridCol w:w="6912"/>
      </w:tblGrid>
      <w:tr w:rsidR="004A354B" w:rsidRPr="00D50F7D" w:rsidTr="005134B9">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4A354B" w:rsidRPr="00D87AA9" w:rsidRDefault="004A354B" w:rsidP="005134B9">
            <w:pPr>
              <w:spacing w:before="60" w:after="60"/>
              <w:jc w:val="left"/>
              <w:rPr>
                <w:rFonts w:eastAsia="Times New Roman" w:cs="Arial"/>
                <w:b/>
                <w:bCs/>
                <w:lang w:val="en-US" w:eastAsia="en-US"/>
              </w:rPr>
            </w:pPr>
            <w:r w:rsidRPr="00D87AA9">
              <w:rPr>
                <w:rFonts w:eastAsia="Times New Roman" w:cs="Arial"/>
                <w:b/>
                <w:bCs/>
                <w:lang w:val="en-US" w:eastAsia="en-US"/>
              </w:rPr>
              <w:t>ID</w:t>
            </w:r>
          </w:p>
        </w:tc>
        <w:tc>
          <w:tcPr>
            <w:tcW w:w="1728" w:type="dxa"/>
            <w:tcBorders>
              <w:top w:val="single" w:sz="4" w:space="0" w:color="auto"/>
              <w:left w:val="nil"/>
              <w:bottom w:val="single" w:sz="4" w:space="0" w:color="auto"/>
              <w:right w:val="single" w:sz="4" w:space="0" w:color="auto"/>
            </w:tcBorders>
            <w:shd w:val="clear" w:color="auto" w:fill="auto"/>
            <w:vAlign w:val="center"/>
          </w:tcPr>
          <w:p w:rsidR="004A354B" w:rsidRPr="00D87AA9" w:rsidRDefault="004A354B" w:rsidP="005134B9">
            <w:pPr>
              <w:spacing w:before="60" w:after="60"/>
              <w:jc w:val="left"/>
              <w:rPr>
                <w:rFonts w:eastAsia="Times New Roman" w:cs="Arial"/>
                <w:b/>
                <w:bCs/>
                <w:lang w:val="en-US" w:eastAsia="en-US"/>
              </w:rPr>
            </w:pPr>
            <w:r w:rsidRPr="00D87AA9">
              <w:rPr>
                <w:rFonts w:eastAsia="Times New Roman" w:cs="Arial"/>
                <w:b/>
                <w:bCs/>
                <w:lang w:val="en-US" w:eastAsia="en-US"/>
              </w:rPr>
              <w:t>Item</w:t>
            </w:r>
          </w:p>
        </w:tc>
        <w:tc>
          <w:tcPr>
            <w:tcW w:w="7008" w:type="dxa"/>
            <w:tcBorders>
              <w:top w:val="single" w:sz="4" w:space="0" w:color="auto"/>
              <w:left w:val="nil"/>
              <w:bottom w:val="single" w:sz="4" w:space="0" w:color="auto"/>
              <w:right w:val="single" w:sz="4" w:space="0" w:color="auto"/>
            </w:tcBorders>
            <w:shd w:val="clear" w:color="auto" w:fill="auto"/>
            <w:vAlign w:val="center"/>
          </w:tcPr>
          <w:p w:rsidR="004A354B" w:rsidRPr="00D87AA9" w:rsidRDefault="004A354B" w:rsidP="005134B9">
            <w:pPr>
              <w:spacing w:before="60" w:after="60"/>
              <w:jc w:val="left"/>
              <w:rPr>
                <w:rFonts w:eastAsia="Times New Roman" w:cs="Arial"/>
                <w:b/>
                <w:bCs/>
                <w:lang w:val="en-US" w:eastAsia="en-US"/>
              </w:rPr>
            </w:pPr>
            <w:r w:rsidRPr="00D87AA9">
              <w:rPr>
                <w:rFonts w:eastAsia="Times New Roman" w:cs="Arial"/>
                <w:b/>
                <w:bCs/>
                <w:lang w:val="en-US" w:eastAsia="en-US"/>
              </w:rPr>
              <w:t>Description</w:t>
            </w:r>
          </w:p>
        </w:tc>
      </w:tr>
      <w:tr w:rsidR="000B2365" w:rsidRPr="000B2365" w:rsidTr="000B2365">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0B2365" w:rsidRPr="000B2365" w:rsidRDefault="000B2365" w:rsidP="000B2365">
            <w:pPr>
              <w:spacing w:before="60" w:after="60"/>
              <w:jc w:val="left"/>
              <w:rPr>
                <w:rFonts w:eastAsia="Times New Roman" w:cs="Arial"/>
                <w:lang w:val="en-US" w:eastAsia="en-US"/>
              </w:rPr>
            </w:pPr>
            <w:r w:rsidRPr="000B2365">
              <w:rPr>
                <w:rFonts w:eastAsia="Times New Roman" w:cs="Arial"/>
                <w:lang w:val="en-US" w:eastAsia="en-US"/>
              </w:rPr>
              <w:t>10.1</w:t>
            </w:r>
          </w:p>
        </w:tc>
        <w:tc>
          <w:tcPr>
            <w:tcW w:w="1728" w:type="dxa"/>
            <w:tcBorders>
              <w:top w:val="single" w:sz="4" w:space="0" w:color="auto"/>
              <w:left w:val="nil"/>
              <w:bottom w:val="single" w:sz="4" w:space="0" w:color="auto"/>
              <w:right w:val="single" w:sz="4" w:space="0" w:color="auto"/>
            </w:tcBorders>
            <w:shd w:val="clear" w:color="auto" w:fill="auto"/>
            <w:vAlign w:val="center"/>
          </w:tcPr>
          <w:p w:rsidR="000B2365" w:rsidRPr="000B2365" w:rsidRDefault="000B2365" w:rsidP="000B2365">
            <w:pPr>
              <w:spacing w:before="60" w:after="60"/>
              <w:jc w:val="left"/>
              <w:rPr>
                <w:rFonts w:eastAsia="Times New Roman" w:cs="Arial"/>
                <w:lang w:val="en-US" w:eastAsia="en-US"/>
              </w:rPr>
            </w:pPr>
            <w:r w:rsidRPr="000B2365">
              <w:rPr>
                <w:rFonts w:eastAsia="Times New Roman" w:cs="Arial"/>
                <w:lang w:val="en-US" w:eastAsia="en-US"/>
              </w:rPr>
              <w:t>GAAP-related issues</w:t>
            </w:r>
          </w:p>
        </w:tc>
        <w:tc>
          <w:tcPr>
            <w:tcW w:w="7008" w:type="dxa"/>
            <w:tcBorders>
              <w:top w:val="single" w:sz="4" w:space="0" w:color="auto"/>
              <w:left w:val="nil"/>
              <w:bottom w:val="single" w:sz="4" w:space="0" w:color="auto"/>
              <w:right w:val="single" w:sz="4" w:space="0" w:color="auto"/>
            </w:tcBorders>
            <w:shd w:val="clear" w:color="auto" w:fill="auto"/>
            <w:vAlign w:val="center"/>
          </w:tcPr>
          <w:p w:rsidR="000B2365" w:rsidRPr="000B2365" w:rsidRDefault="000B2365" w:rsidP="000B2365">
            <w:pPr>
              <w:spacing w:before="60" w:after="60"/>
              <w:jc w:val="left"/>
              <w:rPr>
                <w:rFonts w:eastAsia="Times New Roman" w:cs="Arial"/>
                <w:lang w:val="en-US" w:eastAsia="en-US"/>
              </w:rPr>
            </w:pPr>
            <w:r w:rsidRPr="000B2365">
              <w:rPr>
                <w:rFonts w:eastAsia="Times New Roman" w:cs="Arial"/>
                <w:lang w:val="en-US" w:eastAsia="en-US"/>
              </w:rPr>
              <w:t xml:space="preserve">The guidance in the GAAP section of this document also generally applies to the Charities taxonomy, which uses a range of GAAP tags (and makes available all GAAP tags, in case they may be required).  </w:t>
            </w:r>
          </w:p>
        </w:tc>
      </w:tr>
    </w:tbl>
    <w:p w:rsidR="004A354B" w:rsidRDefault="004A354B" w:rsidP="004A354B">
      <w:pPr>
        <w:rPr>
          <w:rFonts w:cs="Arial"/>
        </w:rPr>
      </w:pPr>
    </w:p>
    <w:p w:rsidR="004A354B" w:rsidRDefault="000B2365" w:rsidP="000B2365">
      <w:pPr>
        <w:pStyle w:val="Heading2"/>
      </w:pPr>
      <w:bookmarkStart w:id="53" w:name="_Toc292036854"/>
      <w:r>
        <w:t>CHAR – Notes</w:t>
      </w:r>
      <w:bookmarkEnd w:id="53"/>
    </w:p>
    <w:p w:rsidR="004A354B" w:rsidRDefault="004A354B" w:rsidP="004A354B">
      <w:pPr>
        <w:rPr>
          <w:rFonts w:cs="Arial"/>
        </w:rPr>
      </w:pPr>
    </w:p>
    <w:tbl>
      <w:tblPr>
        <w:tblW w:w="9231" w:type="dxa"/>
        <w:tblInd w:w="91" w:type="dxa"/>
        <w:tblLook w:val="0000"/>
      </w:tblPr>
      <w:tblGrid>
        <w:gridCol w:w="606"/>
        <w:gridCol w:w="1718"/>
        <w:gridCol w:w="6907"/>
      </w:tblGrid>
      <w:tr w:rsidR="004A354B" w:rsidRPr="00D50F7D" w:rsidTr="005134B9">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4A354B" w:rsidRPr="00D87AA9" w:rsidRDefault="004A354B" w:rsidP="005134B9">
            <w:pPr>
              <w:spacing w:before="60" w:after="60"/>
              <w:jc w:val="left"/>
              <w:rPr>
                <w:rFonts w:eastAsia="Times New Roman" w:cs="Arial"/>
                <w:b/>
                <w:bCs/>
                <w:lang w:val="en-US" w:eastAsia="en-US"/>
              </w:rPr>
            </w:pPr>
            <w:r w:rsidRPr="00D87AA9">
              <w:rPr>
                <w:rFonts w:eastAsia="Times New Roman" w:cs="Arial"/>
                <w:b/>
                <w:bCs/>
                <w:lang w:val="en-US" w:eastAsia="en-US"/>
              </w:rPr>
              <w:t>ID</w:t>
            </w:r>
          </w:p>
        </w:tc>
        <w:tc>
          <w:tcPr>
            <w:tcW w:w="1728" w:type="dxa"/>
            <w:tcBorders>
              <w:top w:val="single" w:sz="4" w:space="0" w:color="auto"/>
              <w:left w:val="nil"/>
              <w:bottom w:val="single" w:sz="4" w:space="0" w:color="auto"/>
              <w:right w:val="single" w:sz="4" w:space="0" w:color="auto"/>
            </w:tcBorders>
            <w:shd w:val="clear" w:color="auto" w:fill="auto"/>
            <w:vAlign w:val="center"/>
          </w:tcPr>
          <w:p w:rsidR="004A354B" w:rsidRPr="00D87AA9" w:rsidRDefault="004A354B" w:rsidP="005134B9">
            <w:pPr>
              <w:spacing w:before="60" w:after="60"/>
              <w:jc w:val="left"/>
              <w:rPr>
                <w:rFonts w:eastAsia="Times New Roman" w:cs="Arial"/>
                <w:b/>
                <w:bCs/>
                <w:lang w:val="en-US" w:eastAsia="en-US"/>
              </w:rPr>
            </w:pPr>
            <w:r w:rsidRPr="00D87AA9">
              <w:rPr>
                <w:rFonts w:eastAsia="Times New Roman" w:cs="Arial"/>
                <w:b/>
                <w:bCs/>
                <w:lang w:val="en-US" w:eastAsia="en-US"/>
              </w:rPr>
              <w:t>Item</w:t>
            </w:r>
          </w:p>
        </w:tc>
        <w:tc>
          <w:tcPr>
            <w:tcW w:w="7008" w:type="dxa"/>
            <w:tcBorders>
              <w:top w:val="single" w:sz="4" w:space="0" w:color="auto"/>
              <w:left w:val="nil"/>
              <w:bottom w:val="single" w:sz="4" w:space="0" w:color="auto"/>
              <w:right w:val="single" w:sz="4" w:space="0" w:color="auto"/>
            </w:tcBorders>
            <w:shd w:val="clear" w:color="auto" w:fill="auto"/>
            <w:vAlign w:val="center"/>
          </w:tcPr>
          <w:p w:rsidR="004A354B" w:rsidRPr="00D87AA9" w:rsidRDefault="004A354B" w:rsidP="005134B9">
            <w:pPr>
              <w:spacing w:before="60" w:after="60"/>
              <w:jc w:val="left"/>
              <w:rPr>
                <w:rFonts w:eastAsia="Times New Roman" w:cs="Arial"/>
                <w:b/>
                <w:bCs/>
                <w:lang w:val="en-US" w:eastAsia="en-US"/>
              </w:rPr>
            </w:pPr>
            <w:r w:rsidRPr="00D87AA9">
              <w:rPr>
                <w:rFonts w:eastAsia="Times New Roman" w:cs="Arial"/>
                <w:b/>
                <w:bCs/>
                <w:lang w:val="en-US" w:eastAsia="en-US"/>
              </w:rPr>
              <w:t>Description</w:t>
            </w:r>
          </w:p>
        </w:tc>
      </w:tr>
      <w:tr w:rsidR="000B2365" w:rsidRPr="000B2365" w:rsidTr="000B2365">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0B2365" w:rsidRPr="00D86195" w:rsidRDefault="000B2365" w:rsidP="000B2365">
            <w:pPr>
              <w:spacing w:before="60" w:after="60"/>
              <w:jc w:val="left"/>
              <w:rPr>
                <w:rFonts w:eastAsia="Times New Roman" w:cs="Arial"/>
                <w:highlight w:val="yellow"/>
                <w:lang w:val="en-US" w:eastAsia="en-US"/>
              </w:rPr>
            </w:pPr>
            <w:r w:rsidRPr="00D86195">
              <w:rPr>
                <w:rFonts w:eastAsia="Times New Roman" w:cs="Arial"/>
                <w:highlight w:val="yellow"/>
                <w:lang w:val="en-US" w:eastAsia="en-US"/>
              </w:rPr>
              <w:t>10.2</w:t>
            </w:r>
          </w:p>
        </w:tc>
        <w:tc>
          <w:tcPr>
            <w:tcW w:w="1728" w:type="dxa"/>
            <w:tcBorders>
              <w:top w:val="single" w:sz="4" w:space="0" w:color="auto"/>
              <w:left w:val="nil"/>
              <w:bottom w:val="single" w:sz="4" w:space="0" w:color="auto"/>
              <w:right w:val="single" w:sz="4" w:space="0" w:color="auto"/>
            </w:tcBorders>
            <w:shd w:val="clear" w:color="auto" w:fill="auto"/>
            <w:vAlign w:val="center"/>
          </w:tcPr>
          <w:p w:rsidR="000B2365" w:rsidRPr="00D86195" w:rsidRDefault="000B2365" w:rsidP="000B2365">
            <w:pPr>
              <w:spacing w:before="60" w:after="60"/>
              <w:jc w:val="left"/>
              <w:rPr>
                <w:rFonts w:eastAsia="Times New Roman" w:cs="Arial"/>
                <w:highlight w:val="yellow"/>
                <w:lang w:val="en-US" w:eastAsia="en-US"/>
              </w:rPr>
            </w:pPr>
            <w:r w:rsidRPr="00D86195">
              <w:rPr>
                <w:rFonts w:eastAsia="Times New Roman" w:cs="Arial"/>
                <w:highlight w:val="yellow"/>
                <w:lang w:val="en-US" w:eastAsia="en-US"/>
              </w:rPr>
              <w:t>Accounting policies</w:t>
            </w:r>
          </w:p>
        </w:tc>
        <w:tc>
          <w:tcPr>
            <w:tcW w:w="7008" w:type="dxa"/>
            <w:tcBorders>
              <w:top w:val="single" w:sz="4" w:space="0" w:color="auto"/>
              <w:left w:val="nil"/>
              <w:bottom w:val="single" w:sz="4" w:space="0" w:color="auto"/>
              <w:right w:val="single" w:sz="4" w:space="0" w:color="auto"/>
            </w:tcBorders>
            <w:shd w:val="clear" w:color="auto" w:fill="auto"/>
            <w:vAlign w:val="center"/>
          </w:tcPr>
          <w:p w:rsidR="000B2365" w:rsidRPr="000B2365" w:rsidRDefault="0030445E" w:rsidP="000B2365">
            <w:pPr>
              <w:spacing w:before="60" w:after="60"/>
              <w:jc w:val="left"/>
              <w:rPr>
                <w:rFonts w:eastAsia="Times New Roman" w:cs="Arial"/>
                <w:lang w:val="en-US" w:eastAsia="en-US"/>
              </w:rPr>
            </w:pPr>
            <w:r>
              <w:rPr>
                <w:rFonts w:eastAsia="Times New Roman" w:cs="Arial"/>
                <w:lang w:val="en-US" w:eastAsia="en-US"/>
              </w:rPr>
              <w:t xml:space="preserve">The </w:t>
            </w:r>
            <w:r w:rsidR="000B2365" w:rsidRPr="0030445E">
              <w:rPr>
                <w:rFonts w:eastAsia="Times New Roman" w:cs="Arial"/>
                <w:i/>
                <w:color w:val="008000"/>
                <w:lang w:val="en-US" w:eastAsia="en-US"/>
              </w:rPr>
              <w:t>Accounting policies</w:t>
            </w:r>
            <w:r w:rsidR="000B2365" w:rsidRPr="000B2365">
              <w:rPr>
                <w:rFonts w:eastAsia="Times New Roman" w:cs="Arial"/>
                <w:lang w:val="en-US" w:eastAsia="en-US"/>
              </w:rPr>
              <w:t xml:space="preserve"> </w:t>
            </w:r>
            <w:r>
              <w:rPr>
                <w:rFonts w:eastAsia="Times New Roman" w:cs="Arial"/>
                <w:lang w:val="en-US" w:eastAsia="en-US"/>
              </w:rPr>
              <w:t xml:space="preserve">section </w:t>
            </w:r>
            <w:r w:rsidR="000B2365" w:rsidRPr="000B2365">
              <w:rPr>
                <w:rFonts w:eastAsia="Times New Roman" w:cs="Arial"/>
                <w:lang w:val="en-US" w:eastAsia="en-US"/>
              </w:rPr>
              <w:t>contains two alternative tags in different positions for policies on programme related investments:  they are '</w:t>
            </w:r>
            <w:r w:rsidR="000B2365" w:rsidRPr="007A7E70">
              <w:rPr>
                <w:rFonts w:eastAsia="Times New Roman" w:cs="Arial"/>
                <w:i/>
                <w:iCs/>
                <w:color w:val="DD0806"/>
                <w:lang w:val="en-US" w:eastAsia="en-US"/>
              </w:rPr>
              <w:t>Programme related / social investments policy</w:t>
            </w:r>
            <w:r w:rsidR="000B2365" w:rsidRPr="000B2365">
              <w:rPr>
                <w:rFonts w:eastAsia="Times New Roman" w:cs="Arial"/>
                <w:lang w:val="en-US" w:eastAsia="en-US"/>
              </w:rPr>
              <w:t>' and '</w:t>
            </w:r>
            <w:r w:rsidR="000B2365" w:rsidRPr="007A7E70">
              <w:rPr>
                <w:rFonts w:eastAsia="Times New Roman" w:cs="Arial"/>
                <w:i/>
                <w:iCs/>
                <w:color w:val="DD0806"/>
                <w:lang w:val="en-US" w:eastAsia="en-US"/>
              </w:rPr>
              <w:t>Programme-related / social investments policy</w:t>
            </w:r>
            <w:r w:rsidR="000B2365" w:rsidRPr="000B2365">
              <w:rPr>
                <w:rFonts w:eastAsia="Times New Roman" w:cs="Arial"/>
                <w:lang w:val="en-US" w:eastAsia="en-US"/>
              </w:rPr>
              <w:t>'.  Preparers may use either tag, but are recommended to use '</w:t>
            </w:r>
            <w:r w:rsidR="000B2365" w:rsidRPr="007A7E70">
              <w:rPr>
                <w:rFonts w:eastAsia="Times New Roman" w:cs="Arial"/>
                <w:i/>
                <w:iCs/>
                <w:color w:val="DD0806"/>
                <w:lang w:val="en-US" w:eastAsia="en-US"/>
              </w:rPr>
              <w:t>Programme-related / social investments policy</w:t>
            </w:r>
            <w:r w:rsidR="000B2365" w:rsidRPr="000B2365">
              <w:rPr>
                <w:rFonts w:eastAsia="Times New Roman" w:cs="Arial"/>
                <w:lang w:val="en-US" w:eastAsia="en-US"/>
              </w:rPr>
              <w:t xml:space="preserve">' (i.e. with the hyphen).  The other tag is expected to be deprecated or dropped in future taxonomy versions.  </w:t>
            </w:r>
          </w:p>
        </w:tc>
      </w:tr>
    </w:tbl>
    <w:p w:rsidR="004A354B" w:rsidRDefault="004A354B" w:rsidP="004A354B">
      <w:pPr>
        <w:rPr>
          <w:rFonts w:cs="Arial"/>
        </w:rPr>
      </w:pPr>
    </w:p>
    <w:p w:rsidR="000B2365" w:rsidRPr="000B2365" w:rsidRDefault="000B2365" w:rsidP="000B2365">
      <w:pPr>
        <w:pStyle w:val="Heading1"/>
      </w:pPr>
      <w:r>
        <w:br w:type="page"/>
      </w:r>
      <w:bookmarkStart w:id="54" w:name="_Toc292036855"/>
      <w:r>
        <w:lastRenderedPageBreak/>
        <w:t>11</w:t>
      </w:r>
      <w:r>
        <w:tab/>
      </w:r>
      <w:r w:rsidRPr="000B2365">
        <w:t>Detailed points for developers</w:t>
      </w:r>
      <w:bookmarkEnd w:id="54"/>
    </w:p>
    <w:p w:rsidR="004A354B" w:rsidRDefault="004A354B" w:rsidP="004A354B">
      <w:pPr>
        <w:rPr>
          <w:rFonts w:cs="Arial"/>
        </w:rPr>
      </w:pPr>
    </w:p>
    <w:tbl>
      <w:tblPr>
        <w:tblW w:w="9231" w:type="dxa"/>
        <w:tblInd w:w="91" w:type="dxa"/>
        <w:tblLook w:val="0000"/>
      </w:tblPr>
      <w:tblGrid>
        <w:gridCol w:w="606"/>
        <w:gridCol w:w="1720"/>
        <w:gridCol w:w="6905"/>
      </w:tblGrid>
      <w:tr w:rsidR="000B2365" w:rsidRPr="00D50F7D" w:rsidTr="005A34E7">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0B2365" w:rsidRPr="00D87AA9" w:rsidRDefault="000B2365" w:rsidP="005A34E7">
            <w:pPr>
              <w:spacing w:before="60" w:after="60"/>
              <w:jc w:val="left"/>
              <w:rPr>
                <w:rFonts w:eastAsia="Times New Roman" w:cs="Arial"/>
                <w:b/>
                <w:bCs/>
                <w:lang w:val="en-US" w:eastAsia="en-US"/>
              </w:rPr>
            </w:pPr>
            <w:r w:rsidRPr="00D87AA9">
              <w:rPr>
                <w:rFonts w:eastAsia="Times New Roman" w:cs="Arial"/>
                <w:b/>
                <w:bCs/>
                <w:lang w:val="en-US" w:eastAsia="en-US"/>
              </w:rPr>
              <w:t>ID</w:t>
            </w:r>
          </w:p>
        </w:tc>
        <w:tc>
          <w:tcPr>
            <w:tcW w:w="1728" w:type="dxa"/>
            <w:tcBorders>
              <w:top w:val="single" w:sz="4" w:space="0" w:color="auto"/>
              <w:left w:val="nil"/>
              <w:bottom w:val="single" w:sz="4" w:space="0" w:color="auto"/>
              <w:right w:val="single" w:sz="4" w:space="0" w:color="auto"/>
            </w:tcBorders>
            <w:shd w:val="clear" w:color="auto" w:fill="auto"/>
            <w:vAlign w:val="center"/>
          </w:tcPr>
          <w:p w:rsidR="000B2365" w:rsidRPr="00D87AA9" w:rsidRDefault="000B2365" w:rsidP="005A34E7">
            <w:pPr>
              <w:spacing w:before="60" w:after="60"/>
              <w:jc w:val="left"/>
              <w:rPr>
                <w:rFonts w:eastAsia="Times New Roman" w:cs="Arial"/>
                <w:b/>
                <w:bCs/>
                <w:lang w:val="en-US" w:eastAsia="en-US"/>
              </w:rPr>
            </w:pPr>
            <w:r w:rsidRPr="00D87AA9">
              <w:rPr>
                <w:rFonts w:eastAsia="Times New Roman" w:cs="Arial"/>
                <w:b/>
                <w:bCs/>
                <w:lang w:val="en-US" w:eastAsia="en-US"/>
              </w:rPr>
              <w:t>Item</w:t>
            </w:r>
          </w:p>
        </w:tc>
        <w:tc>
          <w:tcPr>
            <w:tcW w:w="7008" w:type="dxa"/>
            <w:tcBorders>
              <w:top w:val="single" w:sz="4" w:space="0" w:color="auto"/>
              <w:left w:val="nil"/>
              <w:bottom w:val="single" w:sz="4" w:space="0" w:color="auto"/>
              <w:right w:val="single" w:sz="4" w:space="0" w:color="auto"/>
            </w:tcBorders>
            <w:shd w:val="clear" w:color="auto" w:fill="auto"/>
            <w:vAlign w:val="center"/>
          </w:tcPr>
          <w:p w:rsidR="000B2365" w:rsidRPr="00D87AA9" w:rsidRDefault="000B2365" w:rsidP="005A34E7">
            <w:pPr>
              <w:spacing w:before="60" w:after="60"/>
              <w:jc w:val="left"/>
              <w:rPr>
                <w:rFonts w:eastAsia="Times New Roman" w:cs="Arial"/>
                <w:b/>
                <w:bCs/>
                <w:lang w:val="en-US" w:eastAsia="en-US"/>
              </w:rPr>
            </w:pPr>
            <w:r w:rsidRPr="00D87AA9">
              <w:rPr>
                <w:rFonts w:eastAsia="Times New Roman" w:cs="Arial"/>
                <w:b/>
                <w:bCs/>
                <w:lang w:val="en-US" w:eastAsia="en-US"/>
              </w:rPr>
              <w:t>Description</w:t>
            </w:r>
          </w:p>
        </w:tc>
      </w:tr>
      <w:tr w:rsidR="000B2365" w:rsidRPr="000B2365" w:rsidTr="000B2365">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0B2365" w:rsidRPr="00D86195" w:rsidRDefault="000B2365" w:rsidP="000B2365">
            <w:pPr>
              <w:spacing w:before="60" w:after="60"/>
              <w:jc w:val="left"/>
              <w:rPr>
                <w:rFonts w:eastAsia="Times New Roman" w:cs="Arial"/>
                <w:highlight w:val="yellow"/>
                <w:lang w:val="en-US" w:eastAsia="en-US"/>
              </w:rPr>
            </w:pPr>
            <w:r w:rsidRPr="00D86195">
              <w:rPr>
                <w:rFonts w:eastAsia="Times New Roman" w:cs="Arial"/>
                <w:highlight w:val="yellow"/>
                <w:lang w:val="en-US" w:eastAsia="en-US"/>
              </w:rPr>
              <w:t>11.2</w:t>
            </w:r>
          </w:p>
        </w:tc>
        <w:tc>
          <w:tcPr>
            <w:tcW w:w="1728" w:type="dxa"/>
            <w:tcBorders>
              <w:top w:val="single" w:sz="4" w:space="0" w:color="auto"/>
              <w:left w:val="nil"/>
              <w:bottom w:val="single" w:sz="4" w:space="0" w:color="auto"/>
              <w:right w:val="single" w:sz="4" w:space="0" w:color="auto"/>
            </w:tcBorders>
            <w:shd w:val="clear" w:color="auto" w:fill="auto"/>
            <w:vAlign w:val="center"/>
          </w:tcPr>
          <w:p w:rsidR="000B2365" w:rsidRPr="00D86195" w:rsidRDefault="000B2365" w:rsidP="000B2365">
            <w:pPr>
              <w:spacing w:before="60" w:after="60"/>
              <w:jc w:val="left"/>
              <w:rPr>
                <w:rFonts w:eastAsia="Times New Roman" w:cs="Arial"/>
                <w:highlight w:val="yellow"/>
                <w:lang w:val="en-US" w:eastAsia="en-US"/>
              </w:rPr>
            </w:pPr>
            <w:r w:rsidRPr="00D86195">
              <w:rPr>
                <w:rFonts w:eastAsia="Times New Roman" w:cs="Arial"/>
                <w:highlight w:val="yellow"/>
                <w:lang w:val="en-US" w:eastAsia="en-US"/>
              </w:rPr>
              <w:t>Identification of percentages</w:t>
            </w:r>
          </w:p>
        </w:tc>
        <w:tc>
          <w:tcPr>
            <w:tcW w:w="7008" w:type="dxa"/>
            <w:tcBorders>
              <w:top w:val="single" w:sz="4" w:space="0" w:color="auto"/>
              <w:left w:val="nil"/>
              <w:bottom w:val="single" w:sz="4" w:space="0" w:color="auto"/>
              <w:right w:val="single" w:sz="4" w:space="0" w:color="auto"/>
            </w:tcBorders>
            <w:shd w:val="clear" w:color="auto" w:fill="auto"/>
            <w:vAlign w:val="center"/>
          </w:tcPr>
          <w:p w:rsidR="000B2365" w:rsidRPr="000B2365" w:rsidRDefault="000B2365" w:rsidP="000B2365">
            <w:pPr>
              <w:spacing w:before="60" w:after="60"/>
              <w:jc w:val="left"/>
              <w:rPr>
                <w:rFonts w:eastAsia="Times New Roman" w:cs="Arial"/>
                <w:lang w:val="en-US" w:eastAsia="en-US"/>
              </w:rPr>
            </w:pPr>
            <w:r w:rsidRPr="000B2365">
              <w:rPr>
                <w:rFonts w:eastAsia="Times New Roman" w:cs="Arial"/>
                <w:lang w:val="en-US" w:eastAsia="en-US"/>
              </w:rPr>
              <w:t xml:space="preserve">A number of tags for percentages are decimal type rather than percent item type.  A list of percentage tags which are decimal type is available from </w:t>
            </w:r>
            <w:hyperlink r:id="rId12" w:history="1">
              <w:r w:rsidR="00553A6A" w:rsidRPr="009157AC">
                <w:rPr>
                  <w:rStyle w:val="Hyperlink"/>
                  <w:rFonts w:eastAsia="Times New Roman" w:cs="Arial"/>
                  <w:lang w:val="en-US" w:eastAsia="en-US"/>
                </w:rPr>
                <w:t>uktech@xbrl.org</w:t>
              </w:r>
            </w:hyperlink>
            <w:r w:rsidR="00553A6A">
              <w:rPr>
                <w:rFonts w:eastAsia="Times New Roman" w:cs="Arial"/>
                <w:lang w:val="en-US" w:eastAsia="en-US"/>
              </w:rPr>
              <w:t xml:space="preserve"> </w:t>
            </w:r>
            <w:r w:rsidRPr="000B2365">
              <w:rPr>
                <w:rFonts w:eastAsia="Times New Roman" w:cs="Arial"/>
                <w:lang w:val="en-US" w:eastAsia="en-US"/>
              </w:rPr>
              <w:t xml:space="preserve">if that is helpful for data validation purposes.  </w:t>
            </w:r>
          </w:p>
        </w:tc>
      </w:tr>
      <w:tr w:rsidR="000B2365" w:rsidRPr="000B2365" w:rsidTr="000B2365">
        <w:trPr>
          <w:cantSplit/>
          <w:trHeight w:val="24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0B2365" w:rsidRPr="00D86195" w:rsidRDefault="000B2365" w:rsidP="000B2365">
            <w:pPr>
              <w:spacing w:before="60" w:after="60"/>
              <w:jc w:val="left"/>
              <w:rPr>
                <w:rFonts w:eastAsia="Times New Roman" w:cs="Arial"/>
                <w:highlight w:val="yellow"/>
                <w:lang w:val="en-US" w:eastAsia="en-US"/>
              </w:rPr>
            </w:pPr>
            <w:r w:rsidRPr="00D86195">
              <w:rPr>
                <w:rFonts w:eastAsia="Times New Roman" w:cs="Arial"/>
                <w:highlight w:val="yellow"/>
                <w:lang w:val="en-US" w:eastAsia="en-US"/>
              </w:rPr>
              <w:t>11.3</w:t>
            </w:r>
          </w:p>
        </w:tc>
        <w:tc>
          <w:tcPr>
            <w:tcW w:w="1728" w:type="dxa"/>
            <w:tcBorders>
              <w:top w:val="single" w:sz="4" w:space="0" w:color="auto"/>
              <w:left w:val="nil"/>
              <w:bottom w:val="single" w:sz="4" w:space="0" w:color="auto"/>
              <w:right w:val="single" w:sz="4" w:space="0" w:color="auto"/>
            </w:tcBorders>
            <w:shd w:val="clear" w:color="auto" w:fill="auto"/>
            <w:vAlign w:val="center"/>
          </w:tcPr>
          <w:p w:rsidR="000B2365" w:rsidRPr="00D86195" w:rsidRDefault="000B2365" w:rsidP="000B2365">
            <w:pPr>
              <w:spacing w:before="60" w:after="60"/>
              <w:jc w:val="left"/>
              <w:rPr>
                <w:rFonts w:eastAsia="Times New Roman" w:cs="Arial"/>
                <w:highlight w:val="yellow"/>
                <w:lang w:val="en-US" w:eastAsia="en-US"/>
              </w:rPr>
            </w:pPr>
            <w:r w:rsidRPr="00D86195">
              <w:rPr>
                <w:rFonts w:eastAsia="Times New Roman" w:cs="Arial"/>
                <w:highlight w:val="yellow"/>
                <w:lang w:val="en-US" w:eastAsia="en-US"/>
              </w:rPr>
              <w:t>Domain item type errors</w:t>
            </w:r>
          </w:p>
        </w:tc>
        <w:tc>
          <w:tcPr>
            <w:tcW w:w="7008" w:type="dxa"/>
            <w:tcBorders>
              <w:top w:val="single" w:sz="4" w:space="0" w:color="auto"/>
              <w:left w:val="nil"/>
              <w:bottom w:val="single" w:sz="4" w:space="0" w:color="auto"/>
              <w:right w:val="single" w:sz="4" w:space="0" w:color="auto"/>
            </w:tcBorders>
            <w:shd w:val="clear" w:color="auto" w:fill="auto"/>
            <w:vAlign w:val="center"/>
          </w:tcPr>
          <w:p w:rsidR="000B2365" w:rsidRPr="000B2365" w:rsidRDefault="000B2365" w:rsidP="000B2365">
            <w:pPr>
              <w:spacing w:before="60" w:after="60"/>
              <w:jc w:val="left"/>
              <w:rPr>
                <w:rFonts w:eastAsia="Times New Roman" w:cs="Arial"/>
                <w:lang w:val="en-US" w:eastAsia="en-US"/>
              </w:rPr>
            </w:pPr>
            <w:r w:rsidRPr="000B2365">
              <w:rPr>
                <w:rFonts w:eastAsia="Times New Roman" w:cs="Arial"/>
                <w:lang w:val="en-US" w:eastAsia="en-US"/>
              </w:rPr>
              <w:t>The dimension tags '</w:t>
            </w:r>
            <w:r w:rsidRPr="007A7E70">
              <w:rPr>
                <w:rFonts w:eastAsia="Times New Roman" w:cs="Arial"/>
                <w:i/>
                <w:iCs/>
                <w:color w:val="DD0806"/>
                <w:lang w:val="en-US" w:eastAsia="en-US"/>
              </w:rPr>
              <w:t>All types of fixed asset investment [default]</w:t>
            </w:r>
            <w:r w:rsidRPr="000B2365">
              <w:rPr>
                <w:rFonts w:eastAsia="Times New Roman" w:cs="Arial"/>
                <w:lang w:val="en-US" w:eastAsia="en-US"/>
              </w:rPr>
              <w:t>' and '</w:t>
            </w:r>
            <w:r w:rsidRPr="007A7E70">
              <w:rPr>
                <w:rFonts w:eastAsia="Times New Roman" w:cs="Arial"/>
                <w:i/>
                <w:iCs/>
                <w:color w:val="DD0806"/>
                <w:lang w:val="en-US" w:eastAsia="en-US"/>
              </w:rPr>
              <w:t>Fair value adjustment increase (decrease)</w:t>
            </w:r>
            <w:r w:rsidRPr="000B2365">
              <w:rPr>
                <w:rFonts w:eastAsia="Times New Roman" w:cs="Arial"/>
                <w:lang w:val="en-US" w:eastAsia="en-US"/>
              </w:rPr>
              <w:t xml:space="preserve">' should both be domainItemType rather than stringItemType.  However, this is just a matter of convention and for easy identification.  It does </w:t>
            </w:r>
            <w:r w:rsidRPr="007A7E70">
              <w:rPr>
                <w:rFonts w:eastAsia="Times New Roman" w:cs="Arial"/>
                <w:b/>
                <w:lang w:val="en-US" w:eastAsia="en-US"/>
              </w:rPr>
              <w:t>not</w:t>
            </w:r>
            <w:r w:rsidRPr="000B2365">
              <w:rPr>
                <w:rFonts w:eastAsia="Times New Roman" w:cs="Arial"/>
                <w:lang w:val="en-US" w:eastAsia="en-US"/>
              </w:rPr>
              <w:t xml:space="preserve"> make any difference to their use as dimension tags.  They are domain members – that is defined through links in the definition linkbase which are all correct.  </w:t>
            </w:r>
          </w:p>
        </w:tc>
      </w:tr>
      <w:tr w:rsidR="000B2365" w:rsidRPr="000B2365" w:rsidTr="000B2365">
        <w:trPr>
          <w:cantSplit/>
          <w:trHeight w:val="240"/>
        </w:trPr>
        <w:tc>
          <w:tcPr>
            <w:tcW w:w="495" w:type="dxa"/>
            <w:tcBorders>
              <w:top w:val="single" w:sz="4" w:space="0" w:color="auto"/>
              <w:left w:val="single" w:sz="4" w:space="0" w:color="auto"/>
              <w:bottom w:val="single" w:sz="4" w:space="0" w:color="auto"/>
              <w:right w:val="single" w:sz="4" w:space="0" w:color="auto"/>
            </w:tcBorders>
            <w:noWrap/>
            <w:vAlign w:val="center"/>
          </w:tcPr>
          <w:p w:rsidR="000B2365" w:rsidRPr="000B2365" w:rsidRDefault="000B2365" w:rsidP="000B2365">
            <w:pPr>
              <w:spacing w:before="60" w:after="60"/>
              <w:jc w:val="left"/>
              <w:rPr>
                <w:rFonts w:eastAsia="Times New Roman" w:cs="Arial"/>
                <w:lang w:val="en-US" w:eastAsia="en-US"/>
              </w:rPr>
            </w:pPr>
            <w:r w:rsidRPr="000B2365">
              <w:rPr>
                <w:rFonts w:eastAsia="Times New Roman" w:cs="Arial"/>
                <w:lang w:val="en-US" w:eastAsia="en-US"/>
              </w:rPr>
              <w:t>11.4</w:t>
            </w:r>
          </w:p>
        </w:tc>
        <w:tc>
          <w:tcPr>
            <w:tcW w:w="1728" w:type="dxa"/>
            <w:tcBorders>
              <w:top w:val="single" w:sz="4" w:space="0" w:color="auto"/>
              <w:left w:val="nil"/>
              <w:bottom w:val="single" w:sz="4" w:space="0" w:color="auto"/>
              <w:right w:val="single" w:sz="4" w:space="0" w:color="auto"/>
            </w:tcBorders>
            <w:shd w:val="clear" w:color="auto" w:fill="auto"/>
            <w:vAlign w:val="center"/>
          </w:tcPr>
          <w:p w:rsidR="000B2365" w:rsidRPr="000B2365" w:rsidRDefault="000B2365" w:rsidP="000B2365">
            <w:pPr>
              <w:spacing w:before="60" w:after="60"/>
              <w:jc w:val="left"/>
              <w:rPr>
                <w:rFonts w:eastAsia="Times New Roman" w:cs="Arial"/>
                <w:lang w:val="en-US" w:eastAsia="en-US"/>
              </w:rPr>
            </w:pPr>
            <w:r w:rsidRPr="000B2365">
              <w:rPr>
                <w:rFonts w:eastAsia="Times New Roman" w:cs="Arial"/>
                <w:lang w:val="en-US" w:eastAsia="en-US"/>
              </w:rPr>
              <w:t>Use of dimension tags</w:t>
            </w:r>
          </w:p>
        </w:tc>
        <w:tc>
          <w:tcPr>
            <w:tcW w:w="7008" w:type="dxa"/>
            <w:tcBorders>
              <w:top w:val="single" w:sz="4" w:space="0" w:color="auto"/>
              <w:left w:val="nil"/>
              <w:bottom w:val="single" w:sz="4" w:space="0" w:color="auto"/>
              <w:right w:val="single" w:sz="4" w:space="0" w:color="auto"/>
            </w:tcBorders>
            <w:shd w:val="clear" w:color="auto" w:fill="auto"/>
            <w:vAlign w:val="center"/>
          </w:tcPr>
          <w:p w:rsidR="000B2365" w:rsidRPr="000B2365" w:rsidRDefault="003606F4" w:rsidP="000B2365">
            <w:pPr>
              <w:spacing w:before="60" w:after="60"/>
              <w:jc w:val="left"/>
              <w:rPr>
                <w:rFonts w:eastAsia="Times New Roman" w:cs="Arial"/>
                <w:lang w:val="en-US" w:eastAsia="en-US"/>
              </w:rPr>
            </w:pPr>
            <w:hyperlink w:anchor="_12_Dimensions_–" w:history="1">
              <w:r w:rsidRPr="003606F4">
                <w:rPr>
                  <w:rStyle w:val="Hyperlink"/>
                  <w:rFonts w:eastAsia="Times New Roman" w:cs="Arial"/>
                  <w:lang w:val="en-US" w:eastAsia="en-US"/>
                </w:rPr>
                <w:t>Section 12</w:t>
              </w:r>
            </w:hyperlink>
            <w:r w:rsidR="000B2365" w:rsidRPr="000B2365">
              <w:rPr>
                <w:rFonts w:eastAsia="Times New Roman" w:cs="Arial"/>
                <w:lang w:val="en-US" w:eastAsia="en-US"/>
              </w:rPr>
              <w:t xml:space="preserve"> in this document gives further explanation on the use of dimension tags, including valid and invalid uses.  This expands on section 7.4 of the </w:t>
            </w:r>
            <w:hyperlink w:anchor="PDGuide" w:history="1">
              <w:r w:rsidR="00D509E0" w:rsidRPr="00D87AA9">
                <w:rPr>
                  <w:rStyle w:val="Hyperlink"/>
                  <w:rFonts w:eastAsia="Times New Roman" w:cs="Arial"/>
                  <w:lang w:val="en-US" w:eastAsia="en-US"/>
                </w:rPr>
                <w:t>Preparers &amp; Developers Guide</w:t>
              </w:r>
            </w:hyperlink>
            <w:r w:rsidR="000B2365" w:rsidRPr="000B2365">
              <w:rPr>
                <w:rFonts w:eastAsia="Times New Roman" w:cs="Arial"/>
                <w:lang w:val="en-US" w:eastAsia="en-US"/>
              </w:rPr>
              <w:t xml:space="preserve">. </w:t>
            </w:r>
          </w:p>
        </w:tc>
      </w:tr>
    </w:tbl>
    <w:p w:rsidR="00A3589F" w:rsidRDefault="00A3589F" w:rsidP="00A3589F">
      <w:pPr>
        <w:rPr>
          <w:rFonts w:cs="Arial"/>
        </w:rPr>
      </w:pPr>
    </w:p>
    <w:p w:rsidR="00A3589F" w:rsidRDefault="000B2365" w:rsidP="00F174B9">
      <w:pPr>
        <w:pStyle w:val="Heading1"/>
      </w:pPr>
      <w:bookmarkStart w:id="55" w:name="_12_Dimensions_–"/>
      <w:bookmarkEnd w:id="55"/>
      <w:r>
        <w:rPr>
          <w:rFonts w:cs="Arial"/>
        </w:rPr>
        <w:br w:type="page"/>
      </w:r>
      <w:bookmarkStart w:id="56" w:name="_Toc292036856"/>
      <w:r w:rsidR="00F174B9" w:rsidRPr="00F174B9">
        <w:lastRenderedPageBreak/>
        <w:t>12</w:t>
      </w:r>
      <w:r w:rsidR="00F174B9">
        <w:tab/>
      </w:r>
      <w:r w:rsidR="009A6173">
        <w:t>Dimensions – f</w:t>
      </w:r>
      <w:r w:rsidR="00F174B9">
        <w:t>urther information</w:t>
      </w:r>
      <w:bookmarkEnd w:id="56"/>
    </w:p>
    <w:p w:rsidR="00F174B9" w:rsidRPr="00F174B9" w:rsidRDefault="00F174B9" w:rsidP="00F174B9"/>
    <w:p w:rsidR="000B2365" w:rsidRDefault="00A45EC1">
      <w:pPr>
        <w:rPr>
          <w:rFonts w:cs="Arial"/>
        </w:rPr>
      </w:pPr>
      <w:r>
        <w:rPr>
          <w:rFonts w:cs="Arial"/>
        </w:rPr>
        <w:t xml:space="preserve">Sections 3.4, 4.12 and 7.4, in particular, of the </w:t>
      </w:r>
      <w:hyperlink w:anchor="PDGuide" w:history="1">
        <w:r w:rsidRPr="00B8689E">
          <w:rPr>
            <w:rStyle w:val="Hyperlink"/>
          </w:rPr>
          <w:t>Preparers and Developers Guide</w:t>
        </w:r>
      </w:hyperlink>
      <w:r>
        <w:rPr>
          <w:rFonts w:cs="Arial"/>
        </w:rPr>
        <w:t xml:space="preserve"> explain the use of dimensions in the accounts taxonomies.  </w:t>
      </w:r>
      <w:hyperlink w:anchor="XR_Dims1" w:history="1">
        <w:r w:rsidR="00F96379" w:rsidRPr="00F96379">
          <w:rPr>
            <w:rStyle w:val="Hyperlink"/>
            <w:rFonts w:cs="Arial"/>
          </w:rPr>
          <w:t>Items 4.5</w:t>
        </w:r>
      </w:hyperlink>
      <w:r w:rsidR="00F96379">
        <w:rPr>
          <w:rFonts w:cs="Arial"/>
        </w:rPr>
        <w:t xml:space="preserve">, </w:t>
      </w:r>
      <w:hyperlink w:anchor="XR_Dims2" w:history="1">
        <w:r w:rsidR="00F96379" w:rsidRPr="00F96379">
          <w:rPr>
            <w:rStyle w:val="Hyperlink"/>
            <w:rFonts w:cs="Arial"/>
          </w:rPr>
          <w:t>4.6</w:t>
        </w:r>
      </w:hyperlink>
      <w:r w:rsidR="00F96379">
        <w:rPr>
          <w:rFonts w:cs="Arial"/>
        </w:rPr>
        <w:t xml:space="preserve"> and </w:t>
      </w:r>
      <w:hyperlink w:anchor="XR_Dims3" w:history="1">
        <w:r w:rsidR="00F96379" w:rsidRPr="00F96379">
          <w:rPr>
            <w:rStyle w:val="Hyperlink"/>
            <w:rFonts w:cs="Arial"/>
          </w:rPr>
          <w:t>4.</w:t>
        </w:r>
        <w:r w:rsidR="00F96379" w:rsidRPr="00F96379">
          <w:rPr>
            <w:rStyle w:val="Hyperlink"/>
            <w:rFonts w:cs="Arial"/>
          </w:rPr>
          <w:t>7</w:t>
        </w:r>
      </w:hyperlink>
      <w:r w:rsidR="00F96379">
        <w:rPr>
          <w:rFonts w:cs="Arial"/>
        </w:rPr>
        <w:t xml:space="preserve">, among others, in this document cover aspects of the use of dimension tags.  </w:t>
      </w:r>
    </w:p>
    <w:p w:rsidR="00A45EC1" w:rsidRDefault="00A45EC1">
      <w:pPr>
        <w:rPr>
          <w:rFonts w:cs="Arial"/>
        </w:rPr>
      </w:pPr>
    </w:p>
    <w:p w:rsidR="00A45EC1" w:rsidRDefault="00AE5745">
      <w:pPr>
        <w:rPr>
          <w:rFonts w:cs="Arial"/>
        </w:rPr>
      </w:pPr>
      <w:r>
        <w:rPr>
          <w:rFonts w:cs="Arial"/>
        </w:rPr>
        <w:t xml:space="preserve">This section highlights some </w:t>
      </w:r>
      <w:r w:rsidR="004705A9">
        <w:rPr>
          <w:rFonts w:cs="Arial"/>
        </w:rPr>
        <w:t xml:space="preserve">technical </w:t>
      </w:r>
      <w:r>
        <w:rPr>
          <w:rFonts w:cs="Arial"/>
        </w:rPr>
        <w:t>points on the use of dimensions which must be understood by developers</w:t>
      </w:r>
      <w:r w:rsidR="004705A9">
        <w:rPr>
          <w:rFonts w:cs="Arial"/>
        </w:rPr>
        <w:t xml:space="preserve"> and should be reflected in software</w:t>
      </w:r>
      <w:r>
        <w:rPr>
          <w:rFonts w:cs="Arial"/>
        </w:rPr>
        <w:t xml:space="preserve">.  </w:t>
      </w:r>
    </w:p>
    <w:p w:rsidR="00AE5745" w:rsidRDefault="00AE5745">
      <w:pPr>
        <w:rPr>
          <w:rFonts w:cs="Arial"/>
        </w:rPr>
      </w:pPr>
    </w:p>
    <w:p w:rsidR="00AE5745" w:rsidRDefault="00454250">
      <w:pPr>
        <w:rPr>
          <w:rFonts w:cs="Arial"/>
        </w:rPr>
      </w:pPr>
      <w:r>
        <w:rPr>
          <w:rFonts w:cs="Arial"/>
        </w:rPr>
        <w:t>As stated in section 7.4 of the Preparers and Developers Guide, a</w:t>
      </w:r>
      <w:r w:rsidR="00A56598">
        <w:rPr>
          <w:rFonts w:cs="Arial"/>
        </w:rPr>
        <w:t xml:space="preserve"> line item </w:t>
      </w:r>
      <w:r>
        <w:rPr>
          <w:rFonts w:cs="Arial"/>
        </w:rPr>
        <w:t xml:space="preserve">or ‘primary’ </w:t>
      </w:r>
      <w:r w:rsidR="00A56598">
        <w:rPr>
          <w:rFonts w:cs="Arial"/>
        </w:rPr>
        <w:t xml:space="preserve">tag </w:t>
      </w:r>
      <w:r>
        <w:rPr>
          <w:rFonts w:cs="Arial"/>
        </w:rPr>
        <w:t xml:space="preserve">may be attached to several hypercubes.  </w:t>
      </w:r>
    </w:p>
    <w:p w:rsidR="009A6173" w:rsidRDefault="009A6173">
      <w:pPr>
        <w:rPr>
          <w:rFonts w:cs="Arial"/>
        </w:rPr>
      </w:pPr>
    </w:p>
    <w:p w:rsidR="009A6173" w:rsidRDefault="00454250">
      <w:pPr>
        <w:rPr>
          <w:rFonts w:cs="Arial"/>
        </w:rPr>
      </w:pPr>
      <w:r>
        <w:rPr>
          <w:rFonts w:cs="Arial"/>
        </w:rPr>
        <w:t xml:space="preserve">When this occurs, preparers should only be able to select dimension tags from one hypercube – they must </w:t>
      </w:r>
      <w:r w:rsidRPr="00454250">
        <w:rPr>
          <w:rFonts w:cs="Arial"/>
          <w:b/>
        </w:rPr>
        <w:t>not</w:t>
      </w:r>
      <w:r>
        <w:rPr>
          <w:rFonts w:cs="Arial"/>
        </w:rPr>
        <w:t xml:space="preserve"> mix</w:t>
      </w:r>
      <w:r w:rsidR="004A1DB1">
        <w:rPr>
          <w:rFonts w:cs="Arial"/>
        </w:rPr>
        <w:t xml:space="preserve"> </w:t>
      </w:r>
      <w:r>
        <w:rPr>
          <w:rFonts w:cs="Arial"/>
        </w:rPr>
        <w:t xml:space="preserve">tags, other than default tags, from different hypercubes.  Doing so will produce invalid output.  </w:t>
      </w:r>
    </w:p>
    <w:p w:rsidR="00454250" w:rsidRDefault="00454250">
      <w:pPr>
        <w:rPr>
          <w:rFonts w:cs="Arial"/>
        </w:rPr>
      </w:pPr>
    </w:p>
    <w:p w:rsidR="00454250" w:rsidRDefault="00F0780B">
      <w:pPr>
        <w:rPr>
          <w:rFonts w:cs="Arial"/>
        </w:rPr>
      </w:pPr>
      <w:r>
        <w:rPr>
          <w:rFonts w:cs="Arial"/>
        </w:rPr>
        <w:t>A h</w:t>
      </w:r>
      <w:r w:rsidR="00454250">
        <w:rPr>
          <w:rFonts w:cs="Arial"/>
        </w:rPr>
        <w:t xml:space="preserve">ypercube effectively </w:t>
      </w:r>
      <w:r>
        <w:rPr>
          <w:rFonts w:cs="Arial"/>
        </w:rPr>
        <w:t>defines an</w:t>
      </w:r>
      <w:r w:rsidR="00454250">
        <w:rPr>
          <w:rFonts w:cs="Arial"/>
        </w:rPr>
        <w:t xml:space="preserve"> allowable combination of dimensions.  </w:t>
      </w:r>
      <w:r>
        <w:rPr>
          <w:rFonts w:cs="Arial"/>
        </w:rPr>
        <w:t xml:space="preserve">In a sense, it represents a financial table that may appear in a financial report.  Different hypercubes represent different tables and different allowable combinations of dimensions.  In the general case, different hypercubes represent incompatible tables or combinations of dimensions, so a primary item will only be meaningful in one hypercube at a time.  </w:t>
      </w:r>
    </w:p>
    <w:p w:rsidR="00F0780B" w:rsidRDefault="00F0780B">
      <w:pPr>
        <w:rPr>
          <w:rFonts w:cs="Arial"/>
        </w:rPr>
      </w:pPr>
    </w:p>
    <w:p w:rsidR="00501356" w:rsidRDefault="00F0780B">
      <w:pPr>
        <w:rPr>
          <w:rFonts w:cs="Arial"/>
        </w:rPr>
      </w:pPr>
      <w:r>
        <w:rPr>
          <w:rFonts w:cs="Arial"/>
        </w:rPr>
        <w:t xml:space="preserve">An exception to this is when </w:t>
      </w:r>
      <w:r w:rsidRPr="00F0780B">
        <w:rPr>
          <w:rFonts w:cs="Arial"/>
          <w:b/>
        </w:rPr>
        <w:t>no</w:t>
      </w:r>
      <w:r>
        <w:rPr>
          <w:rFonts w:cs="Arial"/>
        </w:rPr>
        <w:t xml:space="preserve"> dimension tags are selected from dimensions</w:t>
      </w:r>
      <w:r w:rsidR="00E047DD">
        <w:rPr>
          <w:rFonts w:cs="Arial"/>
        </w:rPr>
        <w:t>,</w:t>
      </w:r>
      <w:r>
        <w:rPr>
          <w:rFonts w:cs="Arial"/>
        </w:rPr>
        <w:t xml:space="preserve"> and defaults, representing totals or the general case, apply.  In this case, a value tagged by a primary item may be valid in several different hypercubes.  </w:t>
      </w:r>
    </w:p>
    <w:p w:rsidR="00501356" w:rsidRDefault="00501356">
      <w:pPr>
        <w:rPr>
          <w:rFonts w:cs="Arial"/>
        </w:rPr>
      </w:pPr>
    </w:p>
    <w:p w:rsidR="00501356" w:rsidRDefault="00F0780B">
      <w:pPr>
        <w:rPr>
          <w:rFonts w:cs="Arial"/>
        </w:rPr>
      </w:pPr>
      <w:r>
        <w:rPr>
          <w:rFonts w:cs="Arial"/>
        </w:rPr>
        <w:t xml:space="preserve">For example, </w:t>
      </w:r>
      <w:r w:rsidR="002D3105">
        <w:rPr>
          <w:rFonts w:cs="Arial"/>
        </w:rPr>
        <w:t>under IFRS, total equity, tagged as ‘</w:t>
      </w:r>
      <w:r w:rsidR="002D3105" w:rsidRPr="002D3105">
        <w:rPr>
          <w:rFonts w:cs="Arial"/>
          <w:i/>
          <w:color w:val="FF0000"/>
        </w:rPr>
        <w:t>Equity</w:t>
      </w:r>
      <w:r w:rsidR="002D3105">
        <w:rPr>
          <w:rFonts w:cs="Arial"/>
        </w:rPr>
        <w:t xml:space="preserve">’ will be valid in both the </w:t>
      </w:r>
      <w:r w:rsidR="002D3105" w:rsidRPr="002D3105">
        <w:rPr>
          <w:rFonts w:cs="Arial"/>
          <w:i/>
        </w:rPr>
        <w:t>Equity</w:t>
      </w:r>
      <w:r w:rsidR="002D3105">
        <w:rPr>
          <w:rFonts w:cs="Arial"/>
        </w:rPr>
        <w:t xml:space="preserve"> hypercube and the </w:t>
      </w:r>
      <w:r w:rsidR="002D3105" w:rsidRPr="002D3105">
        <w:rPr>
          <w:rFonts w:cs="Arial"/>
          <w:i/>
        </w:rPr>
        <w:t>Balance and cash main data</w:t>
      </w:r>
      <w:r w:rsidR="002D3105">
        <w:rPr>
          <w:rFonts w:cs="Arial"/>
        </w:rPr>
        <w:t xml:space="preserve"> hypercube.  Total equity may appear in tables in both the Statement of Equity and the Balance Sheet.  </w:t>
      </w:r>
      <w:r w:rsidR="0062429A">
        <w:rPr>
          <w:rFonts w:cs="Arial"/>
        </w:rPr>
        <w:t xml:space="preserve">In tagging total equity, no dimensions will be selected from either hypercube.  However, if a dimension tag for a particular class of equity is selected from the Equity hypercube, then that value of equity will only be valid under the Equity hypercube.  It will not be valid under the Balance sheet hypercube and no dimensions may be selected from the latter, unless the equity class dimension tag is removed.  </w:t>
      </w:r>
    </w:p>
    <w:p w:rsidR="0062429A" w:rsidRDefault="0062429A">
      <w:pPr>
        <w:rPr>
          <w:rFonts w:cs="Arial"/>
        </w:rPr>
      </w:pPr>
    </w:p>
    <w:p w:rsidR="0062429A" w:rsidRDefault="0062429A">
      <w:pPr>
        <w:rPr>
          <w:rFonts w:cs="Arial"/>
        </w:rPr>
      </w:pPr>
      <w:r>
        <w:rPr>
          <w:rFonts w:cs="Arial"/>
        </w:rPr>
        <w:t xml:space="preserve">A fundamental rule of dimensions validation is that any primary item attached to dimensions </w:t>
      </w:r>
      <w:r w:rsidRPr="0062429A">
        <w:rPr>
          <w:rFonts w:cs="Arial"/>
          <w:b/>
        </w:rPr>
        <w:t>must</w:t>
      </w:r>
      <w:r>
        <w:rPr>
          <w:rFonts w:cs="Arial"/>
        </w:rPr>
        <w:t xml:space="preserve"> be valid in at least </w:t>
      </w:r>
      <w:r w:rsidRPr="0062429A">
        <w:rPr>
          <w:rFonts w:cs="Arial"/>
          <w:b/>
        </w:rPr>
        <w:t>one</w:t>
      </w:r>
      <w:r>
        <w:rPr>
          <w:rFonts w:cs="Arial"/>
        </w:rPr>
        <w:t xml:space="preserve"> hypercube.  It does not have to be valid in more than this</w:t>
      </w:r>
      <w:r w:rsidR="00E047DD">
        <w:rPr>
          <w:rFonts w:cs="Arial"/>
        </w:rPr>
        <w:t>,</w:t>
      </w:r>
      <w:r>
        <w:rPr>
          <w:rFonts w:cs="Arial"/>
        </w:rPr>
        <w:t xml:space="preserve"> although it may be valid in more, as described above.  </w:t>
      </w:r>
    </w:p>
    <w:p w:rsidR="00501356" w:rsidRDefault="00501356">
      <w:pPr>
        <w:rPr>
          <w:rFonts w:cs="Arial"/>
        </w:rPr>
      </w:pPr>
    </w:p>
    <w:p w:rsidR="00501356" w:rsidRDefault="0062429A">
      <w:pPr>
        <w:rPr>
          <w:rFonts w:cs="Arial"/>
        </w:rPr>
      </w:pPr>
      <w:r>
        <w:rPr>
          <w:rFonts w:cs="Arial"/>
        </w:rPr>
        <w:t xml:space="preserve">If a primary item is attached to two hypercubes, one containing dimensions with defaults and the other containing one or more dimensions without defaults, then the item only has to be valid in one of the hypercubes concerned.  </w:t>
      </w:r>
      <w:r w:rsidR="00F41B21">
        <w:rPr>
          <w:rFonts w:cs="Arial"/>
        </w:rPr>
        <w:t xml:space="preserve">If no selections are made from the hypercube containing dimensions without defaults, then the item will be validated </w:t>
      </w:r>
      <w:r w:rsidR="00B8285F">
        <w:rPr>
          <w:rFonts w:cs="Arial"/>
        </w:rPr>
        <w:t>against</w:t>
      </w:r>
      <w:r w:rsidR="00F41B21">
        <w:rPr>
          <w:rFonts w:cs="Arial"/>
        </w:rPr>
        <w:t xml:space="preserve"> the hypercube which does have defaults.  </w:t>
      </w:r>
    </w:p>
    <w:p w:rsidR="00501356" w:rsidRDefault="00501356">
      <w:pPr>
        <w:rPr>
          <w:rFonts w:cs="Arial"/>
        </w:rPr>
      </w:pPr>
    </w:p>
    <w:p w:rsidR="00501356" w:rsidRDefault="0062429A">
      <w:pPr>
        <w:rPr>
          <w:rFonts w:cs="Arial"/>
        </w:rPr>
      </w:pPr>
      <w:r>
        <w:rPr>
          <w:rFonts w:cs="Arial"/>
        </w:rPr>
        <w:t>Th</w:t>
      </w:r>
      <w:r w:rsidR="00F41B21">
        <w:rPr>
          <w:rFonts w:cs="Arial"/>
        </w:rPr>
        <w:t xml:space="preserve">is section </w:t>
      </w:r>
      <w:r>
        <w:rPr>
          <w:rFonts w:cs="Arial"/>
        </w:rPr>
        <w:t xml:space="preserve">is intended as a general explanation of aspects of the XBRL dimension specification.  Developers must consult that </w:t>
      </w:r>
      <w:r w:rsidR="00B8285F">
        <w:rPr>
          <w:rFonts w:cs="Arial"/>
        </w:rPr>
        <w:t>specification</w:t>
      </w:r>
      <w:r>
        <w:rPr>
          <w:rFonts w:cs="Arial"/>
        </w:rPr>
        <w:t xml:space="preserve">, referenced in the </w:t>
      </w:r>
      <w:hyperlink w:anchor="PDGuide" w:history="1">
        <w:r w:rsidRPr="00B8689E">
          <w:rPr>
            <w:rStyle w:val="Hyperlink"/>
          </w:rPr>
          <w:t>Preparers and Developers Guide</w:t>
        </w:r>
      </w:hyperlink>
      <w:r>
        <w:t>,</w:t>
      </w:r>
      <w:r>
        <w:rPr>
          <w:rFonts w:cs="Arial"/>
        </w:rPr>
        <w:t xml:space="preserve"> to gain a proper understanding of XBRL dimensions.  </w:t>
      </w:r>
      <w:r w:rsidR="00F41B21">
        <w:rPr>
          <w:rFonts w:cs="Arial"/>
        </w:rPr>
        <w:t>Developers do not have to understand the accounting relationships which determine the content of dimensions, the choice of defaults and the link</w:t>
      </w:r>
      <w:r w:rsidR="00E047DD">
        <w:rPr>
          <w:rFonts w:cs="Arial"/>
        </w:rPr>
        <w:t>ing</w:t>
      </w:r>
      <w:r w:rsidR="00F41B21">
        <w:rPr>
          <w:rFonts w:cs="Arial"/>
        </w:rPr>
        <w:t xml:space="preserve"> of line item tags to particular sets of dimensions.  However, they </w:t>
      </w:r>
      <w:r w:rsidR="00F41B21" w:rsidRPr="00F41B21">
        <w:rPr>
          <w:rFonts w:cs="Arial"/>
          <w:b/>
        </w:rPr>
        <w:t>must</w:t>
      </w:r>
      <w:r w:rsidR="00F41B21">
        <w:rPr>
          <w:rFonts w:cs="Arial"/>
        </w:rPr>
        <w:t xml:space="preserve"> accurately implement the rules set out in the dimensions specification and the dimensional relationships in the accounts taxonomies.  </w:t>
      </w:r>
    </w:p>
    <w:p w:rsidR="000B2365" w:rsidRDefault="000B2365">
      <w:pPr>
        <w:rPr>
          <w:rFonts w:cs="Arial"/>
        </w:rPr>
      </w:pPr>
    </w:p>
    <w:p w:rsidR="009A6173" w:rsidRPr="009A6173" w:rsidRDefault="003C014A" w:rsidP="009A6173">
      <w:pPr>
        <w:pStyle w:val="Heading1"/>
      </w:pPr>
      <w:bookmarkStart w:id="57" w:name="_13_Groupings_/"/>
      <w:bookmarkEnd w:id="57"/>
      <w:r>
        <w:br w:type="page"/>
      </w:r>
      <w:bookmarkStart w:id="58" w:name="_Toc292036857"/>
      <w:r w:rsidR="009A6173" w:rsidRPr="009A6173">
        <w:lastRenderedPageBreak/>
        <w:t>13</w:t>
      </w:r>
      <w:r w:rsidR="009A6173" w:rsidRPr="009A6173">
        <w:tab/>
        <w:t>Groupings / tuples – further information</w:t>
      </w:r>
      <w:bookmarkEnd w:id="58"/>
    </w:p>
    <w:p w:rsidR="009A6173" w:rsidRDefault="009A6173">
      <w:pPr>
        <w:rPr>
          <w:rFonts w:cs="Arial"/>
        </w:rPr>
      </w:pPr>
    </w:p>
    <w:p w:rsidR="009955DC" w:rsidRDefault="00AD6861">
      <w:r>
        <w:rPr>
          <w:rFonts w:cs="Arial"/>
        </w:rPr>
        <w:t xml:space="preserve">The use of groupings or ‘tuples’ is </w:t>
      </w:r>
      <w:r w:rsidR="00160099">
        <w:rPr>
          <w:rFonts w:cs="Arial"/>
        </w:rPr>
        <w:t xml:space="preserve">described in </w:t>
      </w:r>
      <w:r w:rsidR="00160099" w:rsidRPr="00160099">
        <w:rPr>
          <w:rFonts w:cs="Arial"/>
        </w:rPr>
        <w:t xml:space="preserve">sections 3.5, 4.9 and 7.5 </w:t>
      </w:r>
      <w:r w:rsidR="00160099">
        <w:rPr>
          <w:rFonts w:cs="Arial"/>
        </w:rPr>
        <w:t xml:space="preserve">of the </w:t>
      </w:r>
      <w:hyperlink w:anchor="PDGuide" w:history="1">
        <w:r w:rsidR="00160099" w:rsidRPr="00B8689E">
          <w:rPr>
            <w:rStyle w:val="Hyperlink"/>
          </w:rPr>
          <w:t>Preparers and Developers Guide</w:t>
        </w:r>
      </w:hyperlink>
      <w:r w:rsidR="00160099">
        <w:t xml:space="preserve">.  </w:t>
      </w:r>
    </w:p>
    <w:p w:rsidR="009955DC" w:rsidRDefault="009955DC"/>
    <w:p w:rsidR="009A6173" w:rsidRPr="009955DC" w:rsidRDefault="009955DC">
      <w:r>
        <w:t xml:space="preserve">As stated in </w:t>
      </w:r>
      <w:hyperlink w:anchor="XR_Tuples" w:history="1">
        <w:r w:rsidRPr="008A7383">
          <w:rPr>
            <w:rStyle w:val="Hyperlink"/>
          </w:rPr>
          <w:t>item 4</w:t>
        </w:r>
        <w:r w:rsidRPr="008A7383">
          <w:rPr>
            <w:rStyle w:val="Hyperlink"/>
          </w:rPr>
          <w:t>.</w:t>
        </w:r>
        <w:r w:rsidRPr="008A7383">
          <w:rPr>
            <w:rStyle w:val="Hyperlink"/>
          </w:rPr>
          <w:t>1</w:t>
        </w:r>
        <w:r w:rsidR="00C83B0D">
          <w:rPr>
            <w:rStyle w:val="Hyperlink"/>
          </w:rPr>
          <w:t>4</w:t>
        </w:r>
      </w:hyperlink>
      <w:r>
        <w:t xml:space="preserve"> above, d</w:t>
      </w:r>
      <w:r w:rsidRPr="009955DC">
        <w:t xml:space="preserve">ifferent occurrences of groupings must be used to tag current and previous period data.  In general, each tag within a grouping can only be used once within each occurrence of the grouping.  Tagging of multiple data items is achieved by repeating the whole grouping.  A separate occurrence is thus required for current period data and for previous period data.  </w:t>
      </w:r>
    </w:p>
    <w:p w:rsidR="009A6173" w:rsidRDefault="009A6173">
      <w:pPr>
        <w:rPr>
          <w:rFonts w:cs="Arial"/>
        </w:rPr>
      </w:pPr>
    </w:p>
    <w:p w:rsidR="009A6173" w:rsidRDefault="00806478">
      <w:pPr>
        <w:rPr>
          <w:rFonts w:cs="Arial"/>
        </w:rPr>
      </w:pPr>
      <w:r>
        <w:rPr>
          <w:rFonts w:cs="Arial"/>
        </w:rPr>
        <w:t xml:space="preserve">Developers should note that the number of times </w:t>
      </w:r>
      <w:r w:rsidR="0040149F">
        <w:rPr>
          <w:rFonts w:cs="Arial"/>
        </w:rPr>
        <w:t xml:space="preserve">that </w:t>
      </w:r>
      <w:r>
        <w:rPr>
          <w:rFonts w:cs="Arial"/>
        </w:rPr>
        <w:t>a</w:t>
      </w:r>
      <w:r w:rsidR="00996B7A">
        <w:rPr>
          <w:rFonts w:cs="Arial"/>
        </w:rPr>
        <w:t xml:space="preserve"> tag </w:t>
      </w:r>
      <w:r>
        <w:rPr>
          <w:rFonts w:cs="Arial"/>
        </w:rPr>
        <w:t>can be used within each grouping occurrence is determined by the tuple definition.  An example</w:t>
      </w:r>
      <w:r w:rsidR="00274A77">
        <w:rPr>
          <w:rFonts w:cs="Arial"/>
        </w:rPr>
        <w:t xml:space="preserve"> of a tuple definition</w:t>
      </w:r>
      <w:r>
        <w:rPr>
          <w:rFonts w:cs="Arial"/>
        </w:rPr>
        <w:t xml:space="preserve"> is shown below:  </w:t>
      </w:r>
    </w:p>
    <w:p w:rsidR="00806478" w:rsidRDefault="00806478">
      <w:pPr>
        <w:rPr>
          <w:rFonts w:cs="Arial"/>
        </w:rPr>
      </w:pPr>
    </w:p>
    <w:p w:rsidR="00806478" w:rsidRPr="00274A77" w:rsidRDefault="00A63618">
      <w:pPr>
        <w:rPr>
          <w:rFonts w:cs="Arial"/>
        </w:rPr>
      </w:pPr>
      <w:r>
        <w:rPr>
          <w:noProof/>
          <w:lang w:val="en-US" w:eastAsia="en-US"/>
        </w:rPr>
        <w:drawing>
          <wp:inline distT="0" distB="0" distL="0" distR="0">
            <wp:extent cx="5761990" cy="18840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61990" cy="1884045"/>
                    </a:xfrm>
                    <a:prstGeom prst="rect">
                      <a:avLst/>
                    </a:prstGeom>
                    <a:noFill/>
                    <a:ln w="9525">
                      <a:noFill/>
                      <a:miter lim="800000"/>
                      <a:headEnd/>
                      <a:tailEnd/>
                    </a:ln>
                  </pic:spPr>
                </pic:pic>
              </a:graphicData>
            </a:graphic>
          </wp:inline>
        </w:drawing>
      </w:r>
    </w:p>
    <w:p w:rsidR="00806478" w:rsidRDefault="00806478">
      <w:pPr>
        <w:rPr>
          <w:rFonts w:cs="Arial"/>
        </w:rPr>
      </w:pPr>
    </w:p>
    <w:p w:rsidR="00806478" w:rsidRDefault="00996B7A">
      <w:pPr>
        <w:rPr>
          <w:rFonts w:cs="Arial"/>
        </w:rPr>
      </w:pPr>
      <w:r>
        <w:rPr>
          <w:rFonts w:cs="Arial"/>
        </w:rPr>
        <w:t xml:space="preserve">The ‘cardinality’ of each tag within a tuple is </w:t>
      </w:r>
      <w:r w:rsidR="004A5FF6">
        <w:rPr>
          <w:rFonts w:cs="Arial"/>
        </w:rPr>
        <w:t>defined</w:t>
      </w:r>
      <w:r>
        <w:rPr>
          <w:rFonts w:cs="Arial"/>
        </w:rPr>
        <w:t xml:space="preserve"> through the minOccurs and maxOccurs attributes.  In the example above, these are set</w:t>
      </w:r>
      <w:r w:rsidR="0040149F">
        <w:rPr>
          <w:rFonts w:cs="Arial"/>
        </w:rPr>
        <w:t xml:space="preserve"> on all tags</w:t>
      </w:r>
      <w:r>
        <w:rPr>
          <w:rFonts w:cs="Arial"/>
        </w:rPr>
        <w:t xml:space="preserve"> to min 0 and max 1.  This means </w:t>
      </w:r>
      <w:r w:rsidR="0040149F">
        <w:rPr>
          <w:rFonts w:cs="Arial"/>
        </w:rPr>
        <w:t>each</w:t>
      </w:r>
      <w:r>
        <w:rPr>
          <w:rFonts w:cs="Arial"/>
        </w:rPr>
        <w:t xml:space="preserve"> tag does not have to be used within a tuple occurrence, but if it is used, it can only be used once in each occurrence.  </w:t>
      </w:r>
    </w:p>
    <w:p w:rsidR="00996B7A" w:rsidRDefault="00996B7A">
      <w:pPr>
        <w:rPr>
          <w:rFonts w:cs="Arial"/>
        </w:rPr>
      </w:pPr>
    </w:p>
    <w:p w:rsidR="00806478" w:rsidRDefault="0040149F">
      <w:pPr>
        <w:rPr>
          <w:rFonts w:cs="Arial"/>
        </w:rPr>
      </w:pPr>
      <w:r>
        <w:rPr>
          <w:rFonts w:cs="Arial"/>
        </w:rPr>
        <w:t xml:space="preserve">The cardinality of most tags in tuples is set to min 0 and max 1.  However, a small number of tags in certain tuples have cardinality of min 1 and max 1, so that they must be used if the tuple is used.  (This mainly applies to descriptive tags which are essential to the meaning of the data concerned.)  In a few tuples, the cardinality of a tag is set to max unbounded, so that it can be used an unlimited number of times in a tuple occurrence.  Note that the cardinality of a tag is defined individually in each tuple – if a tag is used in several tuples, it can have different cardinality in each tuple.  </w:t>
      </w:r>
    </w:p>
    <w:p w:rsidR="008A7383" w:rsidRDefault="008A7383">
      <w:pPr>
        <w:rPr>
          <w:rFonts w:cs="Arial"/>
        </w:rPr>
      </w:pPr>
    </w:p>
    <w:p w:rsidR="008A7383" w:rsidRDefault="008A7383">
      <w:pPr>
        <w:rPr>
          <w:rFonts w:cs="Arial"/>
        </w:rPr>
      </w:pPr>
      <w:r>
        <w:rPr>
          <w:rFonts w:cs="Arial"/>
        </w:rPr>
        <w:t xml:space="preserve">When implementing XBRL, developers must ensure they correctly reflect the definitions of tuples in the taxonomy schemas.  </w:t>
      </w:r>
    </w:p>
    <w:p w:rsidR="0040149F" w:rsidRDefault="0040149F">
      <w:pPr>
        <w:rPr>
          <w:rFonts w:cs="Arial"/>
        </w:rPr>
      </w:pPr>
    </w:p>
    <w:p w:rsidR="0040149F" w:rsidRDefault="0040149F">
      <w:pPr>
        <w:rPr>
          <w:rFonts w:cs="Arial"/>
        </w:rPr>
      </w:pPr>
      <w:r>
        <w:rPr>
          <w:rFonts w:cs="Arial"/>
        </w:rPr>
        <w:t xml:space="preserve">The </w:t>
      </w:r>
      <w:hyperlink w:anchor="InlineGuide" w:history="1">
        <w:r w:rsidRPr="0040149F">
          <w:rPr>
            <w:rStyle w:val="Hyperlink"/>
            <w:rFonts w:cs="Arial"/>
          </w:rPr>
          <w:t>Inline XBRL Style Guide</w:t>
        </w:r>
      </w:hyperlink>
      <w:r>
        <w:rPr>
          <w:rFonts w:cs="Arial"/>
        </w:rPr>
        <w:t xml:space="preserve"> gives further information on the representation of tuples in Inline XBRL.  </w:t>
      </w:r>
    </w:p>
    <w:p w:rsidR="0040149F" w:rsidRDefault="0040149F">
      <w:pPr>
        <w:rPr>
          <w:rFonts w:cs="Arial"/>
        </w:rPr>
      </w:pPr>
    </w:p>
    <w:p w:rsidR="000B2365" w:rsidRPr="009A6173" w:rsidRDefault="000375C9" w:rsidP="009A6173">
      <w:pPr>
        <w:pStyle w:val="Heading1"/>
      </w:pPr>
      <w:bookmarkStart w:id="59" w:name="_14_Predefined_value"/>
      <w:bookmarkEnd w:id="59"/>
      <w:r>
        <w:br w:type="page"/>
      </w:r>
      <w:bookmarkStart w:id="60" w:name="_Toc292036858"/>
      <w:r w:rsidR="009A6173" w:rsidRPr="009A6173">
        <w:lastRenderedPageBreak/>
        <w:t>14</w:t>
      </w:r>
      <w:r w:rsidR="009A6173" w:rsidRPr="009A6173">
        <w:tab/>
        <w:t>Predefined value items</w:t>
      </w:r>
      <w:bookmarkEnd w:id="60"/>
    </w:p>
    <w:p w:rsidR="009A6173" w:rsidRDefault="009A6173">
      <w:pPr>
        <w:rPr>
          <w:rFonts w:cs="Arial"/>
        </w:rPr>
      </w:pPr>
    </w:p>
    <w:p w:rsidR="00A17EDD" w:rsidRDefault="00A17EDD">
      <w:pPr>
        <w:rPr>
          <w:rFonts w:cs="Arial"/>
        </w:rPr>
      </w:pPr>
      <w:r>
        <w:rPr>
          <w:rFonts w:cs="Arial"/>
        </w:rPr>
        <w:t xml:space="preserve">As stated in </w:t>
      </w:r>
      <w:hyperlink w:anchor="XR_PredefValues" w:history="1">
        <w:r w:rsidRPr="00A17EDD">
          <w:rPr>
            <w:rStyle w:val="Hyperlink"/>
            <w:rFonts w:cs="Arial"/>
          </w:rPr>
          <w:t>item 4.24</w:t>
        </w:r>
      </w:hyperlink>
      <w:r>
        <w:rPr>
          <w:rFonts w:cs="Arial"/>
        </w:rPr>
        <w:t xml:space="preserve"> above, a small number of tags must be used with predefined</w:t>
      </w:r>
      <w:r w:rsidR="00C7022D">
        <w:rPr>
          <w:rFonts w:cs="Arial"/>
        </w:rPr>
        <w:t xml:space="preserve"> values (in technical terms, ‘enumerated values’).  </w:t>
      </w:r>
      <w:r w:rsidRPr="00A17EDD">
        <w:rPr>
          <w:rFonts w:cs="Arial"/>
        </w:rPr>
        <w:t>Most, such as '</w:t>
      </w:r>
      <w:r w:rsidRPr="00A17EDD">
        <w:rPr>
          <w:rFonts w:cs="Arial"/>
          <w:i/>
          <w:color w:val="FF0000"/>
        </w:rPr>
        <w:t>Description of period covered by report</w:t>
      </w:r>
      <w:r w:rsidRPr="00A17EDD">
        <w:rPr>
          <w:rFonts w:cs="Arial"/>
        </w:rPr>
        <w:t xml:space="preserve">', do </w:t>
      </w:r>
      <w:r w:rsidRPr="00A17EDD">
        <w:rPr>
          <w:rFonts w:cs="Arial"/>
          <w:b/>
        </w:rPr>
        <w:t>not</w:t>
      </w:r>
      <w:r w:rsidRPr="00A17EDD">
        <w:rPr>
          <w:rFonts w:cs="Arial"/>
        </w:rPr>
        <w:t xml:space="preserve"> have to be used at this stage</w:t>
      </w:r>
      <w:r w:rsidR="00F1693A">
        <w:rPr>
          <w:rFonts w:cs="Arial"/>
        </w:rPr>
        <w:t xml:space="preserve"> of XBRL implementation</w:t>
      </w:r>
      <w:r w:rsidRPr="00A17EDD">
        <w:rPr>
          <w:rFonts w:cs="Arial"/>
        </w:rPr>
        <w:t xml:space="preserve">.  However, if they are used, they must be used to tag text strings which </w:t>
      </w:r>
      <w:r w:rsidRPr="00A17EDD">
        <w:rPr>
          <w:rFonts w:cs="Arial"/>
          <w:b/>
        </w:rPr>
        <w:t>exactly match</w:t>
      </w:r>
      <w:r>
        <w:rPr>
          <w:rFonts w:cs="Arial"/>
        </w:rPr>
        <w:t xml:space="preserve"> the predefined values.  </w:t>
      </w:r>
      <w:r w:rsidRPr="00A17EDD">
        <w:rPr>
          <w:rFonts w:cs="Arial"/>
        </w:rPr>
        <w:t xml:space="preserve">For example, one predefined value of the 'Description of period covered by report' is 'FY', meaning financial year.   If </w:t>
      </w:r>
      <w:r>
        <w:rPr>
          <w:rFonts w:cs="Arial"/>
        </w:rPr>
        <w:t>suitable text i</w:t>
      </w:r>
      <w:r w:rsidR="00F420E4">
        <w:rPr>
          <w:rFonts w:cs="Arial"/>
        </w:rPr>
        <w:t>n</w:t>
      </w:r>
      <w:r>
        <w:rPr>
          <w:rFonts w:cs="Arial"/>
        </w:rPr>
        <w:t xml:space="preserve"> a report is not available,</w:t>
      </w:r>
      <w:r w:rsidRPr="00A17EDD">
        <w:rPr>
          <w:rFonts w:cs="Arial"/>
        </w:rPr>
        <w:t xml:space="preserve"> these values can be included in the ix:hidden section.  It is up to software to ensure such tags are</w:t>
      </w:r>
      <w:r>
        <w:rPr>
          <w:rFonts w:cs="Arial"/>
        </w:rPr>
        <w:t xml:space="preserve"> used correctly by preparers.  </w:t>
      </w:r>
    </w:p>
    <w:p w:rsidR="00A17EDD" w:rsidRDefault="00A17EDD">
      <w:pPr>
        <w:rPr>
          <w:rFonts w:cs="Arial"/>
        </w:rPr>
      </w:pPr>
    </w:p>
    <w:p w:rsidR="009A6173" w:rsidRPr="00A17EDD" w:rsidRDefault="00A17EDD">
      <w:pPr>
        <w:rPr>
          <w:rFonts w:cs="Arial"/>
        </w:rPr>
      </w:pPr>
      <w:r w:rsidRPr="00A17EDD">
        <w:rPr>
          <w:rFonts w:cs="Arial"/>
        </w:rPr>
        <w:t xml:space="preserve">One tag of this type in the IFRS taxonomy may sometimes be required in current filing.  </w:t>
      </w:r>
      <w:r>
        <w:rPr>
          <w:rFonts w:cs="Arial"/>
        </w:rPr>
        <w:t xml:space="preserve">The tag, </w:t>
      </w:r>
      <w:r w:rsidRPr="00A17EDD">
        <w:rPr>
          <w:rFonts w:cs="Arial"/>
        </w:rPr>
        <w:t>'</w:t>
      </w:r>
      <w:r w:rsidRPr="00A17EDD">
        <w:rPr>
          <w:rFonts w:cs="Arial"/>
          <w:i/>
          <w:color w:val="FF0000"/>
        </w:rPr>
        <w:t>Model used to measure investment property</w:t>
      </w:r>
      <w:r w:rsidRPr="00A17EDD">
        <w:rPr>
          <w:rFonts w:cs="Arial"/>
        </w:rPr>
        <w:t>'</w:t>
      </w:r>
      <w:r>
        <w:rPr>
          <w:rFonts w:cs="Arial"/>
        </w:rPr>
        <w:t xml:space="preserve">, </w:t>
      </w:r>
      <w:r w:rsidRPr="00A17EDD">
        <w:rPr>
          <w:rFonts w:cs="Arial"/>
        </w:rPr>
        <w:t xml:space="preserve">is described in </w:t>
      </w:r>
      <w:hyperlink w:anchor="XR_InvPropMod" w:history="1">
        <w:r w:rsidRPr="00A17EDD">
          <w:rPr>
            <w:rStyle w:val="Hyperlink"/>
            <w:rFonts w:cs="Arial"/>
          </w:rPr>
          <w:t>item 9.2</w:t>
        </w:r>
        <w:r w:rsidR="0081090C">
          <w:rPr>
            <w:rStyle w:val="Hyperlink"/>
            <w:rFonts w:cs="Arial"/>
          </w:rPr>
          <w:t>8</w:t>
        </w:r>
      </w:hyperlink>
      <w:r w:rsidRPr="00A17EDD">
        <w:rPr>
          <w:rFonts w:cs="Arial"/>
        </w:rPr>
        <w:t xml:space="preserve"> under IFRS.  </w:t>
      </w:r>
    </w:p>
    <w:p w:rsidR="009A6173" w:rsidRDefault="009A6173">
      <w:pPr>
        <w:rPr>
          <w:rFonts w:cs="Arial"/>
        </w:rPr>
      </w:pPr>
    </w:p>
    <w:p w:rsidR="000B2365" w:rsidRDefault="00A17EDD">
      <w:pPr>
        <w:rPr>
          <w:rFonts w:cs="Arial"/>
        </w:rPr>
      </w:pPr>
      <w:r>
        <w:rPr>
          <w:rFonts w:cs="Arial"/>
        </w:rPr>
        <w:t xml:space="preserve">The </w:t>
      </w:r>
      <w:r w:rsidRPr="00A17EDD">
        <w:rPr>
          <w:rFonts w:cs="Arial"/>
        </w:rPr>
        <w:t xml:space="preserve">tags </w:t>
      </w:r>
      <w:r>
        <w:rPr>
          <w:rFonts w:cs="Arial"/>
        </w:rPr>
        <w:t xml:space="preserve">which must be used with predefined values </w:t>
      </w:r>
      <w:r w:rsidRPr="00A17EDD">
        <w:rPr>
          <w:rFonts w:cs="Arial"/>
        </w:rPr>
        <w:t>are identified by their data type.</w:t>
      </w:r>
      <w:r>
        <w:rPr>
          <w:rFonts w:cs="Arial"/>
        </w:rPr>
        <w:t xml:space="preserve">  The values which they must take are defined in the </w:t>
      </w:r>
      <w:r w:rsidR="00F420E4">
        <w:rPr>
          <w:rFonts w:cs="Arial"/>
        </w:rPr>
        <w:t>taxonomy schema which defines the data type concerned.  The following table lists the tags, their data type, their predefined values</w:t>
      </w:r>
      <w:r w:rsidR="005D371B">
        <w:rPr>
          <w:rFonts w:cs="Arial"/>
        </w:rPr>
        <w:t xml:space="preserve">, </w:t>
      </w:r>
      <w:r w:rsidR="00F420E4">
        <w:rPr>
          <w:rFonts w:cs="Arial"/>
        </w:rPr>
        <w:t>the taxonomy schema in which they are defined</w:t>
      </w:r>
      <w:r w:rsidR="005D371B">
        <w:rPr>
          <w:rFonts w:cs="Arial"/>
        </w:rPr>
        <w:t xml:space="preserve"> and the scope of their use</w:t>
      </w:r>
      <w:r w:rsidR="00F420E4">
        <w:rPr>
          <w:rFonts w:cs="Arial"/>
        </w:rPr>
        <w:t xml:space="preserve">.  </w:t>
      </w:r>
    </w:p>
    <w:p w:rsidR="00F420E4" w:rsidRDefault="00F420E4">
      <w:pPr>
        <w:rPr>
          <w:rFonts w:cs="Arial"/>
        </w:rPr>
      </w:pPr>
    </w:p>
    <w:p w:rsidR="00F420E4" w:rsidRDefault="00F420E4">
      <w:pPr>
        <w:rPr>
          <w:rFonts w:cs="Arial"/>
        </w:rPr>
      </w:pPr>
      <w:r>
        <w:rPr>
          <w:rFonts w:cs="Arial"/>
        </w:rPr>
        <w:t xml:space="preserve">These tags should </w:t>
      </w:r>
      <w:r w:rsidRPr="00F420E4">
        <w:rPr>
          <w:rFonts w:cs="Arial"/>
          <w:b/>
        </w:rPr>
        <w:t>not</w:t>
      </w:r>
      <w:r>
        <w:rPr>
          <w:rFonts w:cs="Arial"/>
        </w:rPr>
        <w:t xml:space="preserve"> be confused with ‘Fixed item type’ tags which have a predefined value of ‘nil’ (i.e. empty), as mentioned in </w:t>
      </w:r>
      <w:hyperlink w:anchor="XR_FixedItems" w:history="1">
        <w:r w:rsidRPr="00F420E4">
          <w:rPr>
            <w:rStyle w:val="Hyperlink"/>
            <w:rFonts w:cs="Arial"/>
          </w:rPr>
          <w:t>item 4</w:t>
        </w:r>
        <w:r w:rsidRPr="00F420E4">
          <w:rPr>
            <w:rStyle w:val="Hyperlink"/>
            <w:rFonts w:cs="Arial"/>
          </w:rPr>
          <w:t>.</w:t>
        </w:r>
        <w:r w:rsidRPr="00F420E4">
          <w:rPr>
            <w:rStyle w:val="Hyperlink"/>
            <w:rFonts w:cs="Arial"/>
          </w:rPr>
          <w:t>22</w:t>
        </w:r>
      </w:hyperlink>
      <w:r>
        <w:rPr>
          <w:rFonts w:cs="Arial"/>
        </w:rPr>
        <w:t xml:space="preserve"> above and section 4.13 of the </w:t>
      </w:r>
      <w:hyperlink w:anchor="PDGuide" w:history="1">
        <w:r w:rsidRPr="00B8689E">
          <w:rPr>
            <w:rStyle w:val="Hyperlink"/>
          </w:rPr>
          <w:t>Preparers and Developers Guide</w:t>
        </w:r>
      </w:hyperlink>
      <w:r>
        <w:rPr>
          <w:rFonts w:cs="Arial"/>
        </w:rPr>
        <w:t xml:space="preserve">.  </w:t>
      </w:r>
    </w:p>
    <w:p w:rsidR="00A17EDD" w:rsidRDefault="00A17EDD" w:rsidP="003D60AA">
      <w:pPr>
        <w:spacing w:after="120"/>
        <w:rPr>
          <w:rFonts w:cs="Arial"/>
        </w:rPr>
      </w:pPr>
    </w:p>
    <w:p w:rsidR="00A17EDD" w:rsidRDefault="00A63618" w:rsidP="003D60AA">
      <w:pPr>
        <w:rPr>
          <w:rFonts w:cs="Arial"/>
        </w:rPr>
      </w:pPr>
      <w:r>
        <w:rPr>
          <w:noProof/>
          <w:lang w:val="en-US" w:eastAsia="en-US"/>
        </w:rPr>
        <w:drawing>
          <wp:inline distT="0" distB="0" distL="0" distR="0">
            <wp:extent cx="5750560" cy="2985770"/>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750560" cy="2985770"/>
                    </a:xfrm>
                    <a:prstGeom prst="rect">
                      <a:avLst/>
                    </a:prstGeom>
                    <a:noFill/>
                    <a:ln w="9525">
                      <a:noFill/>
                      <a:miter lim="800000"/>
                      <a:headEnd/>
                      <a:tailEnd/>
                    </a:ln>
                  </pic:spPr>
                </pic:pic>
              </a:graphicData>
            </a:graphic>
          </wp:inline>
        </w:drawing>
      </w:r>
    </w:p>
    <w:p w:rsidR="00A17EDD" w:rsidRDefault="00A17EDD" w:rsidP="003D60AA">
      <w:pPr>
        <w:spacing w:before="120"/>
        <w:rPr>
          <w:rFonts w:cs="Arial"/>
        </w:rPr>
      </w:pPr>
    </w:p>
    <w:p w:rsidR="005D371B" w:rsidRDefault="005D371B">
      <w:pPr>
        <w:rPr>
          <w:rFonts w:cs="Arial"/>
        </w:rPr>
      </w:pPr>
      <w:r>
        <w:rPr>
          <w:rFonts w:cs="Arial"/>
        </w:rPr>
        <w:t xml:space="preserve">Each predefined value is shown on a separate line.  </w:t>
      </w:r>
      <w:r w:rsidR="00AF08F4">
        <w:rPr>
          <w:rFonts w:cs="Arial"/>
        </w:rPr>
        <w:t xml:space="preserve">Developers should source the predefined </w:t>
      </w:r>
      <w:r w:rsidR="00BB197A">
        <w:rPr>
          <w:rFonts w:cs="Arial"/>
        </w:rPr>
        <w:t xml:space="preserve">(enumerated) </w:t>
      </w:r>
      <w:r w:rsidR="00AF08F4">
        <w:rPr>
          <w:rFonts w:cs="Arial"/>
        </w:rPr>
        <w:t>values from the taxonomy schema files shown.</w:t>
      </w:r>
      <w:r w:rsidR="00BB197A">
        <w:rPr>
          <w:rFonts w:cs="Arial"/>
        </w:rPr>
        <w:t xml:space="preserve">  </w:t>
      </w:r>
    </w:p>
    <w:p w:rsidR="005D371B" w:rsidRDefault="005D371B">
      <w:pPr>
        <w:rPr>
          <w:rFonts w:cs="Arial"/>
        </w:rPr>
      </w:pPr>
    </w:p>
    <w:p w:rsidR="00101C09" w:rsidRDefault="00205E52" w:rsidP="009E40CA">
      <w:pPr>
        <w:pStyle w:val="Heading1"/>
      </w:pPr>
      <w:r>
        <w:br w:type="page"/>
      </w:r>
      <w:bookmarkStart w:id="61" w:name="_Toc292036859"/>
      <w:r w:rsidR="00101C09">
        <w:lastRenderedPageBreak/>
        <w:t>APPENDICES</w:t>
      </w:r>
      <w:bookmarkEnd w:id="61"/>
    </w:p>
    <w:p w:rsidR="00B0373B" w:rsidRDefault="00101C09" w:rsidP="00120120">
      <w:pPr>
        <w:pStyle w:val="Heading2"/>
      </w:pPr>
      <w:bookmarkStart w:id="62" w:name="_Toc292036860"/>
      <w:r>
        <w:t>A.</w:t>
      </w:r>
      <w:r>
        <w:tab/>
      </w:r>
      <w:r w:rsidR="00897C95">
        <w:t>Glossary</w:t>
      </w:r>
      <w:bookmarkEnd w:id="62"/>
    </w:p>
    <w:p w:rsidR="00B0373B" w:rsidRDefault="00B0373B" w:rsidP="00766F2D"/>
    <w:tbl>
      <w:tblPr>
        <w:tblStyle w:val="TableGrid"/>
        <w:tblW w:w="0" w:type="auto"/>
        <w:jc w:val="center"/>
        <w:tblCellMar>
          <w:top w:w="28" w:type="dxa"/>
          <w:bottom w:w="28" w:type="dxa"/>
        </w:tblCellMar>
        <w:tblLook w:val="01E0"/>
      </w:tblPr>
      <w:tblGrid>
        <w:gridCol w:w="1843"/>
        <w:gridCol w:w="7087"/>
      </w:tblGrid>
      <w:tr w:rsidR="00273803" w:rsidRPr="00D12CD7" w:rsidTr="00727644">
        <w:trPr>
          <w:cantSplit/>
          <w:trHeight w:val="567"/>
          <w:jc w:val="center"/>
        </w:trPr>
        <w:tc>
          <w:tcPr>
            <w:tcW w:w="1843" w:type="dxa"/>
            <w:vAlign w:val="center"/>
          </w:tcPr>
          <w:p w:rsidR="00273803" w:rsidRDefault="00273803" w:rsidP="00727644">
            <w:pPr>
              <w:jc w:val="left"/>
              <w:rPr>
                <w:i/>
                <w:color w:val="0000FF"/>
              </w:rPr>
            </w:pPr>
            <w:r>
              <w:rPr>
                <w:i/>
                <w:color w:val="0000FF"/>
              </w:rPr>
              <w:t>Context</w:t>
            </w:r>
          </w:p>
        </w:tc>
        <w:tc>
          <w:tcPr>
            <w:tcW w:w="7087" w:type="dxa"/>
            <w:vAlign w:val="center"/>
          </w:tcPr>
          <w:p w:rsidR="00273803" w:rsidRPr="002166A5" w:rsidRDefault="00326691" w:rsidP="00727644">
            <w:pPr>
              <w:jc w:val="left"/>
            </w:pPr>
            <w:r>
              <w:t xml:space="preserve">The XBRL context applied to a data item in a business report represent the time period and the entity to which the data applies.  (Technically, dimension tags also represent contexts.) </w:t>
            </w:r>
          </w:p>
        </w:tc>
      </w:tr>
      <w:tr w:rsidR="00273803" w:rsidRPr="00D12CD7" w:rsidTr="00727644">
        <w:trPr>
          <w:cantSplit/>
          <w:trHeight w:val="567"/>
          <w:jc w:val="center"/>
        </w:trPr>
        <w:tc>
          <w:tcPr>
            <w:tcW w:w="1843" w:type="dxa"/>
            <w:vAlign w:val="center"/>
          </w:tcPr>
          <w:p w:rsidR="00273803" w:rsidRDefault="00273803" w:rsidP="00727644">
            <w:pPr>
              <w:jc w:val="left"/>
              <w:rPr>
                <w:i/>
                <w:color w:val="0000FF"/>
              </w:rPr>
            </w:pPr>
            <w:r>
              <w:rPr>
                <w:i/>
                <w:color w:val="0000FF"/>
              </w:rPr>
              <w:t>Data types</w:t>
            </w:r>
          </w:p>
        </w:tc>
        <w:tc>
          <w:tcPr>
            <w:tcW w:w="7087" w:type="dxa"/>
            <w:vAlign w:val="center"/>
          </w:tcPr>
          <w:p w:rsidR="00273803" w:rsidRDefault="00273803" w:rsidP="00727644">
            <w:pPr>
              <w:jc w:val="left"/>
            </w:pPr>
            <w:r w:rsidRPr="002166A5">
              <w:t xml:space="preserve">Taxonomy </w:t>
            </w:r>
            <w:r>
              <w:t>tags</w:t>
            </w:r>
            <w:r w:rsidRPr="002166A5">
              <w:t xml:space="preserve"> are assigned a ‘data type’ to identify their meaning and role</w:t>
            </w:r>
            <w:r>
              <w:t xml:space="preserve"> and to assist in processing XBRL data</w:t>
            </w:r>
            <w:r w:rsidRPr="002166A5">
              <w:t>.</w:t>
            </w:r>
            <w:r>
              <w:t xml:space="preserve">  See </w:t>
            </w:r>
            <w:hyperlink w:anchor="_3.3_Taxonomy_features" w:history="1">
              <w:r w:rsidRPr="00273803">
                <w:rPr>
                  <w:rStyle w:val="Hyperlink"/>
                </w:rPr>
                <w:t>section 3.3</w:t>
              </w:r>
            </w:hyperlink>
            <w:r>
              <w:t xml:space="preserve"> for more information. </w:t>
            </w:r>
          </w:p>
        </w:tc>
      </w:tr>
      <w:tr w:rsidR="005715E9" w:rsidRPr="00D12CD7" w:rsidTr="00727644">
        <w:trPr>
          <w:cantSplit/>
          <w:trHeight w:val="567"/>
          <w:jc w:val="center"/>
        </w:trPr>
        <w:tc>
          <w:tcPr>
            <w:tcW w:w="1843" w:type="dxa"/>
            <w:vAlign w:val="center"/>
          </w:tcPr>
          <w:p w:rsidR="005715E9" w:rsidRDefault="005715E9" w:rsidP="00727644">
            <w:pPr>
              <w:jc w:val="left"/>
              <w:rPr>
                <w:i/>
                <w:color w:val="0000FF"/>
              </w:rPr>
            </w:pPr>
            <w:r>
              <w:rPr>
                <w:i/>
                <w:color w:val="0000FF"/>
              </w:rPr>
              <w:t>Dimensions</w:t>
            </w:r>
            <w:r w:rsidR="00326691">
              <w:rPr>
                <w:i/>
                <w:color w:val="0000FF"/>
              </w:rPr>
              <w:t xml:space="preserve"> and dimension tags</w:t>
            </w:r>
          </w:p>
        </w:tc>
        <w:tc>
          <w:tcPr>
            <w:tcW w:w="7087" w:type="dxa"/>
            <w:vAlign w:val="center"/>
          </w:tcPr>
          <w:p w:rsidR="005715E9" w:rsidRDefault="005715E9" w:rsidP="00727644">
            <w:pPr>
              <w:jc w:val="left"/>
            </w:pPr>
            <w:r>
              <w:t xml:space="preserve">Taxonomy dimensions represent the different forms in which financial data may be reported.  </w:t>
            </w:r>
            <w:r w:rsidR="00B2683B">
              <w:t xml:space="preserve">A dimension tag </w:t>
            </w:r>
            <w:r w:rsidR="00E679DE">
              <w:t xml:space="preserve">is used to represent each individual form of reporting.  </w:t>
            </w:r>
            <w:r>
              <w:t xml:space="preserve">See </w:t>
            </w:r>
            <w:hyperlink w:anchor="_3.4_Dimensions" w:history="1">
              <w:r w:rsidRPr="005715E9">
                <w:rPr>
                  <w:rStyle w:val="Hyperlink"/>
                </w:rPr>
                <w:t>section 3.4</w:t>
              </w:r>
            </w:hyperlink>
            <w:r>
              <w:t xml:space="preserve"> for a fuller explanation.</w:t>
            </w:r>
          </w:p>
        </w:tc>
      </w:tr>
      <w:tr w:rsidR="00394F95" w:rsidRPr="00D12CD7" w:rsidTr="00727644">
        <w:trPr>
          <w:cantSplit/>
          <w:trHeight w:val="567"/>
          <w:jc w:val="center"/>
        </w:trPr>
        <w:tc>
          <w:tcPr>
            <w:tcW w:w="1843" w:type="dxa"/>
            <w:vAlign w:val="center"/>
          </w:tcPr>
          <w:p w:rsidR="00394F95" w:rsidRDefault="00394F95" w:rsidP="00727644">
            <w:pPr>
              <w:jc w:val="left"/>
              <w:rPr>
                <w:i/>
                <w:color w:val="0000FF"/>
              </w:rPr>
            </w:pPr>
            <w:r>
              <w:rPr>
                <w:i/>
                <w:color w:val="0000FF"/>
              </w:rPr>
              <w:t>Extension taxonomy</w:t>
            </w:r>
          </w:p>
        </w:tc>
        <w:tc>
          <w:tcPr>
            <w:tcW w:w="7087" w:type="dxa"/>
            <w:vAlign w:val="center"/>
          </w:tcPr>
          <w:p w:rsidR="00394F95" w:rsidRPr="0090258B" w:rsidRDefault="00394F95" w:rsidP="00727644">
            <w:pPr>
              <w:jc w:val="left"/>
            </w:pPr>
            <w:r>
              <w:t xml:space="preserve">An extension taxonomy modifies another taxonomy by adding tags, providing alternative presentation views or other changes.  Extensions must not modify the definition of tags in the base taxonomy.  Section 6.9 sets out rules on company-specific extensions in the </w:t>
            </w:r>
            <w:smartTag w:uri="urn:schemas-microsoft-com:office:smarttags" w:element="place">
              <w:smartTag w:uri="urn:schemas-microsoft-com:office:smarttags" w:element="country-region">
                <w:r>
                  <w:t>UK</w:t>
                </w:r>
              </w:smartTag>
            </w:smartTag>
            <w:r>
              <w:t xml:space="preserve">.  </w:t>
            </w:r>
          </w:p>
        </w:tc>
      </w:tr>
      <w:tr w:rsidR="00861096" w:rsidRPr="00D12CD7" w:rsidTr="00861096">
        <w:trPr>
          <w:cantSplit/>
          <w:trHeight w:val="567"/>
          <w:jc w:val="center"/>
        </w:trPr>
        <w:tc>
          <w:tcPr>
            <w:tcW w:w="1843" w:type="dxa"/>
            <w:vAlign w:val="center"/>
          </w:tcPr>
          <w:p w:rsidR="00861096" w:rsidRPr="00DD0482" w:rsidRDefault="00861096" w:rsidP="005B13B7">
            <w:pPr>
              <w:jc w:val="left"/>
              <w:rPr>
                <w:i/>
                <w:color w:val="0000FF"/>
              </w:rPr>
            </w:pPr>
            <w:r>
              <w:rPr>
                <w:i/>
                <w:color w:val="0000FF"/>
              </w:rPr>
              <w:t>FRSSE</w:t>
            </w:r>
          </w:p>
        </w:tc>
        <w:tc>
          <w:tcPr>
            <w:tcW w:w="7087" w:type="dxa"/>
            <w:vAlign w:val="center"/>
          </w:tcPr>
          <w:p w:rsidR="00861096" w:rsidRDefault="00861096" w:rsidP="005B13B7">
            <w:pPr>
              <w:jc w:val="left"/>
            </w:pPr>
            <w:r>
              <w:t>A subset of UK GAAP regulations covering smaller entities.</w:t>
            </w:r>
            <w:r w:rsidR="001F7383">
              <w:t xml:space="preserve">  </w:t>
            </w:r>
          </w:p>
        </w:tc>
      </w:tr>
      <w:tr w:rsidR="00861096" w:rsidRPr="00D12CD7" w:rsidTr="00861096">
        <w:trPr>
          <w:cantSplit/>
          <w:trHeight w:val="567"/>
          <w:jc w:val="center"/>
        </w:trPr>
        <w:tc>
          <w:tcPr>
            <w:tcW w:w="1843" w:type="dxa"/>
            <w:vAlign w:val="center"/>
          </w:tcPr>
          <w:p w:rsidR="00861096" w:rsidRPr="00DD0482" w:rsidRDefault="00861096" w:rsidP="005B13B7">
            <w:pPr>
              <w:jc w:val="left"/>
              <w:rPr>
                <w:i/>
                <w:color w:val="0000FF"/>
              </w:rPr>
            </w:pPr>
            <w:r>
              <w:rPr>
                <w:i/>
                <w:color w:val="0000FF"/>
              </w:rPr>
              <w:t>IFRS</w:t>
            </w:r>
          </w:p>
        </w:tc>
        <w:tc>
          <w:tcPr>
            <w:tcW w:w="7087" w:type="dxa"/>
            <w:vAlign w:val="center"/>
          </w:tcPr>
          <w:p w:rsidR="00861096" w:rsidRPr="00CF3DCF" w:rsidRDefault="00861096" w:rsidP="005B13B7">
            <w:pPr>
              <w:jc w:val="left"/>
            </w:pPr>
            <w:r>
              <w:t xml:space="preserve">The international accounting regulations published by the International Accounting Standards Board (IASB) under which </w:t>
            </w:r>
            <w:smartTag w:uri="urn:schemas-microsoft-com:office:smarttags" w:element="place">
              <w:smartTag w:uri="urn:schemas-microsoft-com:office:smarttags" w:element="country-region">
                <w:r>
                  <w:t>UK</w:t>
                </w:r>
              </w:smartTag>
            </w:smartTag>
            <w:r>
              <w:t xml:space="preserve"> publicly quoted companies report</w:t>
            </w:r>
            <w:r w:rsidR="001F7383">
              <w:t xml:space="preserve">.  </w:t>
            </w:r>
          </w:p>
        </w:tc>
      </w:tr>
      <w:tr w:rsidR="006422BC" w:rsidRPr="00D12CD7" w:rsidTr="00861096">
        <w:trPr>
          <w:cantSplit/>
          <w:trHeight w:val="567"/>
          <w:jc w:val="center"/>
        </w:trPr>
        <w:tc>
          <w:tcPr>
            <w:tcW w:w="1843" w:type="dxa"/>
            <w:vAlign w:val="center"/>
          </w:tcPr>
          <w:p w:rsidR="006422BC" w:rsidRDefault="006422BC" w:rsidP="005B13B7">
            <w:pPr>
              <w:jc w:val="left"/>
              <w:rPr>
                <w:i/>
                <w:color w:val="0000FF"/>
              </w:rPr>
            </w:pPr>
            <w:r>
              <w:rPr>
                <w:i/>
                <w:color w:val="0000FF"/>
              </w:rPr>
              <w:t>Inline XBRL</w:t>
            </w:r>
          </w:p>
        </w:tc>
        <w:tc>
          <w:tcPr>
            <w:tcW w:w="7087" w:type="dxa"/>
            <w:vAlign w:val="center"/>
          </w:tcPr>
          <w:p w:rsidR="006422BC" w:rsidRDefault="00234B6F" w:rsidP="005B13B7">
            <w:pPr>
              <w:jc w:val="left"/>
            </w:pPr>
            <w:r>
              <w:t xml:space="preserve">All reports in the </w:t>
            </w:r>
            <w:smartTag w:uri="urn:schemas-microsoft-com:office:smarttags" w:element="place">
              <w:smartTag w:uri="urn:schemas-microsoft-com:office:smarttags" w:element="country-region">
                <w:r>
                  <w:t>UK</w:t>
                </w:r>
              </w:smartTag>
            </w:smartTag>
            <w:r>
              <w:t xml:space="preserve"> must be filed in Inline XBRL format.  This provides a human-readable version of the report based on XHTML, with XBRL tags normally hidden from view in the underlying file.</w:t>
            </w:r>
          </w:p>
        </w:tc>
      </w:tr>
      <w:tr w:rsidR="00273803" w:rsidRPr="00D12CD7" w:rsidTr="00861096">
        <w:trPr>
          <w:cantSplit/>
          <w:trHeight w:val="567"/>
          <w:jc w:val="center"/>
        </w:trPr>
        <w:tc>
          <w:tcPr>
            <w:tcW w:w="1843" w:type="dxa"/>
            <w:vAlign w:val="center"/>
          </w:tcPr>
          <w:p w:rsidR="00273803" w:rsidRDefault="00273803" w:rsidP="005B13B7">
            <w:pPr>
              <w:jc w:val="left"/>
              <w:rPr>
                <w:i/>
                <w:color w:val="0000FF"/>
              </w:rPr>
            </w:pPr>
            <w:r>
              <w:rPr>
                <w:i/>
                <w:color w:val="0000FF"/>
              </w:rPr>
              <w:t>Labels</w:t>
            </w:r>
          </w:p>
        </w:tc>
        <w:tc>
          <w:tcPr>
            <w:tcW w:w="7087" w:type="dxa"/>
            <w:vAlign w:val="center"/>
          </w:tcPr>
          <w:p w:rsidR="00273803" w:rsidRDefault="00273803" w:rsidP="005B13B7">
            <w:pPr>
              <w:jc w:val="left"/>
            </w:pPr>
            <w:r>
              <w:t xml:space="preserve">Labels are the </w:t>
            </w:r>
            <w:r w:rsidRPr="00382AE5">
              <w:t xml:space="preserve">human-readable </w:t>
            </w:r>
            <w:r>
              <w:t xml:space="preserve">description on XBRL tags, which </w:t>
            </w:r>
            <w:r w:rsidRPr="00382AE5">
              <w:t>provide their main definition</w:t>
            </w:r>
            <w:r>
              <w:t>.  As far as possible, they</w:t>
            </w:r>
            <w:r w:rsidRPr="00382AE5">
              <w:t xml:space="preserve"> uniquely identify the </w:t>
            </w:r>
            <w:r>
              <w:t>tag</w:t>
            </w:r>
            <w:r w:rsidRPr="00382AE5">
              <w:t xml:space="preserve"> concerned.</w:t>
            </w:r>
            <w:r>
              <w:t xml:space="preserve">  See </w:t>
            </w:r>
            <w:hyperlink w:anchor="_3.3_Taxonomy_features" w:history="1">
              <w:r w:rsidRPr="00273803">
                <w:rPr>
                  <w:rStyle w:val="Hyperlink"/>
                </w:rPr>
                <w:t>section 3.3</w:t>
              </w:r>
            </w:hyperlink>
            <w:r>
              <w:t xml:space="preserve"> for more information.</w:t>
            </w:r>
          </w:p>
        </w:tc>
      </w:tr>
      <w:tr w:rsidR="00861096" w:rsidRPr="00D12CD7" w:rsidTr="00861096">
        <w:trPr>
          <w:cantSplit/>
          <w:trHeight w:val="567"/>
          <w:jc w:val="center"/>
        </w:trPr>
        <w:tc>
          <w:tcPr>
            <w:tcW w:w="1843" w:type="dxa"/>
            <w:vAlign w:val="center"/>
          </w:tcPr>
          <w:p w:rsidR="00861096" w:rsidRDefault="001F7383" w:rsidP="005B13B7">
            <w:pPr>
              <w:jc w:val="left"/>
              <w:rPr>
                <w:i/>
                <w:color w:val="0000FF"/>
              </w:rPr>
            </w:pPr>
            <w:r>
              <w:rPr>
                <w:i/>
                <w:color w:val="0000FF"/>
              </w:rPr>
              <w:t>Manual tagging</w:t>
            </w:r>
          </w:p>
        </w:tc>
        <w:tc>
          <w:tcPr>
            <w:tcW w:w="7087" w:type="dxa"/>
            <w:vAlign w:val="center"/>
          </w:tcPr>
          <w:p w:rsidR="00861096" w:rsidRPr="001F7383" w:rsidRDefault="001F7383" w:rsidP="005B13B7">
            <w:pPr>
              <w:jc w:val="left"/>
            </w:pPr>
            <w:r>
              <w:t>T</w:t>
            </w:r>
            <w:r w:rsidRPr="001F7383">
              <w:t>he process of</w:t>
            </w:r>
            <w:r>
              <w:t xml:space="preserve"> manually</w:t>
            </w:r>
            <w:r w:rsidRPr="001F7383">
              <w:t xml:space="preserve"> applying XBRL tags to items in financial statements</w:t>
            </w:r>
            <w:r>
              <w:t xml:space="preserve"> with the aid of software.  </w:t>
            </w:r>
            <w:r w:rsidRPr="001F7383">
              <w:t>Th</w:t>
            </w:r>
            <w:r>
              <w:t>is involves the</w:t>
            </w:r>
            <w:r w:rsidRPr="001F7383">
              <w:t xml:space="preserve"> mapping </w:t>
            </w:r>
            <w:r>
              <w:t>of tags in a</w:t>
            </w:r>
            <w:r w:rsidRPr="001F7383">
              <w:t xml:space="preserve"> XBRL taxonomy to items contained in the financial statements.</w:t>
            </w:r>
            <w:r>
              <w:t xml:space="preserve">  </w:t>
            </w:r>
          </w:p>
        </w:tc>
      </w:tr>
      <w:tr w:rsidR="006422BC" w:rsidRPr="00D12CD7" w:rsidTr="00861096">
        <w:trPr>
          <w:cantSplit/>
          <w:trHeight w:val="567"/>
          <w:jc w:val="center"/>
        </w:trPr>
        <w:tc>
          <w:tcPr>
            <w:tcW w:w="1843" w:type="dxa"/>
            <w:vAlign w:val="center"/>
          </w:tcPr>
          <w:p w:rsidR="006422BC" w:rsidRDefault="006422BC" w:rsidP="005B13B7">
            <w:pPr>
              <w:jc w:val="left"/>
              <w:rPr>
                <w:i/>
                <w:color w:val="0000FF"/>
              </w:rPr>
            </w:pPr>
            <w:r>
              <w:rPr>
                <w:i/>
                <w:color w:val="0000FF"/>
              </w:rPr>
              <w:t>Minimum tagging</w:t>
            </w:r>
          </w:p>
        </w:tc>
        <w:tc>
          <w:tcPr>
            <w:tcW w:w="7087" w:type="dxa"/>
            <w:vAlign w:val="center"/>
          </w:tcPr>
          <w:p w:rsidR="006422BC" w:rsidRDefault="007953DF" w:rsidP="005B13B7">
            <w:pPr>
              <w:jc w:val="left"/>
            </w:pPr>
            <w:r>
              <w:t>For the first two years of XBRL mandated use up</w:t>
            </w:r>
            <w:r w:rsidR="006E2BCD">
              <w:t xml:space="preserve"> </w:t>
            </w:r>
            <w:r>
              <w:t xml:space="preserve">to 31 March 2013, HMRC has set a </w:t>
            </w:r>
            <w:r w:rsidRPr="007953DF">
              <w:t>reduced tagging requirement</w:t>
            </w:r>
            <w:r>
              <w:t xml:space="preserve"> to help users adapt to XBRL.  Its minimum tagging set is described in </w:t>
            </w:r>
            <w:hyperlink w:anchor="_3.7_Tagging_requirements" w:history="1">
              <w:r w:rsidRPr="007953DF">
                <w:rPr>
                  <w:rStyle w:val="Hyperlink"/>
                </w:rPr>
                <w:t>section</w:t>
              </w:r>
              <w:r w:rsidRPr="007953DF">
                <w:rPr>
                  <w:rStyle w:val="Hyperlink"/>
                </w:rPr>
                <w:t>s</w:t>
              </w:r>
              <w:r w:rsidRPr="007953DF">
                <w:rPr>
                  <w:rStyle w:val="Hyperlink"/>
                </w:rPr>
                <w:t xml:space="preserve"> 3.7</w:t>
              </w:r>
            </w:hyperlink>
            <w:r>
              <w:t xml:space="preserve"> and </w:t>
            </w:r>
            <w:hyperlink w:anchor="_6.5_Minimum_tagging" w:history="1">
              <w:r w:rsidRPr="007953DF">
                <w:rPr>
                  <w:rStyle w:val="Hyperlink"/>
                </w:rPr>
                <w:t>6</w:t>
              </w:r>
              <w:r w:rsidRPr="007953DF">
                <w:rPr>
                  <w:rStyle w:val="Hyperlink"/>
                </w:rPr>
                <w:t>.</w:t>
              </w:r>
              <w:r w:rsidRPr="007953DF">
                <w:rPr>
                  <w:rStyle w:val="Hyperlink"/>
                </w:rPr>
                <w:t>5</w:t>
              </w:r>
            </w:hyperlink>
          </w:p>
        </w:tc>
      </w:tr>
      <w:tr w:rsidR="00AD31D8" w:rsidRPr="00D12CD7" w:rsidTr="00861096">
        <w:trPr>
          <w:cantSplit/>
          <w:trHeight w:val="567"/>
          <w:jc w:val="center"/>
        </w:trPr>
        <w:tc>
          <w:tcPr>
            <w:tcW w:w="1843" w:type="dxa"/>
            <w:vAlign w:val="center"/>
          </w:tcPr>
          <w:p w:rsidR="00AD31D8" w:rsidRDefault="00441EF2" w:rsidP="005B13B7">
            <w:pPr>
              <w:jc w:val="left"/>
              <w:rPr>
                <w:i/>
                <w:color w:val="0000FF"/>
              </w:rPr>
            </w:pPr>
            <w:r>
              <w:rPr>
                <w:i/>
                <w:color w:val="0000FF"/>
              </w:rPr>
              <w:t>Period type and context</w:t>
            </w:r>
          </w:p>
        </w:tc>
        <w:tc>
          <w:tcPr>
            <w:tcW w:w="7087" w:type="dxa"/>
            <w:vAlign w:val="center"/>
          </w:tcPr>
          <w:p w:rsidR="00AD31D8" w:rsidRDefault="00441EF2" w:rsidP="005B13B7">
            <w:pPr>
              <w:jc w:val="left"/>
            </w:pPr>
            <w:r>
              <w:t xml:space="preserve">All tags have a period type which identifies whether they are measured at an ‘instant’ (i.e. a stock) or over a ‘duration’ (a flow).  The period context represents the precise dates over which they are measured. </w:t>
            </w:r>
          </w:p>
        </w:tc>
      </w:tr>
      <w:tr w:rsidR="00273803" w:rsidRPr="00D12CD7" w:rsidTr="00861096">
        <w:trPr>
          <w:cantSplit/>
          <w:trHeight w:val="567"/>
          <w:jc w:val="center"/>
        </w:trPr>
        <w:tc>
          <w:tcPr>
            <w:tcW w:w="1843" w:type="dxa"/>
            <w:vAlign w:val="center"/>
          </w:tcPr>
          <w:p w:rsidR="00273803" w:rsidRDefault="002A750C" w:rsidP="005B13B7">
            <w:pPr>
              <w:jc w:val="left"/>
              <w:rPr>
                <w:i/>
                <w:color w:val="0000FF"/>
              </w:rPr>
            </w:pPr>
            <w:r>
              <w:rPr>
                <w:i/>
                <w:color w:val="0000FF"/>
              </w:rPr>
              <w:t>Tag</w:t>
            </w:r>
          </w:p>
        </w:tc>
        <w:tc>
          <w:tcPr>
            <w:tcW w:w="7087" w:type="dxa"/>
            <w:vAlign w:val="center"/>
          </w:tcPr>
          <w:p w:rsidR="00273803" w:rsidRPr="00E97C65" w:rsidRDefault="002A750C" w:rsidP="005B13B7">
            <w:pPr>
              <w:jc w:val="left"/>
            </w:pPr>
            <w:r>
              <w:t xml:space="preserve">An XBRL tag is the computer-readable identifier attached to an item of business data.  </w:t>
            </w:r>
          </w:p>
        </w:tc>
      </w:tr>
      <w:tr w:rsidR="00861096" w:rsidRPr="00D12CD7" w:rsidTr="00861096">
        <w:trPr>
          <w:cantSplit/>
          <w:trHeight w:val="567"/>
          <w:jc w:val="center"/>
        </w:trPr>
        <w:tc>
          <w:tcPr>
            <w:tcW w:w="1843" w:type="dxa"/>
            <w:vAlign w:val="center"/>
          </w:tcPr>
          <w:p w:rsidR="00861096" w:rsidRDefault="00D24269" w:rsidP="005B13B7">
            <w:pPr>
              <w:jc w:val="left"/>
              <w:rPr>
                <w:i/>
                <w:color w:val="0000FF"/>
              </w:rPr>
            </w:pPr>
            <w:r>
              <w:rPr>
                <w:i/>
                <w:color w:val="0000FF"/>
              </w:rPr>
              <w:t>Taxonomy</w:t>
            </w:r>
          </w:p>
        </w:tc>
        <w:tc>
          <w:tcPr>
            <w:tcW w:w="7087" w:type="dxa"/>
            <w:vAlign w:val="center"/>
          </w:tcPr>
          <w:p w:rsidR="00861096" w:rsidRPr="00E97C65" w:rsidRDefault="00E97C65" w:rsidP="005B13B7">
            <w:pPr>
              <w:jc w:val="left"/>
            </w:pPr>
            <w:r w:rsidRPr="00E97C65">
              <w:t>Taxonomies are the dictionaries of the XBRL language, containing the computer-readable tags used to identify specific financial and business data items.</w:t>
            </w:r>
          </w:p>
        </w:tc>
      </w:tr>
      <w:tr w:rsidR="00573315" w:rsidRPr="00D12CD7" w:rsidTr="00727644">
        <w:trPr>
          <w:cantSplit/>
          <w:trHeight w:val="567"/>
          <w:jc w:val="center"/>
        </w:trPr>
        <w:tc>
          <w:tcPr>
            <w:tcW w:w="1843" w:type="dxa"/>
            <w:vAlign w:val="center"/>
          </w:tcPr>
          <w:p w:rsidR="00573315" w:rsidRDefault="00573315" w:rsidP="00727644">
            <w:pPr>
              <w:jc w:val="left"/>
              <w:rPr>
                <w:i/>
                <w:color w:val="0000FF"/>
              </w:rPr>
            </w:pPr>
            <w:r>
              <w:rPr>
                <w:i/>
                <w:color w:val="0000FF"/>
              </w:rPr>
              <w:t>Tuples</w:t>
            </w:r>
          </w:p>
        </w:tc>
        <w:tc>
          <w:tcPr>
            <w:tcW w:w="7087" w:type="dxa"/>
            <w:vAlign w:val="center"/>
          </w:tcPr>
          <w:p w:rsidR="00573315" w:rsidRDefault="00626CAB" w:rsidP="00727644">
            <w:pPr>
              <w:jc w:val="left"/>
            </w:pPr>
            <w:r>
              <w:t xml:space="preserve">Tuples are used to group tags in a taxonomy which (a) may be used repetitively in an XBRL report and (b) can only be properly understood when used in conjunction with one another.  See </w:t>
            </w:r>
            <w:hyperlink w:anchor="_3.5_Tuples" w:history="1">
              <w:r w:rsidRPr="00626CAB">
                <w:rPr>
                  <w:rStyle w:val="Hyperlink"/>
                </w:rPr>
                <w:t>section 3.5</w:t>
              </w:r>
            </w:hyperlink>
            <w:r>
              <w:t xml:space="preserve"> for a fuller explanation. </w:t>
            </w:r>
          </w:p>
        </w:tc>
      </w:tr>
      <w:tr w:rsidR="00394F95" w:rsidRPr="00D12CD7" w:rsidTr="00727644">
        <w:trPr>
          <w:cantSplit/>
          <w:trHeight w:val="567"/>
          <w:jc w:val="center"/>
        </w:trPr>
        <w:tc>
          <w:tcPr>
            <w:tcW w:w="1843" w:type="dxa"/>
            <w:vAlign w:val="center"/>
          </w:tcPr>
          <w:p w:rsidR="00394F95" w:rsidRPr="00DD0482" w:rsidRDefault="00394F95" w:rsidP="00727644">
            <w:pPr>
              <w:jc w:val="left"/>
              <w:rPr>
                <w:i/>
                <w:color w:val="0000FF"/>
              </w:rPr>
            </w:pPr>
            <w:smartTag w:uri="urn:schemas-microsoft-com:office:smarttags" w:element="place">
              <w:smartTag w:uri="urn:schemas-microsoft-com:office:smarttags" w:element="country-region">
                <w:r>
                  <w:rPr>
                    <w:i/>
                    <w:color w:val="0000FF"/>
                  </w:rPr>
                  <w:t>UK</w:t>
                </w:r>
              </w:smartTag>
            </w:smartTag>
            <w:r>
              <w:rPr>
                <w:i/>
                <w:color w:val="0000FF"/>
              </w:rPr>
              <w:t xml:space="preserve"> GAAP</w:t>
            </w:r>
          </w:p>
        </w:tc>
        <w:tc>
          <w:tcPr>
            <w:tcW w:w="7087" w:type="dxa"/>
            <w:vAlign w:val="center"/>
          </w:tcPr>
          <w:p w:rsidR="00394F95" w:rsidRPr="003A5E64" w:rsidRDefault="00394F95" w:rsidP="00727644">
            <w:pPr>
              <w:jc w:val="left"/>
            </w:pPr>
            <w:smartTag w:uri="urn:schemas-microsoft-com:office:smarttags" w:element="place">
              <w:smartTag w:uri="urn:schemas-microsoft-com:office:smarttags" w:element="country-region">
                <w:r>
                  <w:t>UK</w:t>
                </w:r>
              </w:smartTag>
            </w:smartTag>
            <w:r>
              <w:t xml:space="preserve"> Generally Accepted Accounting Practice.  This covers the regulations under which unlisted </w:t>
            </w:r>
            <w:smartTag w:uri="urn:schemas-microsoft-com:office:smarttags" w:element="place">
              <w:smartTag w:uri="urn:schemas-microsoft-com:office:smarttags" w:element="country-region">
                <w:r>
                  <w:t>UK</w:t>
                </w:r>
              </w:smartTag>
            </w:smartTag>
            <w:r>
              <w:t xml:space="preserve"> companies generally report.  </w:t>
            </w:r>
          </w:p>
        </w:tc>
      </w:tr>
    </w:tbl>
    <w:p w:rsidR="006243AD" w:rsidRDefault="006243AD" w:rsidP="00766F2D"/>
    <w:p w:rsidR="009E40CA" w:rsidRDefault="00F801FC" w:rsidP="00120120">
      <w:pPr>
        <w:pStyle w:val="Heading2"/>
      </w:pPr>
      <w:bookmarkStart w:id="63" w:name="_References"/>
      <w:bookmarkStart w:id="64" w:name="_B._References"/>
      <w:bookmarkEnd w:id="63"/>
      <w:bookmarkEnd w:id="64"/>
      <w:r>
        <w:br w:type="page"/>
      </w:r>
      <w:bookmarkStart w:id="65" w:name="_Toc292036861"/>
      <w:r w:rsidR="00120120">
        <w:lastRenderedPageBreak/>
        <w:t>B</w:t>
      </w:r>
      <w:r w:rsidR="00101C09">
        <w:t>.</w:t>
      </w:r>
      <w:r w:rsidR="00101C09">
        <w:tab/>
      </w:r>
      <w:r w:rsidR="009E40CA">
        <w:t>References</w:t>
      </w:r>
      <w:bookmarkEnd w:id="65"/>
    </w:p>
    <w:p w:rsidR="009E40CA" w:rsidRDefault="009E40CA" w:rsidP="00766F2D"/>
    <w:tbl>
      <w:tblPr>
        <w:tblStyle w:val="TableGrid"/>
        <w:tblW w:w="0" w:type="auto"/>
        <w:jc w:val="center"/>
        <w:tblCellMar>
          <w:top w:w="28" w:type="dxa"/>
          <w:bottom w:w="28" w:type="dxa"/>
        </w:tblCellMar>
        <w:tblLook w:val="01E0"/>
      </w:tblPr>
      <w:tblGrid>
        <w:gridCol w:w="2906"/>
        <w:gridCol w:w="6024"/>
      </w:tblGrid>
      <w:tr w:rsidR="007414D7" w:rsidRPr="00D12CD7" w:rsidTr="00FE748C">
        <w:trPr>
          <w:cantSplit/>
          <w:trHeight w:val="567"/>
          <w:jc w:val="center"/>
        </w:trPr>
        <w:tc>
          <w:tcPr>
            <w:tcW w:w="2906" w:type="dxa"/>
            <w:vAlign w:val="center"/>
          </w:tcPr>
          <w:p w:rsidR="007414D7" w:rsidRDefault="007414D7" w:rsidP="005B13B7">
            <w:pPr>
              <w:jc w:val="left"/>
              <w:rPr>
                <w:i/>
                <w:color w:val="0000FF"/>
              </w:rPr>
            </w:pPr>
            <w:bookmarkStart w:id="66" w:name="PDGuide"/>
            <w:r>
              <w:rPr>
                <w:i/>
                <w:color w:val="0000FF"/>
              </w:rPr>
              <w:t xml:space="preserve">XBRL </w:t>
            </w:r>
            <w:smartTag w:uri="urn:schemas-microsoft-com:office:smarttags" w:element="place">
              <w:smartTag w:uri="urn:schemas-microsoft-com:office:smarttags" w:element="country-region">
                <w:r>
                  <w:rPr>
                    <w:i/>
                    <w:color w:val="0000FF"/>
                  </w:rPr>
                  <w:t>UK</w:t>
                </w:r>
              </w:smartTag>
            </w:smartTag>
            <w:r>
              <w:rPr>
                <w:i/>
                <w:color w:val="0000FF"/>
              </w:rPr>
              <w:t xml:space="preserve"> Preparers and Developers Guide</w:t>
            </w:r>
            <w:bookmarkEnd w:id="66"/>
          </w:p>
        </w:tc>
        <w:tc>
          <w:tcPr>
            <w:tcW w:w="6024" w:type="dxa"/>
            <w:vAlign w:val="center"/>
          </w:tcPr>
          <w:p w:rsidR="007414D7" w:rsidRPr="00BC1847" w:rsidRDefault="00D448EE" w:rsidP="005B13B7">
            <w:pPr>
              <w:jc w:val="left"/>
            </w:pPr>
            <w:r>
              <w:t xml:space="preserve">Link available via </w:t>
            </w:r>
            <w:hyperlink r:id="rId15" w:history="1">
              <w:r w:rsidRPr="00FE2E6E">
                <w:rPr>
                  <w:rStyle w:val="Hyperlink"/>
                </w:rPr>
                <w:t>http://www.xbrl.org/uk/TechGuidance/</w:t>
              </w:r>
            </w:hyperlink>
            <w:r w:rsidR="00B8689E">
              <w:t xml:space="preserve"> </w:t>
            </w:r>
          </w:p>
        </w:tc>
      </w:tr>
      <w:tr w:rsidR="00CB1AE0" w:rsidRPr="00D12CD7" w:rsidTr="00FE748C">
        <w:trPr>
          <w:cantSplit/>
          <w:trHeight w:val="567"/>
          <w:jc w:val="center"/>
        </w:trPr>
        <w:tc>
          <w:tcPr>
            <w:tcW w:w="2906" w:type="dxa"/>
            <w:vAlign w:val="center"/>
          </w:tcPr>
          <w:p w:rsidR="00CB1AE0" w:rsidRDefault="00CB1AE0" w:rsidP="005B13B7">
            <w:pPr>
              <w:jc w:val="left"/>
              <w:rPr>
                <w:i/>
                <w:color w:val="0000FF"/>
              </w:rPr>
            </w:pPr>
            <w:bookmarkStart w:id="67" w:name="TagExamples"/>
            <w:r>
              <w:rPr>
                <w:i/>
                <w:color w:val="0000FF"/>
              </w:rPr>
              <w:t>Tagging examples</w:t>
            </w:r>
            <w:bookmarkEnd w:id="67"/>
          </w:p>
        </w:tc>
        <w:tc>
          <w:tcPr>
            <w:tcW w:w="6024" w:type="dxa"/>
            <w:vAlign w:val="center"/>
          </w:tcPr>
          <w:p w:rsidR="00CB1AE0" w:rsidRPr="00B8689E" w:rsidRDefault="00CB1AE0" w:rsidP="005B13B7">
            <w:pPr>
              <w:jc w:val="left"/>
            </w:pPr>
            <w:r>
              <w:t xml:space="preserve">Available at </w:t>
            </w:r>
            <w:hyperlink r:id="rId16" w:history="1">
              <w:r w:rsidR="00B8689E" w:rsidRPr="00B817AD">
                <w:rPr>
                  <w:rStyle w:val="Hyperlink"/>
                </w:rPr>
                <w:t>http://www.xbrl.org/uk/TechSamples/</w:t>
              </w:r>
            </w:hyperlink>
            <w:r w:rsidR="00B8689E">
              <w:t xml:space="preserve"> </w:t>
            </w:r>
          </w:p>
        </w:tc>
      </w:tr>
      <w:tr w:rsidR="0090258B" w:rsidRPr="00D12CD7" w:rsidTr="00FE748C">
        <w:trPr>
          <w:cantSplit/>
          <w:trHeight w:val="567"/>
          <w:jc w:val="center"/>
        </w:trPr>
        <w:tc>
          <w:tcPr>
            <w:tcW w:w="2906" w:type="dxa"/>
            <w:vAlign w:val="center"/>
          </w:tcPr>
          <w:p w:rsidR="0090258B" w:rsidRDefault="0090258B" w:rsidP="005B13B7">
            <w:pPr>
              <w:jc w:val="left"/>
              <w:rPr>
                <w:i/>
                <w:color w:val="0000FF"/>
              </w:rPr>
            </w:pPr>
            <w:bookmarkStart w:id="68" w:name="InlineGuide"/>
            <w:r>
              <w:rPr>
                <w:i/>
                <w:color w:val="0000FF"/>
              </w:rPr>
              <w:t>HMRC Inline XBRL Style Guide</w:t>
            </w:r>
            <w:bookmarkEnd w:id="68"/>
          </w:p>
        </w:tc>
        <w:tc>
          <w:tcPr>
            <w:tcW w:w="6024" w:type="dxa"/>
            <w:vAlign w:val="center"/>
          </w:tcPr>
          <w:p w:rsidR="0090258B" w:rsidRPr="00BC1847" w:rsidRDefault="0090258B" w:rsidP="005B13B7">
            <w:pPr>
              <w:jc w:val="left"/>
            </w:pPr>
            <w:r>
              <w:t xml:space="preserve">Available at  </w:t>
            </w:r>
            <w:hyperlink r:id="rId17" w:history="1">
              <w:r w:rsidR="007414D7" w:rsidRPr="003D1E51">
                <w:rPr>
                  <w:rStyle w:val="Hyperlink"/>
                </w:rPr>
                <w:t>http://www.hmrc.gov.uk/ebu/ct_tec</w:t>
              </w:r>
              <w:r w:rsidR="007414D7" w:rsidRPr="003D1E51">
                <w:rPr>
                  <w:rStyle w:val="Hyperlink"/>
                </w:rPr>
                <w:t>h</w:t>
              </w:r>
              <w:r w:rsidR="007414D7" w:rsidRPr="003D1E51">
                <w:rPr>
                  <w:rStyle w:val="Hyperlink"/>
                </w:rPr>
                <w:t>pack/xbrl-style-guide.pdf</w:t>
              </w:r>
            </w:hyperlink>
            <w:r w:rsidR="00FE748C">
              <w:t xml:space="preserve"> </w:t>
            </w:r>
          </w:p>
        </w:tc>
      </w:tr>
      <w:tr w:rsidR="0090258B" w:rsidRPr="00D12CD7" w:rsidTr="00FE748C">
        <w:trPr>
          <w:cantSplit/>
          <w:trHeight w:val="567"/>
          <w:jc w:val="center"/>
        </w:trPr>
        <w:tc>
          <w:tcPr>
            <w:tcW w:w="2906" w:type="dxa"/>
            <w:vAlign w:val="center"/>
          </w:tcPr>
          <w:p w:rsidR="0090258B" w:rsidRDefault="0090258B" w:rsidP="004613E1">
            <w:pPr>
              <w:jc w:val="left"/>
              <w:rPr>
                <w:i/>
                <w:color w:val="0000FF"/>
              </w:rPr>
            </w:pPr>
            <w:bookmarkStart w:id="69" w:name="BusinessGuide"/>
            <w:r>
              <w:rPr>
                <w:i/>
                <w:color w:val="0000FF"/>
              </w:rPr>
              <w:t>XBRL Guide for Business</w:t>
            </w:r>
            <w:r w:rsidR="00D448EE">
              <w:rPr>
                <w:i/>
                <w:color w:val="0000FF"/>
              </w:rPr>
              <w:t>es</w:t>
            </w:r>
            <w:bookmarkEnd w:id="69"/>
          </w:p>
        </w:tc>
        <w:tc>
          <w:tcPr>
            <w:tcW w:w="6024" w:type="dxa"/>
            <w:vAlign w:val="center"/>
          </w:tcPr>
          <w:p w:rsidR="0090258B" w:rsidRPr="0090258B" w:rsidRDefault="0090258B" w:rsidP="004613E1">
            <w:pPr>
              <w:jc w:val="left"/>
            </w:pPr>
            <w:r>
              <w:t xml:space="preserve">Link available via </w:t>
            </w:r>
            <w:hyperlink r:id="rId18" w:history="1">
              <w:r w:rsidRPr="00FE2E6E">
                <w:rPr>
                  <w:rStyle w:val="Hyperlink"/>
                </w:rPr>
                <w:t>http://www.xbrl.org/uk/TechGuidance/</w:t>
              </w:r>
            </w:hyperlink>
            <w:r>
              <w:t xml:space="preserve"> </w:t>
            </w:r>
          </w:p>
        </w:tc>
      </w:tr>
      <w:tr w:rsidR="00FE748C" w:rsidRPr="00D12CD7" w:rsidTr="00FE748C">
        <w:trPr>
          <w:cantSplit/>
          <w:trHeight w:val="567"/>
          <w:jc w:val="center"/>
        </w:trPr>
        <w:tc>
          <w:tcPr>
            <w:tcW w:w="2906" w:type="dxa"/>
            <w:vAlign w:val="center"/>
          </w:tcPr>
          <w:p w:rsidR="00FE748C" w:rsidRPr="00FE748C" w:rsidRDefault="00FE748C" w:rsidP="004613E1">
            <w:pPr>
              <w:jc w:val="left"/>
              <w:rPr>
                <w:i/>
                <w:color w:val="0000FF"/>
              </w:rPr>
            </w:pPr>
            <w:bookmarkStart w:id="70" w:name="JFValidRules"/>
            <w:r>
              <w:rPr>
                <w:i/>
                <w:color w:val="0000FF"/>
              </w:rPr>
              <w:t xml:space="preserve">HMRC </w:t>
            </w:r>
            <w:r w:rsidRPr="00FE748C">
              <w:rPr>
                <w:i/>
                <w:color w:val="0000FF"/>
              </w:rPr>
              <w:t>Joint Filing Common Validation Checks</w:t>
            </w:r>
            <w:bookmarkEnd w:id="70"/>
          </w:p>
        </w:tc>
        <w:tc>
          <w:tcPr>
            <w:tcW w:w="6024" w:type="dxa"/>
            <w:vAlign w:val="center"/>
          </w:tcPr>
          <w:p w:rsidR="00FE748C" w:rsidRPr="00FE748C" w:rsidRDefault="00FE748C" w:rsidP="004613E1">
            <w:pPr>
              <w:jc w:val="left"/>
            </w:pPr>
            <w:r>
              <w:t xml:space="preserve">Available at </w:t>
            </w:r>
            <w:hyperlink r:id="rId19" w:history="1">
              <w:r w:rsidRPr="003D1E51">
                <w:rPr>
                  <w:rStyle w:val="Hyperlink"/>
                </w:rPr>
                <w:t>http://www.hmrc.gov.uk/ebu/ct_techpack/joint-filing-validation-checks.pdf</w:t>
              </w:r>
            </w:hyperlink>
            <w:r>
              <w:t xml:space="preserve"> </w:t>
            </w:r>
          </w:p>
        </w:tc>
      </w:tr>
      <w:tr w:rsidR="006F56AC" w:rsidRPr="00D12CD7" w:rsidTr="00FE748C">
        <w:trPr>
          <w:cantSplit/>
          <w:trHeight w:val="567"/>
          <w:jc w:val="center"/>
        </w:trPr>
        <w:tc>
          <w:tcPr>
            <w:tcW w:w="2906" w:type="dxa"/>
            <w:vAlign w:val="center"/>
          </w:tcPr>
          <w:p w:rsidR="006F56AC" w:rsidRDefault="00273C3D" w:rsidP="004613E1">
            <w:pPr>
              <w:jc w:val="left"/>
              <w:rPr>
                <w:i/>
                <w:color w:val="0000FF"/>
              </w:rPr>
            </w:pPr>
            <w:bookmarkStart w:id="71" w:name="GenericRules"/>
            <w:r>
              <w:rPr>
                <w:i/>
                <w:color w:val="0000FF"/>
              </w:rPr>
              <w:t>HMRC Generic dimensions validation information</w:t>
            </w:r>
            <w:bookmarkEnd w:id="71"/>
          </w:p>
        </w:tc>
        <w:tc>
          <w:tcPr>
            <w:tcW w:w="6024" w:type="dxa"/>
            <w:vAlign w:val="center"/>
          </w:tcPr>
          <w:p w:rsidR="006F56AC" w:rsidRDefault="001347EE" w:rsidP="004613E1">
            <w:pPr>
              <w:jc w:val="left"/>
            </w:pPr>
            <w:r>
              <w:t>Available at</w:t>
            </w:r>
            <w:r>
              <w:rPr>
                <w:rFonts w:cs="Arial"/>
              </w:rPr>
              <w:t xml:space="preserve">  </w:t>
            </w:r>
            <w:hyperlink r:id="rId20" w:history="1">
              <w:r w:rsidR="001C2461" w:rsidRPr="00C93161">
                <w:rPr>
                  <w:rStyle w:val="Hyperlink"/>
                  <w:rFonts w:cs="Arial"/>
                </w:rPr>
                <w:t>http://www.hmrc.govuk/ebu/ct_techpack/gen-dimension-valid.xls</w:t>
              </w:r>
            </w:hyperlink>
            <w:r>
              <w:rPr>
                <w:rFonts w:cs="Arial"/>
              </w:rPr>
              <w:t xml:space="preserve"> </w:t>
            </w:r>
          </w:p>
        </w:tc>
      </w:tr>
      <w:tr w:rsidR="0090258B" w:rsidRPr="00D12CD7" w:rsidTr="00FE748C">
        <w:trPr>
          <w:cantSplit/>
          <w:trHeight w:val="567"/>
          <w:jc w:val="center"/>
        </w:trPr>
        <w:tc>
          <w:tcPr>
            <w:tcW w:w="2906" w:type="dxa"/>
            <w:vAlign w:val="center"/>
          </w:tcPr>
          <w:p w:rsidR="0090258B" w:rsidRDefault="0090258B" w:rsidP="004613E1">
            <w:pPr>
              <w:jc w:val="left"/>
              <w:rPr>
                <w:i/>
                <w:color w:val="0000FF"/>
              </w:rPr>
            </w:pPr>
            <w:bookmarkStart w:id="72" w:name="ConvGuide"/>
            <w:r>
              <w:rPr>
                <w:i/>
                <w:color w:val="0000FF"/>
              </w:rPr>
              <w:t>RFC 2219</w:t>
            </w:r>
            <w:bookmarkEnd w:id="72"/>
          </w:p>
        </w:tc>
        <w:tc>
          <w:tcPr>
            <w:tcW w:w="6024" w:type="dxa"/>
            <w:vAlign w:val="center"/>
          </w:tcPr>
          <w:p w:rsidR="0090258B" w:rsidRPr="0090258B" w:rsidRDefault="0090258B" w:rsidP="004613E1">
            <w:pPr>
              <w:jc w:val="left"/>
            </w:pPr>
            <w:r>
              <w:t xml:space="preserve">Key words for Indicating Requirement levels, March 1997.  Available at </w:t>
            </w:r>
            <w:hyperlink r:id="rId21" w:history="1">
              <w:r w:rsidRPr="00FE2E6E">
                <w:rPr>
                  <w:rStyle w:val="Hyperlink"/>
                </w:rPr>
                <w:t>http://www.ietf.org/rfc/rfc2119.txt</w:t>
              </w:r>
            </w:hyperlink>
            <w:r>
              <w:t xml:space="preserve">. </w:t>
            </w:r>
          </w:p>
        </w:tc>
      </w:tr>
    </w:tbl>
    <w:p w:rsidR="00BC1847" w:rsidRDefault="00BC1847" w:rsidP="00766F2D"/>
    <w:p w:rsidR="00FE748C" w:rsidRPr="00FE748C" w:rsidRDefault="00FE748C" w:rsidP="00766F2D">
      <w:r>
        <w:t>The XBRL UK website page ‘</w:t>
      </w:r>
      <w:r w:rsidRPr="00FE748C">
        <w:rPr>
          <w:b/>
          <w:i/>
        </w:rPr>
        <w:t>XBRL Users – Start Page</w:t>
      </w:r>
      <w:r>
        <w:t xml:space="preserve">’ at </w:t>
      </w:r>
      <w:hyperlink r:id="rId22" w:history="1">
        <w:r w:rsidRPr="003D1E51">
          <w:rPr>
            <w:rStyle w:val="Hyperlink"/>
          </w:rPr>
          <w:t>www.xbrl.org/uk/Start-Users/</w:t>
        </w:r>
      </w:hyperlink>
      <w:r>
        <w:t xml:space="preserve"> contains a range of links to documents which may guide XBRL users.  </w:t>
      </w:r>
    </w:p>
    <w:p w:rsidR="00FE748C" w:rsidRDefault="00FE748C" w:rsidP="00766F2D"/>
    <w:p w:rsidR="00F14038" w:rsidRDefault="00101C09" w:rsidP="00120120">
      <w:pPr>
        <w:pStyle w:val="Heading2"/>
      </w:pPr>
      <w:bookmarkStart w:id="73" w:name="_Toc175466817"/>
      <w:bookmarkStart w:id="74" w:name="_Toc292036862"/>
      <w:r>
        <w:t>C.</w:t>
      </w:r>
      <w:r>
        <w:tab/>
      </w:r>
      <w:r w:rsidR="00F14038">
        <w:t>Document History</w:t>
      </w:r>
      <w:bookmarkEnd w:id="73"/>
      <w:bookmarkEnd w:id="74"/>
    </w:p>
    <w:p w:rsidR="00F14038" w:rsidRDefault="00F14038" w:rsidP="00F1403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00"/>
      </w:tblPr>
      <w:tblGrid>
        <w:gridCol w:w="1701"/>
        <w:gridCol w:w="1418"/>
        <w:gridCol w:w="5811"/>
      </w:tblGrid>
      <w:tr w:rsidR="00F14038" w:rsidTr="00E53D8D">
        <w:trPr>
          <w:trHeight w:val="360"/>
          <w:jc w:val="center"/>
        </w:trPr>
        <w:tc>
          <w:tcPr>
            <w:tcW w:w="1701" w:type="dxa"/>
            <w:vAlign w:val="center"/>
          </w:tcPr>
          <w:p w:rsidR="00F14038" w:rsidRDefault="00F14038" w:rsidP="0086338D">
            <w:pPr>
              <w:rPr>
                <w:b/>
              </w:rPr>
            </w:pPr>
            <w:r>
              <w:rPr>
                <w:b/>
              </w:rPr>
              <w:t xml:space="preserve">Date </w:t>
            </w:r>
          </w:p>
        </w:tc>
        <w:tc>
          <w:tcPr>
            <w:tcW w:w="1418" w:type="dxa"/>
            <w:vAlign w:val="center"/>
          </w:tcPr>
          <w:p w:rsidR="00F14038" w:rsidRDefault="00E53D8D" w:rsidP="0086338D">
            <w:pPr>
              <w:rPr>
                <w:b/>
              </w:rPr>
            </w:pPr>
            <w:r>
              <w:rPr>
                <w:b/>
              </w:rPr>
              <w:t>Version</w:t>
            </w:r>
            <w:r w:rsidR="00F14038">
              <w:rPr>
                <w:b/>
              </w:rPr>
              <w:t xml:space="preserve"> </w:t>
            </w:r>
          </w:p>
        </w:tc>
        <w:tc>
          <w:tcPr>
            <w:tcW w:w="5811" w:type="dxa"/>
            <w:vAlign w:val="center"/>
          </w:tcPr>
          <w:p w:rsidR="00F14038" w:rsidRDefault="00F14038" w:rsidP="0086338D">
            <w:pPr>
              <w:rPr>
                <w:b/>
              </w:rPr>
            </w:pPr>
            <w:r>
              <w:rPr>
                <w:b/>
              </w:rPr>
              <w:t xml:space="preserve">Summary of changes </w:t>
            </w:r>
          </w:p>
        </w:tc>
      </w:tr>
      <w:tr w:rsidR="00634644" w:rsidTr="00E53D8D">
        <w:trPr>
          <w:trHeight w:val="340"/>
          <w:jc w:val="center"/>
        </w:trPr>
        <w:tc>
          <w:tcPr>
            <w:tcW w:w="1701" w:type="dxa"/>
            <w:vAlign w:val="center"/>
          </w:tcPr>
          <w:p w:rsidR="00634644" w:rsidRDefault="00634644" w:rsidP="007F4D4A">
            <w:r>
              <w:t>20</w:t>
            </w:r>
            <w:r w:rsidR="00120120">
              <w:t>1</w:t>
            </w:r>
            <w:r w:rsidR="006A3CD8">
              <w:t>1</w:t>
            </w:r>
            <w:r>
              <w:t>-</w:t>
            </w:r>
            <w:r w:rsidR="006A3CD8">
              <w:t>03</w:t>
            </w:r>
            <w:r w:rsidR="00120120">
              <w:t>-</w:t>
            </w:r>
            <w:r w:rsidR="006A3CD8">
              <w:t>05</w:t>
            </w:r>
          </w:p>
        </w:tc>
        <w:tc>
          <w:tcPr>
            <w:tcW w:w="1418" w:type="dxa"/>
            <w:vAlign w:val="center"/>
          </w:tcPr>
          <w:p w:rsidR="00634644" w:rsidRDefault="00E53D8D" w:rsidP="007F4D4A">
            <w:r>
              <w:t>0.1</w:t>
            </w:r>
          </w:p>
        </w:tc>
        <w:tc>
          <w:tcPr>
            <w:tcW w:w="5811" w:type="dxa"/>
            <w:vAlign w:val="center"/>
          </w:tcPr>
          <w:p w:rsidR="00634644" w:rsidRDefault="00120120" w:rsidP="007F4D4A">
            <w:r>
              <w:t>Initial draft</w:t>
            </w:r>
            <w:r w:rsidR="006435FE">
              <w:t>.</w:t>
            </w:r>
          </w:p>
        </w:tc>
      </w:tr>
      <w:tr w:rsidR="00E53D8D" w:rsidTr="00E53D8D">
        <w:trPr>
          <w:trHeight w:val="340"/>
          <w:jc w:val="center"/>
        </w:trPr>
        <w:tc>
          <w:tcPr>
            <w:tcW w:w="1701" w:type="dxa"/>
            <w:vAlign w:val="center"/>
          </w:tcPr>
          <w:p w:rsidR="00E53D8D" w:rsidRDefault="007118D8" w:rsidP="007F4D4A">
            <w:r>
              <w:t>2011-04-15</w:t>
            </w:r>
          </w:p>
        </w:tc>
        <w:tc>
          <w:tcPr>
            <w:tcW w:w="1418" w:type="dxa"/>
            <w:vAlign w:val="center"/>
          </w:tcPr>
          <w:p w:rsidR="00E53D8D" w:rsidRDefault="007118D8" w:rsidP="007F4D4A">
            <w:r>
              <w:t>0.2</w:t>
            </w:r>
          </w:p>
        </w:tc>
        <w:tc>
          <w:tcPr>
            <w:tcW w:w="5811" w:type="dxa"/>
            <w:vAlign w:val="center"/>
          </w:tcPr>
          <w:p w:rsidR="00E53D8D" w:rsidRDefault="007118D8" w:rsidP="007F4D4A">
            <w:r>
              <w:t>Draft for restricted circulation</w:t>
            </w:r>
            <w:r w:rsidR="006435FE">
              <w:t>.</w:t>
            </w:r>
          </w:p>
        </w:tc>
      </w:tr>
      <w:tr w:rsidR="00301B8F" w:rsidTr="00E53D8D">
        <w:trPr>
          <w:trHeight w:val="340"/>
          <w:jc w:val="center"/>
        </w:trPr>
        <w:tc>
          <w:tcPr>
            <w:tcW w:w="1701" w:type="dxa"/>
            <w:vAlign w:val="center"/>
          </w:tcPr>
          <w:p w:rsidR="00301B8F" w:rsidRDefault="00301B8F" w:rsidP="007F4D4A">
            <w:r>
              <w:t>2011-05-01</w:t>
            </w:r>
          </w:p>
        </w:tc>
        <w:tc>
          <w:tcPr>
            <w:tcW w:w="1418" w:type="dxa"/>
            <w:vAlign w:val="center"/>
          </w:tcPr>
          <w:p w:rsidR="00301B8F" w:rsidRDefault="00301B8F" w:rsidP="007F4D4A">
            <w:r>
              <w:t>1.0</w:t>
            </w:r>
          </w:p>
        </w:tc>
        <w:tc>
          <w:tcPr>
            <w:tcW w:w="5811" w:type="dxa"/>
            <w:vAlign w:val="center"/>
          </w:tcPr>
          <w:p w:rsidR="00301B8F" w:rsidRDefault="006435FE" w:rsidP="007F4D4A">
            <w:r>
              <w:t xml:space="preserve">First version for general publication.  Range of detailed editing changes and limited additions in light of feedback on draft 0.2.  </w:t>
            </w:r>
          </w:p>
        </w:tc>
      </w:tr>
    </w:tbl>
    <w:p w:rsidR="00F14038" w:rsidRDefault="00F14038" w:rsidP="00F14038"/>
    <w:p w:rsidR="00F14038" w:rsidRDefault="00897C95" w:rsidP="00120120">
      <w:pPr>
        <w:pStyle w:val="Heading2"/>
      </w:pPr>
      <w:bookmarkStart w:id="75" w:name="_Toc175466818"/>
      <w:bookmarkStart w:id="76" w:name="_Toc292036863"/>
      <w:r>
        <w:t>E</w:t>
      </w:r>
      <w:r w:rsidR="00101C09">
        <w:t>.</w:t>
      </w:r>
      <w:r w:rsidR="00101C09">
        <w:tab/>
      </w:r>
      <w:r w:rsidR="00F14038">
        <w:t>Intellectual Property Status</w:t>
      </w:r>
      <w:bookmarkEnd w:id="75"/>
      <w:bookmarkEnd w:id="76"/>
    </w:p>
    <w:p w:rsidR="00F14038" w:rsidRDefault="00F14038" w:rsidP="00F14038"/>
    <w:p w:rsidR="00F14038" w:rsidRPr="00F429E9" w:rsidRDefault="00F14038" w:rsidP="00F14038">
      <w:pPr>
        <w:rPr>
          <w:i/>
        </w:rPr>
      </w:pPr>
      <w:r w:rsidRPr="00F429E9">
        <w:rPr>
          <w:i/>
        </w:rPr>
        <w:t>Copyright © 20</w:t>
      </w:r>
      <w:r w:rsidR="00897C95">
        <w:rPr>
          <w:i/>
        </w:rPr>
        <w:t>1</w:t>
      </w:r>
      <w:r w:rsidR="006A3CD8">
        <w:rPr>
          <w:i/>
        </w:rPr>
        <w:t>1</w:t>
      </w:r>
      <w:r w:rsidRPr="00F429E9">
        <w:rPr>
          <w:i/>
        </w:rPr>
        <w:t>, XBRL UK Limited.</w:t>
      </w:r>
      <w:r>
        <w:rPr>
          <w:i/>
        </w:rPr>
        <w:t xml:space="preserve"> </w:t>
      </w:r>
      <w:r w:rsidRPr="00F429E9">
        <w:rPr>
          <w:i/>
        </w:rPr>
        <w:t xml:space="preserve"> All Rights Reserved</w:t>
      </w:r>
    </w:p>
    <w:p w:rsidR="00F14038" w:rsidRPr="00F429E9" w:rsidRDefault="00F14038" w:rsidP="00F14038">
      <w:pPr>
        <w:rPr>
          <w:i/>
        </w:rPr>
      </w:pPr>
    </w:p>
    <w:p w:rsidR="00F14038" w:rsidRPr="00F429E9" w:rsidRDefault="00F14038" w:rsidP="00F14038">
      <w:pPr>
        <w:rPr>
          <w:i/>
        </w:rPr>
      </w:pPr>
      <w:r w:rsidRPr="00F429E9">
        <w:rPr>
          <w:i/>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w:t>
      </w:r>
      <w:r w:rsidR="00897C95">
        <w:rPr>
          <w:i/>
        </w:rPr>
        <w:t xml:space="preserve"> </w:t>
      </w:r>
      <w:r w:rsidRPr="00F429E9">
        <w:rPr>
          <w:i/>
        </w:rPr>
        <w:t xml:space="preserve">However, this document itself may not be modified in any way, such as by removing the copyright notice or references to XBRL International or XBRL organizations, except as required to translate it into languages other than English. </w:t>
      </w:r>
      <w:r w:rsidR="00897C95">
        <w:rPr>
          <w:i/>
        </w:rPr>
        <w:t xml:space="preserve"> </w:t>
      </w:r>
      <w:r w:rsidRPr="00F429E9">
        <w:rPr>
          <w:i/>
        </w:rPr>
        <w:t>Members of XBRL International agree to grant certain licenses under the XBRL International Intellectual Property Policy (</w:t>
      </w:r>
      <w:hyperlink r:id="rId23" w:history="1">
        <w:r w:rsidRPr="00F429E9">
          <w:rPr>
            <w:rStyle w:val="Hyperlink"/>
            <w:i/>
          </w:rPr>
          <w:t>www.xbrl.org/legal</w:t>
        </w:r>
      </w:hyperlink>
      <w:r w:rsidRPr="00F429E9">
        <w:rPr>
          <w:i/>
        </w:rPr>
        <w:t>).</w:t>
      </w:r>
    </w:p>
    <w:p w:rsidR="00F14038" w:rsidRPr="00206A8A" w:rsidRDefault="00F14038" w:rsidP="00F14038">
      <w:r w:rsidRPr="00F429E9">
        <w:rPr>
          <w:i/>
        </w:rPr>
        <w:t>This document and the information contained herein is provided on an "AS IS" basis and XBRL INTERNATIONAL AND XBRL UK LIMITED DISCLAIM ALL WARRANTIES, EXPRESS OR IMPLIED, INCLUDING BUT NOT LIMITED TO ANY WARRANTY THAT THE USE OF THE INFORMATION HEREIN WILL NOT INFRINGE ANY RIGHTS OR ANY IMPLIED WARRANTIES OF MERCHANTABILITY OR FITNESS FOR A PARTICULAR PURPOSE.</w:t>
      </w:r>
    </w:p>
    <w:sectPr w:rsidR="00F14038" w:rsidRPr="00206A8A" w:rsidSect="005B6243">
      <w:footerReference w:type="default" r:id="rId24"/>
      <w:pgSz w:w="11909" w:h="16834" w:code="9"/>
      <w:pgMar w:top="1985" w:right="1418" w:bottom="1985" w:left="1418"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5F9F" w:rsidRDefault="00EA5F9F">
      <w:r>
        <w:separator/>
      </w:r>
    </w:p>
  </w:endnote>
  <w:endnote w:type="continuationSeparator" w:id="0">
    <w:p w:rsidR="00EA5F9F" w:rsidRDefault="00EA5F9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7A47" w:rsidRPr="005B6243" w:rsidRDefault="00FE7A47" w:rsidP="00CC215C">
    <w:pPr>
      <w:pStyle w:val="Footer"/>
      <w:tabs>
        <w:tab w:val="clear" w:pos="4153"/>
        <w:tab w:val="clear" w:pos="8306"/>
        <w:tab w:val="right" w:pos="9072"/>
      </w:tabs>
      <w:rPr>
        <w:sz w:val="18"/>
        <w:szCs w:val="18"/>
      </w:rPr>
    </w:pPr>
    <w:r>
      <w:rPr>
        <w:sz w:val="18"/>
        <w:szCs w:val="18"/>
      </w:rPr>
      <w:t>Copyright © XBRL UK Ltd 2011, all rights reserved</w:t>
    </w:r>
    <w:r w:rsidRPr="00CC215C">
      <w:rPr>
        <w:sz w:val="18"/>
        <w:szCs w:val="18"/>
      </w:rPr>
      <w:tab/>
    </w:r>
    <w:r>
      <w:rPr>
        <w:sz w:val="18"/>
        <w:szCs w:val="18"/>
      </w:rPr>
      <w:t xml:space="preserve">Page </w:t>
    </w:r>
    <w:r>
      <w:rPr>
        <w:rStyle w:val="PageNumber"/>
      </w:rPr>
      <w:fldChar w:fldCharType="begin"/>
    </w:r>
    <w:r>
      <w:rPr>
        <w:rStyle w:val="PageNumber"/>
      </w:rPr>
      <w:instrText xml:space="preserve"> PAGE </w:instrText>
    </w:r>
    <w:r>
      <w:rPr>
        <w:rStyle w:val="PageNumber"/>
      </w:rPr>
      <w:fldChar w:fldCharType="separate"/>
    </w:r>
    <w:r w:rsidR="00A03C78">
      <w:rPr>
        <w:rStyle w:val="PageNumber"/>
        <w:noProof/>
      </w:rPr>
      <w:t>ii</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7A47" w:rsidRPr="005B6243" w:rsidRDefault="00FE7A47" w:rsidP="00CC215C">
    <w:pPr>
      <w:pStyle w:val="Footer"/>
      <w:tabs>
        <w:tab w:val="clear" w:pos="4153"/>
        <w:tab w:val="clear" w:pos="8306"/>
        <w:tab w:val="right" w:pos="9072"/>
      </w:tabs>
      <w:rPr>
        <w:sz w:val="18"/>
        <w:szCs w:val="18"/>
      </w:rPr>
    </w:pPr>
    <w:r w:rsidRPr="005B6243">
      <w:rPr>
        <w:sz w:val="18"/>
        <w:szCs w:val="18"/>
      </w:rPr>
      <w:t xml:space="preserve">© XBRL UK Ltd </w:t>
    </w:r>
    <w:r>
      <w:rPr>
        <w:sz w:val="18"/>
        <w:szCs w:val="18"/>
      </w:rPr>
      <w:t>2011</w:t>
    </w:r>
    <w:r w:rsidRPr="005B6243">
      <w:rPr>
        <w:sz w:val="18"/>
        <w:szCs w:val="18"/>
      </w:rPr>
      <w:tab/>
      <w:t xml:space="preserve">Page </w:t>
    </w:r>
    <w:r w:rsidRPr="00205E52">
      <w:rPr>
        <w:rStyle w:val="PageNumber"/>
        <w:sz w:val="18"/>
        <w:szCs w:val="18"/>
      </w:rPr>
      <w:fldChar w:fldCharType="begin"/>
    </w:r>
    <w:r w:rsidRPr="00205E52">
      <w:rPr>
        <w:rStyle w:val="PageNumber"/>
        <w:sz w:val="18"/>
        <w:szCs w:val="18"/>
      </w:rPr>
      <w:instrText xml:space="preserve"> PAGE </w:instrText>
    </w:r>
    <w:r w:rsidRPr="00205E52">
      <w:rPr>
        <w:rStyle w:val="PageNumber"/>
        <w:sz w:val="18"/>
        <w:szCs w:val="18"/>
      </w:rPr>
      <w:fldChar w:fldCharType="separate"/>
    </w:r>
    <w:r w:rsidR="00A63618">
      <w:rPr>
        <w:rStyle w:val="PageNumber"/>
        <w:noProof/>
        <w:sz w:val="18"/>
        <w:szCs w:val="18"/>
      </w:rPr>
      <w:t>40</w:t>
    </w:r>
    <w:r w:rsidRPr="00205E52">
      <w:rPr>
        <w:rStyle w:val="PageNumber"/>
        <w:sz w:val="18"/>
        <w:szCs w:val="18"/>
      </w:rPr>
      <w:fldChar w:fldCharType="end"/>
    </w:r>
    <w:r w:rsidRPr="005B6243">
      <w:rPr>
        <w:rStyle w:val="PageNumber"/>
        <w:sz w:val="18"/>
        <w:szCs w:val="18"/>
      </w:rPr>
      <w:t xml:space="preserve"> of </w:t>
    </w:r>
    <w:r>
      <w:rPr>
        <w:rStyle w:val="PageNumber"/>
        <w:sz w:val="18"/>
        <w:szCs w:val="18"/>
      </w:rPr>
      <w:t>41</w:t>
    </w:r>
    <w:r w:rsidRPr="005B6243">
      <w:rPr>
        <w:rStyle w:val="PageNumber"/>
        <w:sz w:val="18"/>
        <w:szCs w:val="1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5F9F" w:rsidRDefault="00EA5F9F">
      <w:r>
        <w:separator/>
      </w:r>
    </w:p>
  </w:footnote>
  <w:footnote w:type="continuationSeparator" w:id="0">
    <w:p w:rsidR="00EA5F9F" w:rsidRDefault="00EA5F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7A47" w:rsidRPr="00CC215C" w:rsidRDefault="00FE7A47" w:rsidP="00CC215C">
    <w:pPr>
      <w:pStyle w:val="Header"/>
      <w:tabs>
        <w:tab w:val="clear" w:pos="4320"/>
        <w:tab w:val="clear" w:pos="7740"/>
        <w:tab w:val="clear" w:pos="8640"/>
        <w:tab w:val="right" w:pos="9072"/>
      </w:tabs>
      <w:rPr>
        <w:sz w:val="18"/>
        <w:szCs w:val="18"/>
      </w:rPr>
    </w:pPr>
    <w:r>
      <w:rPr>
        <w:sz w:val="18"/>
        <w:szCs w:val="18"/>
      </w:rPr>
      <w:t xml:space="preserve">XBRL </w:t>
    </w:r>
    <w:smartTag w:uri="urn:schemas-microsoft-com:office:smarttags" w:element="country-region">
      <w:smartTag w:uri="urn:schemas-microsoft-com:office:smarttags" w:element="place">
        <w:r>
          <w:rPr>
            <w:sz w:val="18"/>
            <w:szCs w:val="18"/>
          </w:rPr>
          <w:t>UK</w:t>
        </w:r>
      </w:smartTag>
    </w:smartTag>
    <w:r>
      <w:rPr>
        <w:sz w:val="18"/>
        <w:szCs w:val="18"/>
      </w:rPr>
      <w:t xml:space="preserve"> Detailed Tagging Information</w:t>
    </w:r>
    <w:r>
      <w:rPr>
        <w:sz w:val="18"/>
        <w:szCs w:val="18"/>
      </w:rPr>
      <w:tab/>
      <w:t>Version 1.0, 1 May 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F6681"/>
    <w:multiLevelType w:val="hybridMultilevel"/>
    <w:tmpl w:val="5F5CC002"/>
    <w:lvl w:ilvl="0" w:tplc="BD4A743A">
      <w:start w:val="1"/>
      <w:numFmt w:val="bullet"/>
      <w:lvlText w:val=""/>
      <w:lvlJc w:val="left"/>
      <w:pPr>
        <w:tabs>
          <w:tab w:val="num" w:pos="567"/>
        </w:tabs>
        <w:ind w:left="567" w:hanging="567"/>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0B47AA"/>
    <w:multiLevelType w:val="hybridMultilevel"/>
    <w:tmpl w:val="063EE23C"/>
    <w:lvl w:ilvl="0" w:tplc="76A27EE2">
      <w:start w:val="1"/>
      <w:numFmt w:val="lowerLetter"/>
      <w:lvlText w:val="%1."/>
      <w:lvlJc w:val="left"/>
      <w:pPr>
        <w:tabs>
          <w:tab w:val="num" w:pos="454"/>
        </w:tabs>
        <w:ind w:left="454"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C432397"/>
    <w:multiLevelType w:val="multilevel"/>
    <w:tmpl w:val="FFBC8898"/>
    <w:numStyleLink w:val="Main-letter"/>
  </w:abstractNum>
  <w:abstractNum w:abstractNumId="3">
    <w:nsid w:val="0D412FF6"/>
    <w:multiLevelType w:val="hybridMultilevel"/>
    <w:tmpl w:val="F27033A0"/>
    <w:lvl w:ilvl="0" w:tplc="34F27C8A">
      <w:start w:val="1"/>
      <w:numFmt w:val="bullet"/>
      <w:pStyle w:val="Special"/>
      <w:lvlText w:val=""/>
      <w:lvlJc w:val="left"/>
      <w:pPr>
        <w:tabs>
          <w:tab w:val="num" w:pos="567"/>
        </w:tabs>
        <w:ind w:left="567" w:hanging="567"/>
      </w:pPr>
      <w:rPr>
        <w:rFonts w:ascii="Symbol" w:hAnsi="Symbol" w:hint="default"/>
        <w:sz w:val="18"/>
      </w:rPr>
    </w:lvl>
    <w:lvl w:ilvl="1" w:tplc="26A63010">
      <w:start w:val="1"/>
      <w:numFmt w:val="bullet"/>
      <w:lvlText w:val=""/>
      <w:lvlJc w:val="left"/>
      <w:pPr>
        <w:tabs>
          <w:tab w:val="num" w:pos="1134"/>
        </w:tabs>
        <w:ind w:left="1134" w:hanging="567"/>
      </w:pPr>
      <w:rPr>
        <w:rFonts w:ascii="Symbol" w:hAnsi="Symbol" w:hint="default"/>
        <w:sz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68C2036"/>
    <w:multiLevelType w:val="multilevel"/>
    <w:tmpl w:val="CE8A01A8"/>
    <w:styleLink w:val="Main-bullet"/>
    <w:lvl w:ilvl="0">
      <w:start w:val="1"/>
      <w:numFmt w:val="bullet"/>
      <w:lvlText w:val=""/>
      <w:lvlJc w:val="left"/>
      <w:pPr>
        <w:tabs>
          <w:tab w:val="num" w:pos="567"/>
        </w:tabs>
        <w:ind w:left="567" w:hanging="567"/>
      </w:pPr>
      <w:rPr>
        <w:rFonts w:ascii="Symbol" w:hAnsi="Symbol" w:hint="default"/>
        <w:sz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3E06E94"/>
    <w:multiLevelType w:val="multilevel"/>
    <w:tmpl w:val="CE8A01A8"/>
    <w:numStyleLink w:val="Main-bullet"/>
  </w:abstractNum>
  <w:abstractNum w:abstractNumId="6">
    <w:nsid w:val="2E2745BE"/>
    <w:multiLevelType w:val="multilevel"/>
    <w:tmpl w:val="FFBC8898"/>
    <w:numStyleLink w:val="Main-letter"/>
  </w:abstractNum>
  <w:abstractNum w:abstractNumId="7">
    <w:nsid w:val="50577116"/>
    <w:multiLevelType w:val="hybridMultilevel"/>
    <w:tmpl w:val="9948E266"/>
    <w:lvl w:ilvl="0" w:tplc="14EE360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7004A00"/>
    <w:multiLevelType w:val="multilevel"/>
    <w:tmpl w:val="639CF404"/>
    <w:styleLink w:val="Main-number"/>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72283296"/>
    <w:multiLevelType w:val="multilevel"/>
    <w:tmpl w:val="FFBC8898"/>
    <w:styleLink w:val="Main-letter"/>
    <w:lvl w:ilvl="0">
      <w:start w:val="1"/>
      <w:numFmt w:val="lowerLetter"/>
      <w:lvlText w:val="%1."/>
      <w:lvlJc w:val="left"/>
      <w:pPr>
        <w:tabs>
          <w:tab w:val="num" w:pos="567"/>
        </w:tabs>
        <w:ind w:left="56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7B122F93"/>
    <w:multiLevelType w:val="hybridMultilevel"/>
    <w:tmpl w:val="CE8A01A8"/>
    <w:lvl w:ilvl="0" w:tplc="BD4A743A">
      <w:start w:val="1"/>
      <w:numFmt w:val="bullet"/>
      <w:lvlText w:val=""/>
      <w:lvlJc w:val="left"/>
      <w:pPr>
        <w:tabs>
          <w:tab w:val="num" w:pos="567"/>
        </w:tabs>
        <w:ind w:left="567" w:hanging="567"/>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6"/>
  </w:num>
  <w:num w:numId="3">
    <w:abstractNumId w:val="10"/>
  </w:num>
  <w:num w:numId="4">
    <w:abstractNumId w:val="9"/>
  </w:num>
  <w:num w:numId="5">
    <w:abstractNumId w:val="4"/>
  </w:num>
  <w:num w:numId="6">
    <w:abstractNumId w:val="5"/>
  </w:num>
  <w:num w:numId="7">
    <w:abstractNumId w:val="8"/>
  </w:num>
  <w:num w:numId="8">
    <w:abstractNumId w:val="0"/>
  </w:num>
  <w:num w:numId="9">
    <w:abstractNumId w:val="2"/>
  </w:num>
  <w:num w:numId="10">
    <w:abstractNumId w:val="1"/>
  </w:num>
  <w:num w:numId="11">
    <w:abstractNumId w:val="7"/>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stylePaneFormatFilter w:val="3F01"/>
  <w:defaultTabStop w:val="737"/>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footnotePr>
    <w:footnote w:id="-1"/>
    <w:footnote w:id="0"/>
  </w:footnotePr>
  <w:endnotePr>
    <w:endnote w:id="-1"/>
    <w:endnote w:id="0"/>
  </w:endnotePr>
  <w:compat>
    <w:useFELayout/>
  </w:compat>
  <w:rsids>
    <w:rsidRoot w:val="001E6EC3"/>
    <w:rsid w:val="000005F0"/>
    <w:rsid w:val="00000EB2"/>
    <w:rsid w:val="00001F5F"/>
    <w:rsid w:val="00004224"/>
    <w:rsid w:val="00004502"/>
    <w:rsid w:val="0000474E"/>
    <w:rsid w:val="00005B00"/>
    <w:rsid w:val="00006082"/>
    <w:rsid w:val="000071CA"/>
    <w:rsid w:val="00007515"/>
    <w:rsid w:val="00010B18"/>
    <w:rsid w:val="00011AC6"/>
    <w:rsid w:val="00011E37"/>
    <w:rsid w:val="00014220"/>
    <w:rsid w:val="00014742"/>
    <w:rsid w:val="000150AA"/>
    <w:rsid w:val="00015466"/>
    <w:rsid w:val="000164E0"/>
    <w:rsid w:val="00016C6D"/>
    <w:rsid w:val="00017113"/>
    <w:rsid w:val="00020053"/>
    <w:rsid w:val="000208CB"/>
    <w:rsid w:val="00020D97"/>
    <w:rsid w:val="00020EDD"/>
    <w:rsid w:val="00021B18"/>
    <w:rsid w:val="000221C9"/>
    <w:rsid w:val="0002289E"/>
    <w:rsid w:val="00022DAD"/>
    <w:rsid w:val="00022FD5"/>
    <w:rsid w:val="000231C9"/>
    <w:rsid w:val="0002674C"/>
    <w:rsid w:val="00026793"/>
    <w:rsid w:val="000269C2"/>
    <w:rsid w:val="00033F68"/>
    <w:rsid w:val="000343B4"/>
    <w:rsid w:val="000355A2"/>
    <w:rsid w:val="000356D8"/>
    <w:rsid w:val="000375C9"/>
    <w:rsid w:val="000411C3"/>
    <w:rsid w:val="0004150B"/>
    <w:rsid w:val="00043F15"/>
    <w:rsid w:val="00044654"/>
    <w:rsid w:val="00044754"/>
    <w:rsid w:val="00044CCB"/>
    <w:rsid w:val="000452E7"/>
    <w:rsid w:val="000463DA"/>
    <w:rsid w:val="000467B8"/>
    <w:rsid w:val="000469BB"/>
    <w:rsid w:val="00047BF7"/>
    <w:rsid w:val="00050E07"/>
    <w:rsid w:val="00051BA2"/>
    <w:rsid w:val="00052991"/>
    <w:rsid w:val="00053038"/>
    <w:rsid w:val="00053914"/>
    <w:rsid w:val="00054776"/>
    <w:rsid w:val="00054935"/>
    <w:rsid w:val="000555E7"/>
    <w:rsid w:val="00056319"/>
    <w:rsid w:val="00057842"/>
    <w:rsid w:val="00057894"/>
    <w:rsid w:val="00060940"/>
    <w:rsid w:val="000612AC"/>
    <w:rsid w:val="000613F9"/>
    <w:rsid w:val="00061CB2"/>
    <w:rsid w:val="000627FC"/>
    <w:rsid w:val="000644EE"/>
    <w:rsid w:val="00064A56"/>
    <w:rsid w:val="000659DB"/>
    <w:rsid w:val="00066DE8"/>
    <w:rsid w:val="00066E79"/>
    <w:rsid w:val="00067223"/>
    <w:rsid w:val="00067A0F"/>
    <w:rsid w:val="00070889"/>
    <w:rsid w:val="00070E0B"/>
    <w:rsid w:val="00073605"/>
    <w:rsid w:val="00074B87"/>
    <w:rsid w:val="00074E88"/>
    <w:rsid w:val="00075ADB"/>
    <w:rsid w:val="0008006E"/>
    <w:rsid w:val="00082AC8"/>
    <w:rsid w:val="000836A4"/>
    <w:rsid w:val="0008382A"/>
    <w:rsid w:val="00085FA0"/>
    <w:rsid w:val="00086721"/>
    <w:rsid w:val="00086EBA"/>
    <w:rsid w:val="0009286E"/>
    <w:rsid w:val="000938E3"/>
    <w:rsid w:val="00093D96"/>
    <w:rsid w:val="0009430B"/>
    <w:rsid w:val="0009567F"/>
    <w:rsid w:val="00095D11"/>
    <w:rsid w:val="00096298"/>
    <w:rsid w:val="000A0544"/>
    <w:rsid w:val="000A35FA"/>
    <w:rsid w:val="000A3ABA"/>
    <w:rsid w:val="000A3F1F"/>
    <w:rsid w:val="000A535D"/>
    <w:rsid w:val="000A60EE"/>
    <w:rsid w:val="000A6C3E"/>
    <w:rsid w:val="000B023D"/>
    <w:rsid w:val="000B024B"/>
    <w:rsid w:val="000B1601"/>
    <w:rsid w:val="000B1645"/>
    <w:rsid w:val="000B1F89"/>
    <w:rsid w:val="000B20A1"/>
    <w:rsid w:val="000B2209"/>
    <w:rsid w:val="000B2365"/>
    <w:rsid w:val="000B280E"/>
    <w:rsid w:val="000B4290"/>
    <w:rsid w:val="000B4411"/>
    <w:rsid w:val="000B5440"/>
    <w:rsid w:val="000B6400"/>
    <w:rsid w:val="000B73D2"/>
    <w:rsid w:val="000C0B9D"/>
    <w:rsid w:val="000C21C8"/>
    <w:rsid w:val="000C2635"/>
    <w:rsid w:val="000C2BDE"/>
    <w:rsid w:val="000C407D"/>
    <w:rsid w:val="000C6D79"/>
    <w:rsid w:val="000D1A93"/>
    <w:rsid w:val="000D2ECC"/>
    <w:rsid w:val="000D3169"/>
    <w:rsid w:val="000D4901"/>
    <w:rsid w:val="000D580D"/>
    <w:rsid w:val="000D5FF5"/>
    <w:rsid w:val="000D6437"/>
    <w:rsid w:val="000D68E5"/>
    <w:rsid w:val="000D70A1"/>
    <w:rsid w:val="000D7317"/>
    <w:rsid w:val="000D7433"/>
    <w:rsid w:val="000D746D"/>
    <w:rsid w:val="000E02FF"/>
    <w:rsid w:val="000E0F76"/>
    <w:rsid w:val="000E1C56"/>
    <w:rsid w:val="000E2030"/>
    <w:rsid w:val="000E220C"/>
    <w:rsid w:val="000E24E6"/>
    <w:rsid w:val="000E3035"/>
    <w:rsid w:val="000E3D29"/>
    <w:rsid w:val="000E514B"/>
    <w:rsid w:val="000E7A77"/>
    <w:rsid w:val="000F134D"/>
    <w:rsid w:val="000F4803"/>
    <w:rsid w:val="000F4B3B"/>
    <w:rsid w:val="000F4FB4"/>
    <w:rsid w:val="000F6948"/>
    <w:rsid w:val="000F7952"/>
    <w:rsid w:val="000F7EE6"/>
    <w:rsid w:val="0010019E"/>
    <w:rsid w:val="00100DE8"/>
    <w:rsid w:val="00101C09"/>
    <w:rsid w:val="00101C56"/>
    <w:rsid w:val="00101DFC"/>
    <w:rsid w:val="0010364D"/>
    <w:rsid w:val="00103910"/>
    <w:rsid w:val="001052FE"/>
    <w:rsid w:val="00105A6F"/>
    <w:rsid w:val="00107215"/>
    <w:rsid w:val="00111098"/>
    <w:rsid w:val="00111E13"/>
    <w:rsid w:val="00113173"/>
    <w:rsid w:val="001134F3"/>
    <w:rsid w:val="00113A52"/>
    <w:rsid w:val="00115091"/>
    <w:rsid w:val="001162DA"/>
    <w:rsid w:val="0011631B"/>
    <w:rsid w:val="00117369"/>
    <w:rsid w:val="00120120"/>
    <w:rsid w:val="00121D34"/>
    <w:rsid w:val="001229F5"/>
    <w:rsid w:val="00123261"/>
    <w:rsid w:val="001235B0"/>
    <w:rsid w:val="001236A4"/>
    <w:rsid w:val="001239EA"/>
    <w:rsid w:val="00124F05"/>
    <w:rsid w:val="001252F5"/>
    <w:rsid w:val="00125C4B"/>
    <w:rsid w:val="00125D2B"/>
    <w:rsid w:val="00125F18"/>
    <w:rsid w:val="00126616"/>
    <w:rsid w:val="001269D9"/>
    <w:rsid w:val="00126C9C"/>
    <w:rsid w:val="00127C97"/>
    <w:rsid w:val="00130827"/>
    <w:rsid w:val="001313DD"/>
    <w:rsid w:val="00132D53"/>
    <w:rsid w:val="00132DB2"/>
    <w:rsid w:val="00133613"/>
    <w:rsid w:val="0013466D"/>
    <w:rsid w:val="001347EE"/>
    <w:rsid w:val="00134E86"/>
    <w:rsid w:val="00134F5A"/>
    <w:rsid w:val="00135043"/>
    <w:rsid w:val="00135263"/>
    <w:rsid w:val="00135425"/>
    <w:rsid w:val="00137FA5"/>
    <w:rsid w:val="00137FC7"/>
    <w:rsid w:val="00142CFB"/>
    <w:rsid w:val="0014390F"/>
    <w:rsid w:val="001459B8"/>
    <w:rsid w:val="00146ADC"/>
    <w:rsid w:val="00146F76"/>
    <w:rsid w:val="00147E3C"/>
    <w:rsid w:val="00150322"/>
    <w:rsid w:val="0015036E"/>
    <w:rsid w:val="0015045E"/>
    <w:rsid w:val="0015143D"/>
    <w:rsid w:val="00154264"/>
    <w:rsid w:val="00154A4B"/>
    <w:rsid w:val="00155F6C"/>
    <w:rsid w:val="001563F0"/>
    <w:rsid w:val="0015656F"/>
    <w:rsid w:val="00157247"/>
    <w:rsid w:val="00157505"/>
    <w:rsid w:val="0015768E"/>
    <w:rsid w:val="00160099"/>
    <w:rsid w:val="0016069A"/>
    <w:rsid w:val="0016172B"/>
    <w:rsid w:val="001619A6"/>
    <w:rsid w:val="00161D1E"/>
    <w:rsid w:val="001651DB"/>
    <w:rsid w:val="0016582B"/>
    <w:rsid w:val="001665E0"/>
    <w:rsid w:val="0016684E"/>
    <w:rsid w:val="001708D7"/>
    <w:rsid w:val="00170D7E"/>
    <w:rsid w:val="0017106D"/>
    <w:rsid w:val="001727B3"/>
    <w:rsid w:val="001729B0"/>
    <w:rsid w:val="00172A9B"/>
    <w:rsid w:val="00173623"/>
    <w:rsid w:val="0017549D"/>
    <w:rsid w:val="00175803"/>
    <w:rsid w:val="0017594B"/>
    <w:rsid w:val="00177DE0"/>
    <w:rsid w:val="00183BB9"/>
    <w:rsid w:val="00183FF9"/>
    <w:rsid w:val="00184E26"/>
    <w:rsid w:val="00185A17"/>
    <w:rsid w:val="0018749B"/>
    <w:rsid w:val="00187F80"/>
    <w:rsid w:val="0019007C"/>
    <w:rsid w:val="001901E2"/>
    <w:rsid w:val="001905A7"/>
    <w:rsid w:val="00190E88"/>
    <w:rsid w:val="0019118C"/>
    <w:rsid w:val="00191A0A"/>
    <w:rsid w:val="001923E5"/>
    <w:rsid w:val="001944F5"/>
    <w:rsid w:val="00194760"/>
    <w:rsid w:val="001952F2"/>
    <w:rsid w:val="001961C1"/>
    <w:rsid w:val="001967F3"/>
    <w:rsid w:val="001A2289"/>
    <w:rsid w:val="001A57D6"/>
    <w:rsid w:val="001A5A5D"/>
    <w:rsid w:val="001A5D01"/>
    <w:rsid w:val="001A5DB7"/>
    <w:rsid w:val="001A6B90"/>
    <w:rsid w:val="001B2770"/>
    <w:rsid w:val="001B3AF0"/>
    <w:rsid w:val="001B5221"/>
    <w:rsid w:val="001B55C0"/>
    <w:rsid w:val="001B5953"/>
    <w:rsid w:val="001B77DE"/>
    <w:rsid w:val="001B7DC1"/>
    <w:rsid w:val="001C2281"/>
    <w:rsid w:val="001C2461"/>
    <w:rsid w:val="001C2CDF"/>
    <w:rsid w:val="001C3D32"/>
    <w:rsid w:val="001C3F9A"/>
    <w:rsid w:val="001C41FC"/>
    <w:rsid w:val="001C4968"/>
    <w:rsid w:val="001C5F0A"/>
    <w:rsid w:val="001C6CDD"/>
    <w:rsid w:val="001D0404"/>
    <w:rsid w:val="001D0BD6"/>
    <w:rsid w:val="001D1F23"/>
    <w:rsid w:val="001D22F6"/>
    <w:rsid w:val="001D324E"/>
    <w:rsid w:val="001D32C0"/>
    <w:rsid w:val="001D46D2"/>
    <w:rsid w:val="001D4EEB"/>
    <w:rsid w:val="001D5DE9"/>
    <w:rsid w:val="001D75B8"/>
    <w:rsid w:val="001D7FC9"/>
    <w:rsid w:val="001E0E62"/>
    <w:rsid w:val="001E0FA4"/>
    <w:rsid w:val="001E19B7"/>
    <w:rsid w:val="001E2C5E"/>
    <w:rsid w:val="001E3441"/>
    <w:rsid w:val="001E471B"/>
    <w:rsid w:val="001E48F0"/>
    <w:rsid w:val="001E55F7"/>
    <w:rsid w:val="001E5698"/>
    <w:rsid w:val="001E5E41"/>
    <w:rsid w:val="001E672B"/>
    <w:rsid w:val="001E6EC3"/>
    <w:rsid w:val="001E7844"/>
    <w:rsid w:val="001F2165"/>
    <w:rsid w:val="001F27B1"/>
    <w:rsid w:val="001F4A21"/>
    <w:rsid w:val="001F5E1D"/>
    <w:rsid w:val="001F6571"/>
    <w:rsid w:val="001F66B8"/>
    <w:rsid w:val="001F67A6"/>
    <w:rsid w:val="001F7383"/>
    <w:rsid w:val="001F7503"/>
    <w:rsid w:val="001F7620"/>
    <w:rsid w:val="001F7DCB"/>
    <w:rsid w:val="002001D8"/>
    <w:rsid w:val="00200827"/>
    <w:rsid w:val="00200C04"/>
    <w:rsid w:val="002012EE"/>
    <w:rsid w:val="0020200A"/>
    <w:rsid w:val="0020264B"/>
    <w:rsid w:val="00202C76"/>
    <w:rsid w:val="002031F1"/>
    <w:rsid w:val="00203FB8"/>
    <w:rsid w:val="00204094"/>
    <w:rsid w:val="002042F3"/>
    <w:rsid w:val="0020449B"/>
    <w:rsid w:val="002045EA"/>
    <w:rsid w:val="00204A41"/>
    <w:rsid w:val="00204E3F"/>
    <w:rsid w:val="002058E5"/>
    <w:rsid w:val="00205E52"/>
    <w:rsid w:val="00205F89"/>
    <w:rsid w:val="00206A8A"/>
    <w:rsid w:val="00206B31"/>
    <w:rsid w:val="00206E88"/>
    <w:rsid w:val="00206F25"/>
    <w:rsid w:val="00210A8F"/>
    <w:rsid w:val="00210AD4"/>
    <w:rsid w:val="00210CD8"/>
    <w:rsid w:val="0021127C"/>
    <w:rsid w:val="002113A6"/>
    <w:rsid w:val="00211951"/>
    <w:rsid w:val="00212AA6"/>
    <w:rsid w:val="00212FC4"/>
    <w:rsid w:val="002145D6"/>
    <w:rsid w:val="00214747"/>
    <w:rsid w:val="00215253"/>
    <w:rsid w:val="002166A5"/>
    <w:rsid w:val="00216CF6"/>
    <w:rsid w:val="002206EE"/>
    <w:rsid w:val="0022077C"/>
    <w:rsid w:val="00221B3F"/>
    <w:rsid w:val="00222143"/>
    <w:rsid w:val="002230DA"/>
    <w:rsid w:val="00224B17"/>
    <w:rsid w:val="00225CF5"/>
    <w:rsid w:val="00225E68"/>
    <w:rsid w:val="00227261"/>
    <w:rsid w:val="00227E3B"/>
    <w:rsid w:val="002300C0"/>
    <w:rsid w:val="00230419"/>
    <w:rsid w:val="00231F8C"/>
    <w:rsid w:val="00232656"/>
    <w:rsid w:val="00232FE8"/>
    <w:rsid w:val="002333CF"/>
    <w:rsid w:val="002347DC"/>
    <w:rsid w:val="00234827"/>
    <w:rsid w:val="00234B6F"/>
    <w:rsid w:val="00234F57"/>
    <w:rsid w:val="002360F6"/>
    <w:rsid w:val="00241555"/>
    <w:rsid w:val="00241A8A"/>
    <w:rsid w:val="0024215C"/>
    <w:rsid w:val="00242369"/>
    <w:rsid w:val="00242ADC"/>
    <w:rsid w:val="00242EC0"/>
    <w:rsid w:val="002445F8"/>
    <w:rsid w:val="00245AB8"/>
    <w:rsid w:val="00251BBC"/>
    <w:rsid w:val="0025212C"/>
    <w:rsid w:val="0025224D"/>
    <w:rsid w:val="00252FBB"/>
    <w:rsid w:val="00253C89"/>
    <w:rsid w:val="00254300"/>
    <w:rsid w:val="00257656"/>
    <w:rsid w:val="00257EFD"/>
    <w:rsid w:val="0026003F"/>
    <w:rsid w:val="00260211"/>
    <w:rsid w:val="0026073F"/>
    <w:rsid w:val="0026079F"/>
    <w:rsid w:val="0026080A"/>
    <w:rsid w:val="00260D8C"/>
    <w:rsid w:val="00261559"/>
    <w:rsid w:val="00262295"/>
    <w:rsid w:val="002624A2"/>
    <w:rsid w:val="00263B17"/>
    <w:rsid w:val="0026469B"/>
    <w:rsid w:val="00264BBA"/>
    <w:rsid w:val="00264BC2"/>
    <w:rsid w:val="0026646D"/>
    <w:rsid w:val="002666A3"/>
    <w:rsid w:val="002672A7"/>
    <w:rsid w:val="00267368"/>
    <w:rsid w:val="002702BF"/>
    <w:rsid w:val="0027038F"/>
    <w:rsid w:val="00270ABA"/>
    <w:rsid w:val="00270D7C"/>
    <w:rsid w:val="00271939"/>
    <w:rsid w:val="002723DA"/>
    <w:rsid w:val="002730EB"/>
    <w:rsid w:val="00273803"/>
    <w:rsid w:val="00273C3D"/>
    <w:rsid w:val="00273E3A"/>
    <w:rsid w:val="002744F6"/>
    <w:rsid w:val="00274A77"/>
    <w:rsid w:val="00274DCD"/>
    <w:rsid w:val="00275408"/>
    <w:rsid w:val="0027540A"/>
    <w:rsid w:val="00277BAE"/>
    <w:rsid w:val="00277EA6"/>
    <w:rsid w:val="00280311"/>
    <w:rsid w:val="0028069F"/>
    <w:rsid w:val="0028192C"/>
    <w:rsid w:val="002820A7"/>
    <w:rsid w:val="002821EC"/>
    <w:rsid w:val="00282FA6"/>
    <w:rsid w:val="002838CD"/>
    <w:rsid w:val="00284390"/>
    <w:rsid w:val="0028537F"/>
    <w:rsid w:val="00286166"/>
    <w:rsid w:val="00286284"/>
    <w:rsid w:val="0028652D"/>
    <w:rsid w:val="0028668A"/>
    <w:rsid w:val="00286B0C"/>
    <w:rsid w:val="00287D78"/>
    <w:rsid w:val="002901EC"/>
    <w:rsid w:val="002918F5"/>
    <w:rsid w:val="00293038"/>
    <w:rsid w:val="002944FB"/>
    <w:rsid w:val="002946CF"/>
    <w:rsid w:val="00295BEB"/>
    <w:rsid w:val="002966C6"/>
    <w:rsid w:val="00296A76"/>
    <w:rsid w:val="002973E0"/>
    <w:rsid w:val="002977E2"/>
    <w:rsid w:val="002A0771"/>
    <w:rsid w:val="002A07C6"/>
    <w:rsid w:val="002A0D0F"/>
    <w:rsid w:val="002A0F94"/>
    <w:rsid w:val="002A166D"/>
    <w:rsid w:val="002A18D4"/>
    <w:rsid w:val="002A36E0"/>
    <w:rsid w:val="002A6EAA"/>
    <w:rsid w:val="002A750C"/>
    <w:rsid w:val="002B08A7"/>
    <w:rsid w:val="002B0F6E"/>
    <w:rsid w:val="002B1832"/>
    <w:rsid w:val="002B1F59"/>
    <w:rsid w:val="002B2D44"/>
    <w:rsid w:val="002B2EC2"/>
    <w:rsid w:val="002B3F48"/>
    <w:rsid w:val="002B4247"/>
    <w:rsid w:val="002B4C33"/>
    <w:rsid w:val="002B4EE5"/>
    <w:rsid w:val="002B5133"/>
    <w:rsid w:val="002B56E5"/>
    <w:rsid w:val="002B5929"/>
    <w:rsid w:val="002B6172"/>
    <w:rsid w:val="002B65B2"/>
    <w:rsid w:val="002B71DB"/>
    <w:rsid w:val="002C025A"/>
    <w:rsid w:val="002C02AC"/>
    <w:rsid w:val="002C083D"/>
    <w:rsid w:val="002C086B"/>
    <w:rsid w:val="002C0E9C"/>
    <w:rsid w:val="002C3E52"/>
    <w:rsid w:val="002C44B7"/>
    <w:rsid w:val="002C4B54"/>
    <w:rsid w:val="002C644D"/>
    <w:rsid w:val="002C70A0"/>
    <w:rsid w:val="002C76C5"/>
    <w:rsid w:val="002C7796"/>
    <w:rsid w:val="002C7ABE"/>
    <w:rsid w:val="002C7F74"/>
    <w:rsid w:val="002D02B7"/>
    <w:rsid w:val="002D02E5"/>
    <w:rsid w:val="002D0636"/>
    <w:rsid w:val="002D103F"/>
    <w:rsid w:val="002D1234"/>
    <w:rsid w:val="002D1BFA"/>
    <w:rsid w:val="002D263F"/>
    <w:rsid w:val="002D2C1C"/>
    <w:rsid w:val="002D2D40"/>
    <w:rsid w:val="002D3105"/>
    <w:rsid w:val="002D35D5"/>
    <w:rsid w:val="002D3626"/>
    <w:rsid w:val="002D5008"/>
    <w:rsid w:val="002D6FFB"/>
    <w:rsid w:val="002D72D4"/>
    <w:rsid w:val="002D79D8"/>
    <w:rsid w:val="002D7D92"/>
    <w:rsid w:val="002E0982"/>
    <w:rsid w:val="002E190B"/>
    <w:rsid w:val="002E2117"/>
    <w:rsid w:val="002E2769"/>
    <w:rsid w:val="002E4C96"/>
    <w:rsid w:val="002E5116"/>
    <w:rsid w:val="002E5B7E"/>
    <w:rsid w:val="002E5ED0"/>
    <w:rsid w:val="002E68CF"/>
    <w:rsid w:val="002F09C2"/>
    <w:rsid w:val="002F1281"/>
    <w:rsid w:val="002F16DE"/>
    <w:rsid w:val="002F1BEF"/>
    <w:rsid w:val="002F2E22"/>
    <w:rsid w:val="002F41F8"/>
    <w:rsid w:val="002F43BF"/>
    <w:rsid w:val="002F4434"/>
    <w:rsid w:val="002F4905"/>
    <w:rsid w:val="002F540B"/>
    <w:rsid w:val="002F6045"/>
    <w:rsid w:val="002F69C5"/>
    <w:rsid w:val="002F6F27"/>
    <w:rsid w:val="00301B8F"/>
    <w:rsid w:val="00302A29"/>
    <w:rsid w:val="00302AE9"/>
    <w:rsid w:val="0030323C"/>
    <w:rsid w:val="00303B2C"/>
    <w:rsid w:val="0030445E"/>
    <w:rsid w:val="00304DCF"/>
    <w:rsid w:val="00304FB1"/>
    <w:rsid w:val="00306159"/>
    <w:rsid w:val="00307C36"/>
    <w:rsid w:val="0031121A"/>
    <w:rsid w:val="00311DA9"/>
    <w:rsid w:val="003120B9"/>
    <w:rsid w:val="0031274F"/>
    <w:rsid w:val="003129BB"/>
    <w:rsid w:val="003132FD"/>
    <w:rsid w:val="0031368C"/>
    <w:rsid w:val="00313B62"/>
    <w:rsid w:val="00314F41"/>
    <w:rsid w:val="00315D04"/>
    <w:rsid w:val="00316008"/>
    <w:rsid w:val="00316167"/>
    <w:rsid w:val="00316D1F"/>
    <w:rsid w:val="003177C9"/>
    <w:rsid w:val="00317B22"/>
    <w:rsid w:val="00317D57"/>
    <w:rsid w:val="00321B67"/>
    <w:rsid w:val="00322341"/>
    <w:rsid w:val="00323CE0"/>
    <w:rsid w:val="0032404F"/>
    <w:rsid w:val="00324F2A"/>
    <w:rsid w:val="0032536C"/>
    <w:rsid w:val="00326691"/>
    <w:rsid w:val="00326DDC"/>
    <w:rsid w:val="003275E4"/>
    <w:rsid w:val="00330016"/>
    <w:rsid w:val="003304D4"/>
    <w:rsid w:val="003308FA"/>
    <w:rsid w:val="0033290B"/>
    <w:rsid w:val="00332E87"/>
    <w:rsid w:val="00333426"/>
    <w:rsid w:val="00333B3C"/>
    <w:rsid w:val="0033478B"/>
    <w:rsid w:val="00335325"/>
    <w:rsid w:val="00335880"/>
    <w:rsid w:val="00335A84"/>
    <w:rsid w:val="003364AB"/>
    <w:rsid w:val="00336823"/>
    <w:rsid w:val="00336D5E"/>
    <w:rsid w:val="00337483"/>
    <w:rsid w:val="00337553"/>
    <w:rsid w:val="0033764B"/>
    <w:rsid w:val="00337696"/>
    <w:rsid w:val="003422E4"/>
    <w:rsid w:val="003432DA"/>
    <w:rsid w:val="003447DA"/>
    <w:rsid w:val="00344AB4"/>
    <w:rsid w:val="003450C3"/>
    <w:rsid w:val="0034520F"/>
    <w:rsid w:val="00345449"/>
    <w:rsid w:val="00347D60"/>
    <w:rsid w:val="00350196"/>
    <w:rsid w:val="00350ADF"/>
    <w:rsid w:val="003514AF"/>
    <w:rsid w:val="0035227D"/>
    <w:rsid w:val="003545A1"/>
    <w:rsid w:val="00355AF5"/>
    <w:rsid w:val="00355F45"/>
    <w:rsid w:val="00356739"/>
    <w:rsid w:val="00356C80"/>
    <w:rsid w:val="00356CC3"/>
    <w:rsid w:val="0035703A"/>
    <w:rsid w:val="003579D9"/>
    <w:rsid w:val="0036024E"/>
    <w:rsid w:val="003606F4"/>
    <w:rsid w:val="00362256"/>
    <w:rsid w:val="00362D8F"/>
    <w:rsid w:val="003638EB"/>
    <w:rsid w:val="00363F72"/>
    <w:rsid w:val="0036488D"/>
    <w:rsid w:val="00365E6B"/>
    <w:rsid w:val="00366F20"/>
    <w:rsid w:val="003671A9"/>
    <w:rsid w:val="00367A28"/>
    <w:rsid w:val="00367D44"/>
    <w:rsid w:val="00370C1B"/>
    <w:rsid w:val="003718BF"/>
    <w:rsid w:val="00372136"/>
    <w:rsid w:val="003725E8"/>
    <w:rsid w:val="00372F56"/>
    <w:rsid w:val="0037371A"/>
    <w:rsid w:val="003764E2"/>
    <w:rsid w:val="00377EAF"/>
    <w:rsid w:val="00381985"/>
    <w:rsid w:val="00382308"/>
    <w:rsid w:val="00382325"/>
    <w:rsid w:val="00382AE5"/>
    <w:rsid w:val="00383244"/>
    <w:rsid w:val="00383C4B"/>
    <w:rsid w:val="00383D46"/>
    <w:rsid w:val="00383F3F"/>
    <w:rsid w:val="00384829"/>
    <w:rsid w:val="00384F15"/>
    <w:rsid w:val="003859AC"/>
    <w:rsid w:val="0038633D"/>
    <w:rsid w:val="00386579"/>
    <w:rsid w:val="0038782C"/>
    <w:rsid w:val="00390736"/>
    <w:rsid w:val="00391866"/>
    <w:rsid w:val="00392245"/>
    <w:rsid w:val="00392AFE"/>
    <w:rsid w:val="00392BFB"/>
    <w:rsid w:val="00393221"/>
    <w:rsid w:val="00393344"/>
    <w:rsid w:val="003939C7"/>
    <w:rsid w:val="0039454E"/>
    <w:rsid w:val="00394A77"/>
    <w:rsid w:val="00394F95"/>
    <w:rsid w:val="0039648B"/>
    <w:rsid w:val="00397165"/>
    <w:rsid w:val="003A010A"/>
    <w:rsid w:val="003A02B5"/>
    <w:rsid w:val="003A135E"/>
    <w:rsid w:val="003A1AAA"/>
    <w:rsid w:val="003A233F"/>
    <w:rsid w:val="003A3130"/>
    <w:rsid w:val="003A5BEE"/>
    <w:rsid w:val="003A5E64"/>
    <w:rsid w:val="003A69FE"/>
    <w:rsid w:val="003A6D5B"/>
    <w:rsid w:val="003A6DEC"/>
    <w:rsid w:val="003A6E95"/>
    <w:rsid w:val="003A746F"/>
    <w:rsid w:val="003A7BD9"/>
    <w:rsid w:val="003B19A0"/>
    <w:rsid w:val="003B2037"/>
    <w:rsid w:val="003B219E"/>
    <w:rsid w:val="003B272A"/>
    <w:rsid w:val="003B2C3E"/>
    <w:rsid w:val="003B3BFF"/>
    <w:rsid w:val="003B3D6B"/>
    <w:rsid w:val="003B3DE4"/>
    <w:rsid w:val="003B46D6"/>
    <w:rsid w:val="003B48F9"/>
    <w:rsid w:val="003B5F51"/>
    <w:rsid w:val="003C014A"/>
    <w:rsid w:val="003C05C1"/>
    <w:rsid w:val="003C19DA"/>
    <w:rsid w:val="003C1C1E"/>
    <w:rsid w:val="003C1E7A"/>
    <w:rsid w:val="003C2968"/>
    <w:rsid w:val="003C2BBA"/>
    <w:rsid w:val="003C507C"/>
    <w:rsid w:val="003C615F"/>
    <w:rsid w:val="003C61F4"/>
    <w:rsid w:val="003C7032"/>
    <w:rsid w:val="003C783B"/>
    <w:rsid w:val="003C792B"/>
    <w:rsid w:val="003D0253"/>
    <w:rsid w:val="003D105D"/>
    <w:rsid w:val="003D1F77"/>
    <w:rsid w:val="003D21DD"/>
    <w:rsid w:val="003D285D"/>
    <w:rsid w:val="003D5242"/>
    <w:rsid w:val="003D5986"/>
    <w:rsid w:val="003D60AA"/>
    <w:rsid w:val="003D6803"/>
    <w:rsid w:val="003D6DE5"/>
    <w:rsid w:val="003E083B"/>
    <w:rsid w:val="003E0A90"/>
    <w:rsid w:val="003E1297"/>
    <w:rsid w:val="003E25DA"/>
    <w:rsid w:val="003E2BD9"/>
    <w:rsid w:val="003E2D2F"/>
    <w:rsid w:val="003E3A26"/>
    <w:rsid w:val="003E3A51"/>
    <w:rsid w:val="003E46AA"/>
    <w:rsid w:val="003E54F7"/>
    <w:rsid w:val="003E6411"/>
    <w:rsid w:val="003E75D5"/>
    <w:rsid w:val="003E78DD"/>
    <w:rsid w:val="003F0383"/>
    <w:rsid w:val="003F0C44"/>
    <w:rsid w:val="003F21DE"/>
    <w:rsid w:val="003F42C3"/>
    <w:rsid w:val="003F4E17"/>
    <w:rsid w:val="003F58C4"/>
    <w:rsid w:val="003F5EAC"/>
    <w:rsid w:val="003F6B73"/>
    <w:rsid w:val="003F7B77"/>
    <w:rsid w:val="0040025A"/>
    <w:rsid w:val="00401180"/>
    <w:rsid w:val="0040149F"/>
    <w:rsid w:val="00401AEE"/>
    <w:rsid w:val="00401C9D"/>
    <w:rsid w:val="004032B0"/>
    <w:rsid w:val="00403B88"/>
    <w:rsid w:val="00406A51"/>
    <w:rsid w:val="00406D05"/>
    <w:rsid w:val="00407ACA"/>
    <w:rsid w:val="004104D4"/>
    <w:rsid w:val="00410F99"/>
    <w:rsid w:val="00411397"/>
    <w:rsid w:val="00411BA5"/>
    <w:rsid w:val="0041289E"/>
    <w:rsid w:val="00413BBE"/>
    <w:rsid w:val="00414341"/>
    <w:rsid w:val="004153E1"/>
    <w:rsid w:val="00415B72"/>
    <w:rsid w:val="00415F84"/>
    <w:rsid w:val="00416209"/>
    <w:rsid w:val="0041681C"/>
    <w:rsid w:val="00416917"/>
    <w:rsid w:val="00416BF4"/>
    <w:rsid w:val="00417CD4"/>
    <w:rsid w:val="00420B16"/>
    <w:rsid w:val="004210E3"/>
    <w:rsid w:val="00422593"/>
    <w:rsid w:val="00422CC1"/>
    <w:rsid w:val="004237CB"/>
    <w:rsid w:val="004264F8"/>
    <w:rsid w:val="0042651E"/>
    <w:rsid w:val="00426B7F"/>
    <w:rsid w:val="00427EAC"/>
    <w:rsid w:val="004304C9"/>
    <w:rsid w:val="004323A1"/>
    <w:rsid w:val="00433A24"/>
    <w:rsid w:val="0043483A"/>
    <w:rsid w:val="00434A34"/>
    <w:rsid w:val="004359DE"/>
    <w:rsid w:val="00435CE2"/>
    <w:rsid w:val="00436AC4"/>
    <w:rsid w:val="00440428"/>
    <w:rsid w:val="00440645"/>
    <w:rsid w:val="00440F2A"/>
    <w:rsid w:val="00440F51"/>
    <w:rsid w:val="00441E06"/>
    <w:rsid w:val="00441EF2"/>
    <w:rsid w:val="00442642"/>
    <w:rsid w:val="004430D0"/>
    <w:rsid w:val="00443174"/>
    <w:rsid w:val="00444014"/>
    <w:rsid w:val="00444B5B"/>
    <w:rsid w:val="00445B03"/>
    <w:rsid w:val="00447F76"/>
    <w:rsid w:val="00450507"/>
    <w:rsid w:val="0045120D"/>
    <w:rsid w:val="004512F1"/>
    <w:rsid w:val="00451BD4"/>
    <w:rsid w:val="00453B12"/>
    <w:rsid w:val="00453B40"/>
    <w:rsid w:val="00453C66"/>
    <w:rsid w:val="00454250"/>
    <w:rsid w:val="00454722"/>
    <w:rsid w:val="00454EE0"/>
    <w:rsid w:val="00455C1B"/>
    <w:rsid w:val="00455CB0"/>
    <w:rsid w:val="004561C3"/>
    <w:rsid w:val="004575AB"/>
    <w:rsid w:val="00460F1B"/>
    <w:rsid w:val="004613E1"/>
    <w:rsid w:val="00462624"/>
    <w:rsid w:val="00464044"/>
    <w:rsid w:val="004641AB"/>
    <w:rsid w:val="00464E52"/>
    <w:rsid w:val="004654F3"/>
    <w:rsid w:val="00466701"/>
    <w:rsid w:val="004674B3"/>
    <w:rsid w:val="0047056A"/>
    <w:rsid w:val="004705A9"/>
    <w:rsid w:val="00470A25"/>
    <w:rsid w:val="004759AF"/>
    <w:rsid w:val="00476622"/>
    <w:rsid w:val="00477F1D"/>
    <w:rsid w:val="00480521"/>
    <w:rsid w:val="0048054A"/>
    <w:rsid w:val="00480965"/>
    <w:rsid w:val="00480D81"/>
    <w:rsid w:val="00481033"/>
    <w:rsid w:val="004812B7"/>
    <w:rsid w:val="004814F7"/>
    <w:rsid w:val="00481C3A"/>
    <w:rsid w:val="00481FC8"/>
    <w:rsid w:val="004841A4"/>
    <w:rsid w:val="00484713"/>
    <w:rsid w:val="004865BE"/>
    <w:rsid w:val="00487705"/>
    <w:rsid w:val="00487C64"/>
    <w:rsid w:val="00491865"/>
    <w:rsid w:val="00491AD9"/>
    <w:rsid w:val="00492B4A"/>
    <w:rsid w:val="00493270"/>
    <w:rsid w:val="00493959"/>
    <w:rsid w:val="004949E4"/>
    <w:rsid w:val="00494FD2"/>
    <w:rsid w:val="004978DD"/>
    <w:rsid w:val="004A0E70"/>
    <w:rsid w:val="004A1CD6"/>
    <w:rsid w:val="004A1DB1"/>
    <w:rsid w:val="004A3438"/>
    <w:rsid w:val="004A354B"/>
    <w:rsid w:val="004A3D9E"/>
    <w:rsid w:val="004A3EFF"/>
    <w:rsid w:val="004A419F"/>
    <w:rsid w:val="004A434D"/>
    <w:rsid w:val="004A599C"/>
    <w:rsid w:val="004A59A9"/>
    <w:rsid w:val="004A5FF6"/>
    <w:rsid w:val="004A63E6"/>
    <w:rsid w:val="004A6BC1"/>
    <w:rsid w:val="004A74A8"/>
    <w:rsid w:val="004B08A2"/>
    <w:rsid w:val="004B1850"/>
    <w:rsid w:val="004B1EA9"/>
    <w:rsid w:val="004B2559"/>
    <w:rsid w:val="004B2BA2"/>
    <w:rsid w:val="004B3095"/>
    <w:rsid w:val="004B3432"/>
    <w:rsid w:val="004B37C8"/>
    <w:rsid w:val="004B3992"/>
    <w:rsid w:val="004B3E83"/>
    <w:rsid w:val="004B4C47"/>
    <w:rsid w:val="004B5A82"/>
    <w:rsid w:val="004B5BE2"/>
    <w:rsid w:val="004B6403"/>
    <w:rsid w:val="004B66AB"/>
    <w:rsid w:val="004B70DB"/>
    <w:rsid w:val="004C0DD1"/>
    <w:rsid w:val="004C126F"/>
    <w:rsid w:val="004C148E"/>
    <w:rsid w:val="004C1807"/>
    <w:rsid w:val="004C1F60"/>
    <w:rsid w:val="004C207A"/>
    <w:rsid w:val="004C390D"/>
    <w:rsid w:val="004C42FA"/>
    <w:rsid w:val="004C430B"/>
    <w:rsid w:val="004C47A4"/>
    <w:rsid w:val="004C6BD2"/>
    <w:rsid w:val="004D008A"/>
    <w:rsid w:val="004D0E47"/>
    <w:rsid w:val="004D163E"/>
    <w:rsid w:val="004D1A17"/>
    <w:rsid w:val="004D1E2F"/>
    <w:rsid w:val="004D26C5"/>
    <w:rsid w:val="004D2F94"/>
    <w:rsid w:val="004D4344"/>
    <w:rsid w:val="004D478F"/>
    <w:rsid w:val="004D51D9"/>
    <w:rsid w:val="004D7F08"/>
    <w:rsid w:val="004E2634"/>
    <w:rsid w:val="004E2687"/>
    <w:rsid w:val="004E2CD9"/>
    <w:rsid w:val="004E2F76"/>
    <w:rsid w:val="004E3225"/>
    <w:rsid w:val="004E4E49"/>
    <w:rsid w:val="004E5940"/>
    <w:rsid w:val="004E600B"/>
    <w:rsid w:val="004E6C18"/>
    <w:rsid w:val="004E6EC3"/>
    <w:rsid w:val="004F0A9B"/>
    <w:rsid w:val="004F0F49"/>
    <w:rsid w:val="004F16FC"/>
    <w:rsid w:val="004F17FB"/>
    <w:rsid w:val="004F248E"/>
    <w:rsid w:val="004F252B"/>
    <w:rsid w:val="004F2825"/>
    <w:rsid w:val="004F2F99"/>
    <w:rsid w:val="004F3238"/>
    <w:rsid w:val="004F51A7"/>
    <w:rsid w:val="004F5785"/>
    <w:rsid w:val="004F6504"/>
    <w:rsid w:val="004F7C0B"/>
    <w:rsid w:val="00500B33"/>
    <w:rsid w:val="00501356"/>
    <w:rsid w:val="00501A79"/>
    <w:rsid w:val="00503415"/>
    <w:rsid w:val="00503928"/>
    <w:rsid w:val="00503BCC"/>
    <w:rsid w:val="005044D1"/>
    <w:rsid w:val="00504B89"/>
    <w:rsid w:val="00505F90"/>
    <w:rsid w:val="005060E7"/>
    <w:rsid w:val="0050613C"/>
    <w:rsid w:val="005066F8"/>
    <w:rsid w:val="00506A6D"/>
    <w:rsid w:val="00507F51"/>
    <w:rsid w:val="00510A92"/>
    <w:rsid w:val="00510B49"/>
    <w:rsid w:val="00511B7F"/>
    <w:rsid w:val="005132AD"/>
    <w:rsid w:val="005134B9"/>
    <w:rsid w:val="0051355A"/>
    <w:rsid w:val="00514282"/>
    <w:rsid w:val="005144AC"/>
    <w:rsid w:val="005145DC"/>
    <w:rsid w:val="005150BF"/>
    <w:rsid w:val="00515AFD"/>
    <w:rsid w:val="00516059"/>
    <w:rsid w:val="00516159"/>
    <w:rsid w:val="0051674F"/>
    <w:rsid w:val="0052031E"/>
    <w:rsid w:val="005204A7"/>
    <w:rsid w:val="0052117C"/>
    <w:rsid w:val="00521429"/>
    <w:rsid w:val="0052149B"/>
    <w:rsid w:val="0052229B"/>
    <w:rsid w:val="00522C89"/>
    <w:rsid w:val="00523008"/>
    <w:rsid w:val="00523047"/>
    <w:rsid w:val="0052356B"/>
    <w:rsid w:val="005238B9"/>
    <w:rsid w:val="00523BAB"/>
    <w:rsid w:val="00523E49"/>
    <w:rsid w:val="005246DA"/>
    <w:rsid w:val="00524CCB"/>
    <w:rsid w:val="00524EF8"/>
    <w:rsid w:val="00525643"/>
    <w:rsid w:val="00527045"/>
    <w:rsid w:val="00527113"/>
    <w:rsid w:val="0053070A"/>
    <w:rsid w:val="00531765"/>
    <w:rsid w:val="0053217F"/>
    <w:rsid w:val="00532E33"/>
    <w:rsid w:val="00532F94"/>
    <w:rsid w:val="0053314C"/>
    <w:rsid w:val="00533416"/>
    <w:rsid w:val="00533756"/>
    <w:rsid w:val="00535AE9"/>
    <w:rsid w:val="005360AF"/>
    <w:rsid w:val="005368AC"/>
    <w:rsid w:val="00540E14"/>
    <w:rsid w:val="00540E47"/>
    <w:rsid w:val="005419C3"/>
    <w:rsid w:val="00541C2C"/>
    <w:rsid w:val="00541F7C"/>
    <w:rsid w:val="0054306F"/>
    <w:rsid w:val="0054331B"/>
    <w:rsid w:val="0055041F"/>
    <w:rsid w:val="00550619"/>
    <w:rsid w:val="00552469"/>
    <w:rsid w:val="00552BB0"/>
    <w:rsid w:val="00553256"/>
    <w:rsid w:val="005532F2"/>
    <w:rsid w:val="005536F1"/>
    <w:rsid w:val="00553A6A"/>
    <w:rsid w:val="005540ED"/>
    <w:rsid w:val="0055469F"/>
    <w:rsid w:val="00554702"/>
    <w:rsid w:val="005554E7"/>
    <w:rsid w:val="00556894"/>
    <w:rsid w:val="00557151"/>
    <w:rsid w:val="00557992"/>
    <w:rsid w:val="00561DE6"/>
    <w:rsid w:val="00562050"/>
    <w:rsid w:val="00563D30"/>
    <w:rsid w:val="00565C45"/>
    <w:rsid w:val="00565DEF"/>
    <w:rsid w:val="005662BD"/>
    <w:rsid w:val="005664AC"/>
    <w:rsid w:val="00566881"/>
    <w:rsid w:val="00567846"/>
    <w:rsid w:val="0057158A"/>
    <w:rsid w:val="005715E9"/>
    <w:rsid w:val="00572033"/>
    <w:rsid w:val="0057253A"/>
    <w:rsid w:val="0057286B"/>
    <w:rsid w:val="00573315"/>
    <w:rsid w:val="00573C68"/>
    <w:rsid w:val="005767FA"/>
    <w:rsid w:val="00577116"/>
    <w:rsid w:val="00582DDC"/>
    <w:rsid w:val="00584E5B"/>
    <w:rsid w:val="005852F0"/>
    <w:rsid w:val="00585A9F"/>
    <w:rsid w:val="00586EA4"/>
    <w:rsid w:val="0058734F"/>
    <w:rsid w:val="00587562"/>
    <w:rsid w:val="00587BD2"/>
    <w:rsid w:val="00590FF7"/>
    <w:rsid w:val="005913FC"/>
    <w:rsid w:val="0059224F"/>
    <w:rsid w:val="00592677"/>
    <w:rsid w:val="0059437E"/>
    <w:rsid w:val="005948B5"/>
    <w:rsid w:val="0059490D"/>
    <w:rsid w:val="00594C67"/>
    <w:rsid w:val="00594D60"/>
    <w:rsid w:val="00594D97"/>
    <w:rsid w:val="00595A9C"/>
    <w:rsid w:val="0059755E"/>
    <w:rsid w:val="005A09E2"/>
    <w:rsid w:val="005A0F8E"/>
    <w:rsid w:val="005A18EC"/>
    <w:rsid w:val="005A27C5"/>
    <w:rsid w:val="005A32CF"/>
    <w:rsid w:val="005A34E7"/>
    <w:rsid w:val="005A3D70"/>
    <w:rsid w:val="005A4CB5"/>
    <w:rsid w:val="005A4E90"/>
    <w:rsid w:val="005A5224"/>
    <w:rsid w:val="005A7096"/>
    <w:rsid w:val="005B014C"/>
    <w:rsid w:val="005B0E1A"/>
    <w:rsid w:val="005B13B7"/>
    <w:rsid w:val="005B28AA"/>
    <w:rsid w:val="005B4709"/>
    <w:rsid w:val="005B5B81"/>
    <w:rsid w:val="005B6066"/>
    <w:rsid w:val="005B6243"/>
    <w:rsid w:val="005B6247"/>
    <w:rsid w:val="005B6404"/>
    <w:rsid w:val="005B6448"/>
    <w:rsid w:val="005B6783"/>
    <w:rsid w:val="005B67A5"/>
    <w:rsid w:val="005B6A02"/>
    <w:rsid w:val="005C1A08"/>
    <w:rsid w:val="005C2273"/>
    <w:rsid w:val="005C28CD"/>
    <w:rsid w:val="005C3BAB"/>
    <w:rsid w:val="005C402C"/>
    <w:rsid w:val="005C40B7"/>
    <w:rsid w:val="005C440A"/>
    <w:rsid w:val="005C445C"/>
    <w:rsid w:val="005C4817"/>
    <w:rsid w:val="005C63C2"/>
    <w:rsid w:val="005D040A"/>
    <w:rsid w:val="005D1A71"/>
    <w:rsid w:val="005D2033"/>
    <w:rsid w:val="005D2688"/>
    <w:rsid w:val="005D371B"/>
    <w:rsid w:val="005D3818"/>
    <w:rsid w:val="005D5EA6"/>
    <w:rsid w:val="005D62B7"/>
    <w:rsid w:val="005D64A0"/>
    <w:rsid w:val="005D6B69"/>
    <w:rsid w:val="005D6CA9"/>
    <w:rsid w:val="005E3844"/>
    <w:rsid w:val="005E3AF0"/>
    <w:rsid w:val="005E402A"/>
    <w:rsid w:val="005E5D0E"/>
    <w:rsid w:val="005E64E5"/>
    <w:rsid w:val="005E6F4F"/>
    <w:rsid w:val="005E7418"/>
    <w:rsid w:val="005E7537"/>
    <w:rsid w:val="005E754F"/>
    <w:rsid w:val="005E7F72"/>
    <w:rsid w:val="005F010C"/>
    <w:rsid w:val="005F1740"/>
    <w:rsid w:val="005F41E9"/>
    <w:rsid w:val="005F4A08"/>
    <w:rsid w:val="005F4F9D"/>
    <w:rsid w:val="005F6F68"/>
    <w:rsid w:val="005F7432"/>
    <w:rsid w:val="00600126"/>
    <w:rsid w:val="0060035E"/>
    <w:rsid w:val="0060184E"/>
    <w:rsid w:val="006023EB"/>
    <w:rsid w:val="0060269A"/>
    <w:rsid w:val="00602CBA"/>
    <w:rsid w:val="00604736"/>
    <w:rsid w:val="00605EE4"/>
    <w:rsid w:val="00606477"/>
    <w:rsid w:val="00606771"/>
    <w:rsid w:val="00606FFB"/>
    <w:rsid w:val="00607328"/>
    <w:rsid w:val="00612847"/>
    <w:rsid w:val="00612B65"/>
    <w:rsid w:val="00613647"/>
    <w:rsid w:val="00613C9F"/>
    <w:rsid w:val="00613EA3"/>
    <w:rsid w:val="00617FE0"/>
    <w:rsid w:val="00620C3B"/>
    <w:rsid w:val="00621123"/>
    <w:rsid w:val="0062122A"/>
    <w:rsid w:val="00622884"/>
    <w:rsid w:val="0062429A"/>
    <w:rsid w:val="006243AD"/>
    <w:rsid w:val="00625C7A"/>
    <w:rsid w:val="0062607C"/>
    <w:rsid w:val="00626CAB"/>
    <w:rsid w:val="00626E7B"/>
    <w:rsid w:val="00627D58"/>
    <w:rsid w:val="00630394"/>
    <w:rsid w:val="00630523"/>
    <w:rsid w:val="00632633"/>
    <w:rsid w:val="006337A0"/>
    <w:rsid w:val="00634644"/>
    <w:rsid w:val="00634DD8"/>
    <w:rsid w:val="00635130"/>
    <w:rsid w:val="00636972"/>
    <w:rsid w:val="00636CDE"/>
    <w:rsid w:val="0063753E"/>
    <w:rsid w:val="00637795"/>
    <w:rsid w:val="006422BC"/>
    <w:rsid w:val="006435FE"/>
    <w:rsid w:val="0064435D"/>
    <w:rsid w:val="006459CE"/>
    <w:rsid w:val="00645C42"/>
    <w:rsid w:val="00645D0F"/>
    <w:rsid w:val="00647188"/>
    <w:rsid w:val="006473A4"/>
    <w:rsid w:val="0064782C"/>
    <w:rsid w:val="00647F1E"/>
    <w:rsid w:val="00651924"/>
    <w:rsid w:val="00653A24"/>
    <w:rsid w:val="00653B28"/>
    <w:rsid w:val="0065411F"/>
    <w:rsid w:val="006558DF"/>
    <w:rsid w:val="00655A11"/>
    <w:rsid w:val="00655E32"/>
    <w:rsid w:val="00656D33"/>
    <w:rsid w:val="00660530"/>
    <w:rsid w:val="00660EA7"/>
    <w:rsid w:val="00660F63"/>
    <w:rsid w:val="00661DAD"/>
    <w:rsid w:val="00662AE5"/>
    <w:rsid w:val="006638F0"/>
    <w:rsid w:val="00665250"/>
    <w:rsid w:val="00666396"/>
    <w:rsid w:val="006666CC"/>
    <w:rsid w:val="0066672F"/>
    <w:rsid w:val="006673A6"/>
    <w:rsid w:val="00671653"/>
    <w:rsid w:val="0067220C"/>
    <w:rsid w:val="006723AD"/>
    <w:rsid w:val="00672B01"/>
    <w:rsid w:val="00674435"/>
    <w:rsid w:val="006760B2"/>
    <w:rsid w:val="006761FD"/>
    <w:rsid w:val="00676CEB"/>
    <w:rsid w:val="00676DF1"/>
    <w:rsid w:val="00677CE6"/>
    <w:rsid w:val="006808A0"/>
    <w:rsid w:val="0068148F"/>
    <w:rsid w:val="00681563"/>
    <w:rsid w:val="00681CC0"/>
    <w:rsid w:val="00682A73"/>
    <w:rsid w:val="00682AD9"/>
    <w:rsid w:val="00683A5C"/>
    <w:rsid w:val="00683BD3"/>
    <w:rsid w:val="00683C87"/>
    <w:rsid w:val="00686066"/>
    <w:rsid w:val="00686F91"/>
    <w:rsid w:val="00687148"/>
    <w:rsid w:val="00687C33"/>
    <w:rsid w:val="006901A6"/>
    <w:rsid w:val="0069033B"/>
    <w:rsid w:val="00690342"/>
    <w:rsid w:val="00693D7B"/>
    <w:rsid w:val="00693E5C"/>
    <w:rsid w:val="006953FB"/>
    <w:rsid w:val="00696E37"/>
    <w:rsid w:val="00697465"/>
    <w:rsid w:val="00697840"/>
    <w:rsid w:val="00697A40"/>
    <w:rsid w:val="006A39D3"/>
    <w:rsid w:val="006A3CD8"/>
    <w:rsid w:val="006A6125"/>
    <w:rsid w:val="006A7C44"/>
    <w:rsid w:val="006B05E2"/>
    <w:rsid w:val="006B1F28"/>
    <w:rsid w:val="006B2E5B"/>
    <w:rsid w:val="006B2ECD"/>
    <w:rsid w:val="006B41DF"/>
    <w:rsid w:val="006B4477"/>
    <w:rsid w:val="006B456E"/>
    <w:rsid w:val="006B472A"/>
    <w:rsid w:val="006B4B8D"/>
    <w:rsid w:val="006B501D"/>
    <w:rsid w:val="006B5510"/>
    <w:rsid w:val="006B5756"/>
    <w:rsid w:val="006B65AD"/>
    <w:rsid w:val="006B79FA"/>
    <w:rsid w:val="006B79FF"/>
    <w:rsid w:val="006B7B71"/>
    <w:rsid w:val="006C1B60"/>
    <w:rsid w:val="006C2FB7"/>
    <w:rsid w:val="006C3180"/>
    <w:rsid w:val="006C335B"/>
    <w:rsid w:val="006C5BE8"/>
    <w:rsid w:val="006C5DE0"/>
    <w:rsid w:val="006D047A"/>
    <w:rsid w:val="006D103E"/>
    <w:rsid w:val="006D1329"/>
    <w:rsid w:val="006D1591"/>
    <w:rsid w:val="006D1915"/>
    <w:rsid w:val="006D1D54"/>
    <w:rsid w:val="006D215B"/>
    <w:rsid w:val="006D24EA"/>
    <w:rsid w:val="006D355E"/>
    <w:rsid w:val="006D7B8D"/>
    <w:rsid w:val="006E1AC4"/>
    <w:rsid w:val="006E1CD4"/>
    <w:rsid w:val="006E1DEC"/>
    <w:rsid w:val="006E2BCD"/>
    <w:rsid w:val="006E44E6"/>
    <w:rsid w:val="006E5344"/>
    <w:rsid w:val="006E5CB1"/>
    <w:rsid w:val="006E6491"/>
    <w:rsid w:val="006E65CC"/>
    <w:rsid w:val="006F08B7"/>
    <w:rsid w:val="006F0E00"/>
    <w:rsid w:val="006F1D54"/>
    <w:rsid w:val="006F208A"/>
    <w:rsid w:val="006F2373"/>
    <w:rsid w:val="006F2DA0"/>
    <w:rsid w:val="006F3D7B"/>
    <w:rsid w:val="006F4619"/>
    <w:rsid w:val="006F56AC"/>
    <w:rsid w:val="006F5997"/>
    <w:rsid w:val="006F63C5"/>
    <w:rsid w:val="006F65B1"/>
    <w:rsid w:val="006F6EAE"/>
    <w:rsid w:val="00701058"/>
    <w:rsid w:val="00705F05"/>
    <w:rsid w:val="00707E40"/>
    <w:rsid w:val="007100C0"/>
    <w:rsid w:val="00710415"/>
    <w:rsid w:val="007118D8"/>
    <w:rsid w:val="007137F8"/>
    <w:rsid w:val="00714C52"/>
    <w:rsid w:val="00714F77"/>
    <w:rsid w:val="007158F6"/>
    <w:rsid w:val="00715C8F"/>
    <w:rsid w:val="007175CF"/>
    <w:rsid w:val="00717F88"/>
    <w:rsid w:val="00720549"/>
    <w:rsid w:val="00720749"/>
    <w:rsid w:val="00720A46"/>
    <w:rsid w:val="00720B86"/>
    <w:rsid w:val="00725546"/>
    <w:rsid w:val="00727644"/>
    <w:rsid w:val="00727D78"/>
    <w:rsid w:val="007302BE"/>
    <w:rsid w:val="007303B2"/>
    <w:rsid w:val="007303EE"/>
    <w:rsid w:val="0073244C"/>
    <w:rsid w:val="00732AF1"/>
    <w:rsid w:val="00732B53"/>
    <w:rsid w:val="0073346D"/>
    <w:rsid w:val="007339E9"/>
    <w:rsid w:val="00734270"/>
    <w:rsid w:val="0073566B"/>
    <w:rsid w:val="007376A4"/>
    <w:rsid w:val="007407D1"/>
    <w:rsid w:val="00740B5D"/>
    <w:rsid w:val="00740C9F"/>
    <w:rsid w:val="007414D7"/>
    <w:rsid w:val="00742CB1"/>
    <w:rsid w:val="00742CBD"/>
    <w:rsid w:val="007441C0"/>
    <w:rsid w:val="007467F8"/>
    <w:rsid w:val="00750063"/>
    <w:rsid w:val="00751C5F"/>
    <w:rsid w:val="007539C5"/>
    <w:rsid w:val="00753D49"/>
    <w:rsid w:val="007559CB"/>
    <w:rsid w:val="00756424"/>
    <w:rsid w:val="00756A14"/>
    <w:rsid w:val="007570F8"/>
    <w:rsid w:val="00757E71"/>
    <w:rsid w:val="0076094B"/>
    <w:rsid w:val="00760A06"/>
    <w:rsid w:val="0076167F"/>
    <w:rsid w:val="0076229C"/>
    <w:rsid w:val="00766F2D"/>
    <w:rsid w:val="00767112"/>
    <w:rsid w:val="00767A6B"/>
    <w:rsid w:val="00767C88"/>
    <w:rsid w:val="00771654"/>
    <w:rsid w:val="0077176C"/>
    <w:rsid w:val="0077196C"/>
    <w:rsid w:val="007751D8"/>
    <w:rsid w:val="00775AC7"/>
    <w:rsid w:val="00775B6E"/>
    <w:rsid w:val="007760DA"/>
    <w:rsid w:val="00776A0F"/>
    <w:rsid w:val="00781B07"/>
    <w:rsid w:val="00782A58"/>
    <w:rsid w:val="00783C37"/>
    <w:rsid w:val="00784045"/>
    <w:rsid w:val="00784398"/>
    <w:rsid w:val="0078501D"/>
    <w:rsid w:val="00785D32"/>
    <w:rsid w:val="00787412"/>
    <w:rsid w:val="007876BD"/>
    <w:rsid w:val="0079012E"/>
    <w:rsid w:val="007917F5"/>
    <w:rsid w:val="00791B96"/>
    <w:rsid w:val="007928D5"/>
    <w:rsid w:val="0079377B"/>
    <w:rsid w:val="00793D95"/>
    <w:rsid w:val="007953DF"/>
    <w:rsid w:val="00795B9E"/>
    <w:rsid w:val="0079652F"/>
    <w:rsid w:val="007966BE"/>
    <w:rsid w:val="00796741"/>
    <w:rsid w:val="00796C58"/>
    <w:rsid w:val="007A0278"/>
    <w:rsid w:val="007A05FD"/>
    <w:rsid w:val="007A24A2"/>
    <w:rsid w:val="007A31CC"/>
    <w:rsid w:val="007A351E"/>
    <w:rsid w:val="007A4BFA"/>
    <w:rsid w:val="007A51EA"/>
    <w:rsid w:val="007A754F"/>
    <w:rsid w:val="007A7720"/>
    <w:rsid w:val="007A7E70"/>
    <w:rsid w:val="007B0373"/>
    <w:rsid w:val="007B0C51"/>
    <w:rsid w:val="007B16B7"/>
    <w:rsid w:val="007B17D7"/>
    <w:rsid w:val="007B21B3"/>
    <w:rsid w:val="007B4183"/>
    <w:rsid w:val="007B4B65"/>
    <w:rsid w:val="007B5489"/>
    <w:rsid w:val="007B56BB"/>
    <w:rsid w:val="007B647A"/>
    <w:rsid w:val="007B64C8"/>
    <w:rsid w:val="007B6CFE"/>
    <w:rsid w:val="007B7A1F"/>
    <w:rsid w:val="007C0217"/>
    <w:rsid w:val="007C06E0"/>
    <w:rsid w:val="007C0C80"/>
    <w:rsid w:val="007C1423"/>
    <w:rsid w:val="007C2E56"/>
    <w:rsid w:val="007C3E20"/>
    <w:rsid w:val="007C42B1"/>
    <w:rsid w:val="007C52E6"/>
    <w:rsid w:val="007C5CAF"/>
    <w:rsid w:val="007D1420"/>
    <w:rsid w:val="007D1A49"/>
    <w:rsid w:val="007D1BAD"/>
    <w:rsid w:val="007D2771"/>
    <w:rsid w:val="007D295D"/>
    <w:rsid w:val="007D364F"/>
    <w:rsid w:val="007D4CF3"/>
    <w:rsid w:val="007D6064"/>
    <w:rsid w:val="007D6967"/>
    <w:rsid w:val="007D7590"/>
    <w:rsid w:val="007D7BE6"/>
    <w:rsid w:val="007E0A91"/>
    <w:rsid w:val="007E0D3B"/>
    <w:rsid w:val="007E1C47"/>
    <w:rsid w:val="007E1E01"/>
    <w:rsid w:val="007E2727"/>
    <w:rsid w:val="007E287A"/>
    <w:rsid w:val="007E327D"/>
    <w:rsid w:val="007E36C8"/>
    <w:rsid w:val="007E4FB6"/>
    <w:rsid w:val="007E5DE8"/>
    <w:rsid w:val="007E6786"/>
    <w:rsid w:val="007E6DF9"/>
    <w:rsid w:val="007E7158"/>
    <w:rsid w:val="007F14E0"/>
    <w:rsid w:val="007F1502"/>
    <w:rsid w:val="007F21FA"/>
    <w:rsid w:val="007F2767"/>
    <w:rsid w:val="007F34C9"/>
    <w:rsid w:val="007F443D"/>
    <w:rsid w:val="007F4542"/>
    <w:rsid w:val="007F4D4A"/>
    <w:rsid w:val="007F5E9F"/>
    <w:rsid w:val="007F62E3"/>
    <w:rsid w:val="007F74D0"/>
    <w:rsid w:val="007F7EC3"/>
    <w:rsid w:val="008019A8"/>
    <w:rsid w:val="00801B87"/>
    <w:rsid w:val="00801FBC"/>
    <w:rsid w:val="008022ED"/>
    <w:rsid w:val="00802FDA"/>
    <w:rsid w:val="008038F4"/>
    <w:rsid w:val="00806478"/>
    <w:rsid w:val="0080656F"/>
    <w:rsid w:val="00806832"/>
    <w:rsid w:val="008068ED"/>
    <w:rsid w:val="00807736"/>
    <w:rsid w:val="008100C3"/>
    <w:rsid w:val="00810595"/>
    <w:rsid w:val="0081090C"/>
    <w:rsid w:val="00810AE4"/>
    <w:rsid w:val="00811101"/>
    <w:rsid w:val="00811970"/>
    <w:rsid w:val="00811DDA"/>
    <w:rsid w:val="0081377E"/>
    <w:rsid w:val="008159CC"/>
    <w:rsid w:val="00815A11"/>
    <w:rsid w:val="00817700"/>
    <w:rsid w:val="00817710"/>
    <w:rsid w:val="00820305"/>
    <w:rsid w:val="0082134D"/>
    <w:rsid w:val="00821C3B"/>
    <w:rsid w:val="0082233D"/>
    <w:rsid w:val="0082253F"/>
    <w:rsid w:val="00824BE7"/>
    <w:rsid w:val="00824E24"/>
    <w:rsid w:val="00830262"/>
    <w:rsid w:val="00830A4D"/>
    <w:rsid w:val="00830DB5"/>
    <w:rsid w:val="0083164E"/>
    <w:rsid w:val="00831AC0"/>
    <w:rsid w:val="00831D7A"/>
    <w:rsid w:val="008327DC"/>
    <w:rsid w:val="0083292F"/>
    <w:rsid w:val="00832C07"/>
    <w:rsid w:val="00833583"/>
    <w:rsid w:val="00833814"/>
    <w:rsid w:val="00833B32"/>
    <w:rsid w:val="0083428F"/>
    <w:rsid w:val="00835426"/>
    <w:rsid w:val="00835CE3"/>
    <w:rsid w:val="00836223"/>
    <w:rsid w:val="008369A7"/>
    <w:rsid w:val="00836D71"/>
    <w:rsid w:val="00836F04"/>
    <w:rsid w:val="00837016"/>
    <w:rsid w:val="00837528"/>
    <w:rsid w:val="00837848"/>
    <w:rsid w:val="0084068F"/>
    <w:rsid w:val="00841C21"/>
    <w:rsid w:val="00841DBA"/>
    <w:rsid w:val="00842F4D"/>
    <w:rsid w:val="0084310E"/>
    <w:rsid w:val="00843F83"/>
    <w:rsid w:val="008455BA"/>
    <w:rsid w:val="00846371"/>
    <w:rsid w:val="00850653"/>
    <w:rsid w:val="00850806"/>
    <w:rsid w:val="00850CE5"/>
    <w:rsid w:val="008517E3"/>
    <w:rsid w:val="00851D99"/>
    <w:rsid w:val="00852102"/>
    <w:rsid w:val="008532FE"/>
    <w:rsid w:val="00853BFA"/>
    <w:rsid w:val="00853DE0"/>
    <w:rsid w:val="00856C20"/>
    <w:rsid w:val="008577A3"/>
    <w:rsid w:val="00857A0A"/>
    <w:rsid w:val="00860B49"/>
    <w:rsid w:val="00860C84"/>
    <w:rsid w:val="00861096"/>
    <w:rsid w:val="00861FE9"/>
    <w:rsid w:val="0086338D"/>
    <w:rsid w:val="00863888"/>
    <w:rsid w:val="0086398D"/>
    <w:rsid w:val="00863D37"/>
    <w:rsid w:val="008667F6"/>
    <w:rsid w:val="00866F18"/>
    <w:rsid w:val="008676E1"/>
    <w:rsid w:val="00867E7D"/>
    <w:rsid w:val="00867EFB"/>
    <w:rsid w:val="00871008"/>
    <w:rsid w:val="00871549"/>
    <w:rsid w:val="0087197D"/>
    <w:rsid w:val="00872D20"/>
    <w:rsid w:val="008743D7"/>
    <w:rsid w:val="00874675"/>
    <w:rsid w:val="008749D6"/>
    <w:rsid w:val="00874F9D"/>
    <w:rsid w:val="0087683E"/>
    <w:rsid w:val="00876879"/>
    <w:rsid w:val="008778F7"/>
    <w:rsid w:val="00877E2D"/>
    <w:rsid w:val="00880A00"/>
    <w:rsid w:val="00880E0F"/>
    <w:rsid w:val="008824ED"/>
    <w:rsid w:val="00882970"/>
    <w:rsid w:val="008838EF"/>
    <w:rsid w:val="00883C4C"/>
    <w:rsid w:val="00885933"/>
    <w:rsid w:val="00886318"/>
    <w:rsid w:val="00886564"/>
    <w:rsid w:val="008866F1"/>
    <w:rsid w:val="008871A0"/>
    <w:rsid w:val="008878F4"/>
    <w:rsid w:val="00887914"/>
    <w:rsid w:val="00887C42"/>
    <w:rsid w:val="00892ECD"/>
    <w:rsid w:val="00892F9A"/>
    <w:rsid w:val="008940A6"/>
    <w:rsid w:val="0089415A"/>
    <w:rsid w:val="008964F8"/>
    <w:rsid w:val="00896FD6"/>
    <w:rsid w:val="0089737C"/>
    <w:rsid w:val="00897380"/>
    <w:rsid w:val="00897C95"/>
    <w:rsid w:val="00897E58"/>
    <w:rsid w:val="00897F28"/>
    <w:rsid w:val="008A060A"/>
    <w:rsid w:val="008A11F1"/>
    <w:rsid w:val="008A19C4"/>
    <w:rsid w:val="008A2706"/>
    <w:rsid w:val="008A2D2D"/>
    <w:rsid w:val="008A3193"/>
    <w:rsid w:val="008A33F5"/>
    <w:rsid w:val="008A48D3"/>
    <w:rsid w:val="008A5826"/>
    <w:rsid w:val="008A5EDB"/>
    <w:rsid w:val="008A6606"/>
    <w:rsid w:val="008A6A8B"/>
    <w:rsid w:val="008A7383"/>
    <w:rsid w:val="008B0266"/>
    <w:rsid w:val="008B07BE"/>
    <w:rsid w:val="008B0BCB"/>
    <w:rsid w:val="008B1412"/>
    <w:rsid w:val="008B14C3"/>
    <w:rsid w:val="008B2509"/>
    <w:rsid w:val="008B2B41"/>
    <w:rsid w:val="008B36CE"/>
    <w:rsid w:val="008B671F"/>
    <w:rsid w:val="008B7853"/>
    <w:rsid w:val="008C0D50"/>
    <w:rsid w:val="008C1615"/>
    <w:rsid w:val="008C275F"/>
    <w:rsid w:val="008C42B8"/>
    <w:rsid w:val="008C5451"/>
    <w:rsid w:val="008C5E9B"/>
    <w:rsid w:val="008C6343"/>
    <w:rsid w:val="008C6988"/>
    <w:rsid w:val="008C6AB8"/>
    <w:rsid w:val="008C76BA"/>
    <w:rsid w:val="008D12CC"/>
    <w:rsid w:val="008D1AA3"/>
    <w:rsid w:val="008D427D"/>
    <w:rsid w:val="008D4998"/>
    <w:rsid w:val="008D524E"/>
    <w:rsid w:val="008D525D"/>
    <w:rsid w:val="008D5A67"/>
    <w:rsid w:val="008D5A68"/>
    <w:rsid w:val="008D5B08"/>
    <w:rsid w:val="008D621B"/>
    <w:rsid w:val="008D6D6D"/>
    <w:rsid w:val="008D7008"/>
    <w:rsid w:val="008D7695"/>
    <w:rsid w:val="008D7984"/>
    <w:rsid w:val="008D7ABE"/>
    <w:rsid w:val="008E01CB"/>
    <w:rsid w:val="008E0F26"/>
    <w:rsid w:val="008E136D"/>
    <w:rsid w:val="008E1A59"/>
    <w:rsid w:val="008E27A5"/>
    <w:rsid w:val="008E3A88"/>
    <w:rsid w:val="008E6608"/>
    <w:rsid w:val="008F0AE1"/>
    <w:rsid w:val="008F20D3"/>
    <w:rsid w:val="008F256A"/>
    <w:rsid w:val="008F378D"/>
    <w:rsid w:val="008F422B"/>
    <w:rsid w:val="008F4637"/>
    <w:rsid w:val="008F4763"/>
    <w:rsid w:val="008F5A5A"/>
    <w:rsid w:val="008F5CB9"/>
    <w:rsid w:val="008F5F63"/>
    <w:rsid w:val="008F6E2E"/>
    <w:rsid w:val="008F6E93"/>
    <w:rsid w:val="008F77E7"/>
    <w:rsid w:val="008F7CC9"/>
    <w:rsid w:val="00901170"/>
    <w:rsid w:val="00901D2D"/>
    <w:rsid w:val="009024C4"/>
    <w:rsid w:val="0090258B"/>
    <w:rsid w:val="009028C6"/>
    <w:rsid w:val="009032EC"/>
    <w:rsid w:val="009035A4"/>
    <w:rsid w:val="009052FC"/>
    <w:rsid w:val="009054B8"/>
    <w:rsid w:val="0090583A"/>
    <w:rsid w:val="00907C08"/>
    <w:rsid w:val="009149EB"/>
    <w:rsid w:val="0091525D"/>
    <w:rsid w:val="0091564C"/>
    <w:rsid w:val="00915D8B"/>
    <w:rsid w:val="00917E8F"/>
    <w:rsid w:val="00920470"/>
    <w:rsid w:val="0092147C"/>
    <w:rsid w:val="00922C88"/>
    <w:rsid w:val="00923C4C"/>
    <w:rsid w:val="00923E2A"/>
    <w:rsid w:val="009244BE"/>
    <w:rsid w:val="009249A7"/>
    <w:rsid w:val="00925115"/>
    <w:rsid w:val="00925E95"/>
    <w:rsid w:val="00926238"/>
    <w:rsid w:val="009262B9"/>
    <w:rsid w:val="00926DFF"/>
    <w:rsid w:val="00927610"/>
    <w:rsid w:val="0092780A"/>
    <w:rsid w:val="00927B69"/>
    <w:rsid w:val="0093105D"/>
    <w:rsid w:val="009311AA"/>
    <w:rsid w:val="00931DD0"/>
    <w:rsid w:val="00932409"/>
    <w:rsid w:val="0093368B"/>
    <w:rsid w:val="00933F04"/>
    <w:rsid w:val="00934BB6"/>
    <w:rsid w:val="009355A8"/>
    <w:rsid w:val="00936575"/>
    <w:rsid w:val="00936850"/>
    <w:rsid w:val="00936C01"/>
    <w:rsid w:val="00936E5E"/>
    <w:rsid w:val="00936EEA"/>
    <w:rsid w:val="00940D78"/>
    <w:rsid w:val="009428BC"/>
    <w:rsid w:val="00943120"/>
    <w:rsid w:val="00944D4D"/>
    <w:rsid w:val="0094524E"/>
    <w:rsid w:val="00946E23"/>
    <w:rsid w:val="009475F0"/>
    <w:rsid w:val="00951677"/>
    <w:rsid w:val="00952A5F"/>
    <w:rsid w:val="00955A95"/>
    <w:rsid w:val="00956D35"/>
    <w:rsid w:val="00957B27"/>
    <w:rsid w:val="00957E6B"/>
    <w:rsid w:val="00961787"/>
    <w:rsid w:val="00961A79"/>
    <w:rsid w:val="00961A7B"/>
    <w:rsid w:val="009635A0"/>
    <w:rsid w:val="00963E9D"/>
    <w:rsid w:val="00964037"/>
    <w:rsid w:val="009643E4"/>
    <w:rsid w:val="009644D3"/>
    <w:rsid w:val="0096455D"/>
    <w:rsid w:val="0096609D"/>
    <w:rsid w:val="009664BA"/>
    <w:rsid w:val="00966DFF"/>
    <w:rsid w:val="00967182"/>
    <w:rsid w:val="00967DF9"/>
    <w:rsid w:val="00970D49"/>
    <w:rsid w:val="00971182"/>
    <w:rsid w:val="00971315"/>
    <w:rsid w:val="00971BE7"/>
    <w:rsid w:val="009725A4"/>
    <w:rsid w:val="00972681"/>
    <w:rsid w:val="00973380"/>
    <w:rsid w:val="009733CE"/>
    <w:rsid w:val="00973C5E"/>
    <w:rsid w:val="00974B6C"/>
    <w:rsid w:val="0097529E"/>
    <w:rsid w:val="00975479"/>
    <w:rsid w:val="00975738"/>
    <w:rsid w:val="00975763"/>
    <w:rsid w:val="00975764"/>
    <w:rsid w:val="0097623E"/>
    <w:rsid w:val="00976483"/>
    <w:rsid w:val="009768D6"/>
    <w:rsid w:val="00977ED3"/>
    <w:rsid w:val="00980022"/>
    <w:rsid w:val="0098029B"/>
    <w:rsid w:val="009811F5"/>
    <w:rsid w:val="0098172C"/>
    <w:rsid w:val="00981960"/>
    <w:rsid w:val="0098234E"/>
    <w:rsid w:val="0098454B"/>
    <w:rsid w:val="00985390"/>
    <w:rsid w:val="00986684"/>
    <w:rsid w:val="009908C5"/>
    <w:rsid w:val="009908E3"/>
    <w:rsid w:val="00992C09"/>
    <w:rsid w:val="00993782"/>
    <w:rsid w:val="00993BFC"/>
    <w:rsid w:val="009943C0"/>
    <w:rsid w:val="00994FF5"/>
    <w:rsid w:val="009953E0"/>
    <w:rsid w:val="009955DC"/>
    <w:rsid w:val="00995865"/>
    <w:rsid w:val="00995C3B"/>
    <w:rsid w:val="0099642A"/>
    <w:rsid w:val="00996A49"/>
    <w:rsid w:val="00996B7A"/>
    <w:rsid w:val="0099745F"/>
    <w:rsid w:val="0099753C"/>
    <w:rsid w:val="009977CB"/>
    <w:rsid w:val="0099780F"/>
    <w:rsid w:val="00997DDB"/>
    <w:rsid w:val="009A0000"/>
    <w:rsid w:val="009A0865"/>
    <w:rsid w:val="009A0DBF"/>
    <w:rsid w:val="009A151C"/>
    <w:rsid w:val="009A2398"/>
    <w:rsid w:val="009A3242"/>
    <w:rsid w:val="009A41AD"/>
    <w:rsid w:val="009A6173"/>
    <w:rsid w:val="009A6F41"/>
    <w:rsid w:val="009A707A"/>
    <w:rsid w:val="009A774F"/>
    <w:rsid w:val="009B3031"/>
    <w:rsid w:val="009B466B"/>
    <w:rsid w:val="009B4E67"/>
    <w:rsid w:val="009C0E81"/>
    <w:rsid w:val="009C30B6"/>
    <w:rsid w:val="009C404E"/>
    <w:rsid w:val="009C57A7"/>
    <w:rsid w:val="009C59DF"/>
    <w:rsid w:val="009C747F"/>
    <w:rsid w:val="009D001E"/>
    <w:rsid w:val="009D064D"/>
    <w:rsid w:val="009D0714"/>
    <w:rsid w:val="009D1DD0"/>
    <w:rsid w:val="009D218D"/>
    <w:rsid w:val="009D2F46"/>
    <w:rsid w:val="009D3B69"/>
    <w:rsid w:val="009D3C28"/>
    <w:rsid w:val="009D415E"/>
    <w:rsid w:val="009D4A64"/>
    <w:rsid w:val="009D7114"/>
    <w:rsid w:val="009D7120"/>
    <w:rsid w:val="009D7483"/>
    <w:rsid w:val="009D75A7"/>
    <w:rsid w:val="009D7C7D"/>
    <w:rsid w:val="009E0BB3"/>
    <w:rsid w:val="009E0CBA"/>
    <w:rsid w:val="009E0DFA"/>
    <w:rsid w:val="009E15B5"/>
    <w:rsid w:val="009E1BAF"/>
    <w:rsid w:val="009E1FD7"/>
    <w:rsid w:val="009E2620"/>
    <w:rsid w:val="009E29DC"/>
    <w:rsid w:val="009E2EF9"/>
    <w:rsid w:val="009E37B9"/>
    <w:rsid w:val="009E40CA"/>
    <w:rsid w:val="009E45DD"/>
    <w:rsid w:val="009E4ED4"/>
    <w:rsid w:val="009E5367"/>
    <w:rsid w:val="009E55DA"/>
    <w:rsid w:val="009E6313"/>
    <w:rsid w:val="009E78EF"/>
    <w:rsid w:val="009E7B6C"/>
    <w:rsid w:val="009F0C96"/>
    <w:rsid w:val="009F1751"/>
    <w:rsid w:val="009F2D44"/>
    <w:rsid w:val="009F34F6"/>
    <w:rsid w:val="009F3561"/>
    <w:rsid w:val="009F40A5"/>
    <w:rsid w:val="009F6F75"/>
    <w:rsid w:val="009F7291"/>
    <w:rsid w:val="00A00A2A"/>
    <w:rsid w:val="00A00C0E"/>
    <w:rsid w:val="00A010E5"/>
    <w:rsid w:val="00A0181A"/>
    <w:rsid w:val="00A0202C"/>
    <w:rsid w:val="00A02551"/>
    <w:rsid w:val="00A02814"/>
    <w:rsid w:val="00A02D7B"/>
    <w:rsid w:val="00A03C78"/>
    <w:rsid w:val="00A045C0"/>
    <w:rsid w:val="00A04A5E"/>
    <w:rsid w:val="00A069C9"/>
    <w:rsid w:val="00A0776E"/>
    <w:rsid w:val="00A10AF6"/>
    <w:rsid w:val="00A11579"/>
    <w:rsid w:val="00A11D8F"/>
    <w:rsid w:val="00A123F0"/>
    <w:rsid w:val="00A1329F"/>
    <w:rsid w:val="00A13461"/>
    <w:rsid w:val="00A13B26"/>
    <w:rsid w:val="00A14581"/>
    <w:rsid w:val="00A14E80"/>
    <w:rsid w:val="00A15C9A"/>
    <w:rsid w:val="00A16BBF"/>
    <w:rsid w:val="00A1761E"/>
    <w:rsid w:val="00A17757"/>
    <w:rsid w:val="00A17EDD"/>
    <w:rsid w:val="00A20160"/>
    <w:rsid w:val="00A21719"/>
    <w:rsid w:val="00A21BE3"/>
    <w:rsid w:val="00A2230A"/>
    <w:rsid w:val="00A233D6"/>
    <w:rsid w:val="00A246EE"/>
    <w:rsid w:val="00A25FBA"/>
    <w:rsid w:val="00A262EA"/>
    <w:rsid w:val="00A2719E"/>
    <w:rsid w:val="00A276DD"/>
    <w:rsid w:val="00A30176"/>
    <w:rsid w:val="00A30368"/>
    <w:rsid w:val="00A31EF8"/>
    <w:rsid w:val="00A33A6E"/>
    <w:rsid w:val="00A33B2F"/>
    <w:rsid w:val="00A33D34"/>
    <w:rsid w:val="00A33FE4"/>
    <w:rsid w:val="00A343C1"/>
    <w:rsid w:val="00A3589F"/>
    <w:rsid w:val="00A363FB"/>
    <w:rsid w:val="00A36651"/>
    <w:rsid w:val="00A36AAE"/>
    <w:rsid w:val="00A36FA9"/>
    <w:rsid w:val="00A403A2"/>
    <w:rsid w:val="00A40768"/>
    <w:rsid w:val="00A40D10"/>
    <w:rsid w:val="00A428CD"/>
    <w:rsid w:val="00A43D19"/>
    <w:rsid w:val="00A4485A"/>
    <w:rsid w:val="00A45EC1"/>
    <w:rsid w:val="00A4638F"/>
    <w:rsid w:val="00A472DF"/>
    <w:rsid w:val="00A47A80"/>
    <w:rsid w:val="00A50272"/>
    <w:rsid w:val="00A50B38"/>
    <w:rsid w:val="00A5128F"/>
    <w:rsid w:val="00A51D4A"/>
    <w:rsid w:val="00A51DC5"/>
    <w:rsid w:val="00A51FA6"/>
    <w:rsid w:val="00A52131"/>
    <w:rsid w:val="00A5286E"/>
    <w:rsid w:val="00A532AB"/>
    <w:rsid w:val="00A535BA"/>
    <w:rsid w:val="00A541C4"/>
    <w:rsid w:val="00A54BA1"/>
    <w:rsid w:val="00A55CD0"/>
    <w:rsid w:val="00A564A6"/>
    <w:rsid w:val="00A56598"/>
    <w:rsid w:val="00A5746D"/>
    <w:rsid w:val="00A60373"/>
    <w:rsid w:val="00A60502"/>
    <w:rsid w:val="00A60AC0"/>
    <w:rsid w:val="00A60DBE"/>
    <w:rsid w:val="00A63618"/>
    <w:rsid w:val="00A63F6B"/>
    <w:rsid w:val="00A65235"/>
    <w:rsid w:val="00A66058"/>
    <w:rsid w:val="00A667E2"/>
    <w:rsid w:val="00A66B5E"/>
    <w:rsid w:val="00A6720F"/>
    <w:rsid w:val="00A67948"/>
    <w:rsid w:val="00A70EFC"/>
    <w:rsid w:val="00A716EE"/>
    <w:rsid w:val="00A717AB"/>
    <w:rsid w:val="00A724DC"/>
    <w:rsid w:val="00A72C94"/>
    <w:rsid w:val="00A741DA"/>
    <w:rsid w:val="00A74C8F"/>
    <w:rsid w:val="00A7581B"/>
    <w:rsid w:val="00A75C59"/>
    <w:rsid w:val="00A75D43"/>
    <w:rsid w:val="00A7659F"/>
    <w:rsid w:val="00A76F78"/>
    <w:rsid w:val="00A77643"/>
    <w:rsid w:val="00A7786B"/>
    <w:rsid w:val="00A8319B"/>
    <w:rsid w:val="00A83739"/>
    <w:rsid w:val="00A85CC3"/>
    <w:rsid w:val="00A85D5E"/>
    <w:rsid w:val="00A85E18"/>
    <w:rsid w:val="00A868C0"/>
    <w:rsid w:val="00A87504"/>
    <w:rsid w:val="00A910CA"/>
    <w:rsid w:val="00A917DA"/>
    <w:rsid w:val="00A92647"/>
    <w:rsid w:val="00A92859"/>
    <w:rsid w:val="00A9290D"/>
    <w:rsid w:val="00A9339E"/>
    <w:rsid w:val="00A94466"/>
    <w:rsid w:val="00A94893"/>
    <w:rsid w:val="00A953A2"/>
    <w:rsid w:val="00A9568C"/>
    <w:rsid w:val="00A968FD"/>
    <w:rsid w:val="00A9695E"/>
    <w:rsid w:val="00A96AE1"/>
    <w:rsid w:val="00AA134A"/>
    <w:rsid w:val="00AA2B4C"/>
    <w:rsid w:val="00AA396D"/>
    <w:rsid w:val="00AA678F"/>
    <w:rsid w:val="00AA6C0A"/>
    <w:rsid w:val="00AA7EE6"/>
    <w:rsid w:val="00AA7F66"/>
    <w:rsid w:val="00AB1C38"/>
    <w:rsid w:val="00AB232F"/>
    <w:rsid w:val="00AB2862"/>
    <w:rsid w:val="00AB2878"/>
    <w:rsid w:val="00AB2B27"/>
    <w:rsid w:val="00AB2C8C"/>
    <w:rsid w:val="00AB3B19"/>
    <w:rsid w:val="00AB3D54"/>
    <w:rsid w:val="00AB44F0"/>
    <w:rsid w:val="00AB50C9"/>
    <w:rsid w:val="00AB58F5"/>
    <w:rsid w:val="00AB6D44"/>
    <w:rsid w:val="00AB6D8D"/>
    <w:rsid w:val="00AB7E2A"/>
    <w:rsid w:val="00AC0404"/>
    <w:rsid w:val="00AC1277"/>
    <w:rsid w:val="00AC2FF2"/>
    <w:rsid w:val="00AC301E"/>
    <w:rsid w:val="00AC307E"/>
    <w:rsid w:val="00AC3797"/>
    <w:rsid w:val="00AC4055"/>
    <w:rsid w:val="00AC4CA3"/>
    <w:rsid w:val="00AC4FDD"/>
    <w:rsid w:val="00AC6074"/>
    <w:rsid w:val="00AC7582"/>
    <w:rsid w:val="00AC77F5"/>
    <w:rsid w:val="00AC782C"/>
    <w:rsid w:val="00AC7F1F"/>
    <w:rsid w:val="00AD0540"/>
    <w:rsid w:val="00AD0814"/>
    <w:rsid w:val="00AD31D8"/>
    <w:rsid w:val="00AD37AB"/>
    <w:rsid w:val="00AD47DB"/>
    <w:rsid w:val="00AD4A10"/>
    <w:rsid w:val="00AD4A47"/>
    <w:rsid w:val="00AD64E4"/>
    <w:rsid w:val="00AD6861"/>
    <w:rsid w:val="00AD6BE4"/>
    <w:rsid w:val="00AD73E1"/>
    <w:rsid w:val="00AE033D"/>
    <w:rsid w:val="00AE0B40"/>
    <w:rsid w:val="00AE1704"/>
    <w:rsid w:val="00AE19CA"/>
    <w:rsid w:val="00AE26DF"/>
    <w:rsid w:val="00AE2A44"/>
    <w:rsid w:val="00AE34A1"/>
    <w:rsid w:val="00AE4980"/>
    <w:rsid w:val="00AE5745"/>
    <w:rsid w:val="00AE7083"/>
    <w:rsid w:val="00AF0788"/>
    <w:rsid w:val="00AF08F4"/>
    <w:rsid w:val="00AF16FF"/>
    <w:rsid w:val="00AF1D5C"/>
    <w:rsid w:val="00AF245A"/>
    <w:rsid w:val="00AF2942"/>
    <w:rsid w:val="00AF42BB"/>
    <w:rsid w:val="00AF4BEE"/>
    <w:rsid w:val="00AF56CD"/>
    <w:rsid w:val="00AF5ED0"/>
    <w:rsid w:val="00B00577"/>
    <w:rsid w:val="00B009B4"/>
    <w:rsid w:val="00B00ADD"/>
    <w:rsid w:val="00B0373B"/>
    <w:rsid w:val="00B03D0E"/>
    <w:rsid w:val="00B048F8"/>
    <w:rsid w:val="00B04C23"/>
    <w:rsid w:val="00B05A6F"/>
    <w:rsid w:val="00B062B2"/>
    <w:rsid w:val="00B0656D"/>
    <w:rsid w:val="00B06C76"/>
    <w:rsid w:val="00B07330"/>
    <w:rsid w:val="00B077FE"/>
    <w:rsid w:val="00B119C9"/>
    <w:rsid w:val="00B131E8"/>
    <w:rsid w:val="00B1342E"/>
    <w:rsid w:val="00B13ED0"/>
    <w:rsid w:val="00B14976"/>
    <w:rsid w:val="00B14A0F"/>
    <w:rsid w:val="00B159B1"/>
    <w:rsid w:val="00B15A6B"/>
    <w:rsid w:val="00B15B50"/>
    <w:rsid w:val="00B15BCA"/>
    <w:rsid w:val="00B1690F"/>
    <w:rsid w:val="00B17E11"/>
    <w:rsid w:val="00B200A8"/>
    <w:rsid w:val="00B209DC"/>
    <w:rsid w:val="00B20BA4"/>
    <w:rsid w:val="00B231E6"/>
    <w:rsid w:val="00B25847"/>
    <w:rsid w:val="00B25E58"/>
    <w:rsid w:val="00B267AE"/>
    <w:rsid w:val="00B2683B"/>
    <w:rsid w:val="00B26A58"/>
    <w:rsid w:val="00B30AEA"/>
    <w:rsid w:val="00B30CCF"/>
    <w:rsid w:val="00B31E70"/>
    <w:rsid w:val="00B31EFE"/>
    <w:rsid w:val="00B3248B"/>
    <w:rsid w:val="00B3280C"/>
    <w:rsid w:val="00B32AB0"/>
    <w:rsid w:val="00B33309"/>
    <w:rsid w:val="00B3403E"/>
    <w:rsid w:val="00B34B96"/>
    <w:rsid w:val="00B34F73"/>
    <w:rsid w:val="00B35720"/>
    <w:rsid w:val="00B36EC4"/>
    <w:rsid w:val="00B40F3A"/>
    <w:rsid w:val="00B4201E"/>
    <w:rsid w:val="00B44655"/>
    <w:rsid w:val="00B449A4"/>
    <w:rsid w:val="00B46C52"/>
    <w:rsid w:val="00B5171C"/>
    <w:rsid w:val="00B520A7"/>
    <w:rsid w:val="00B54640"/>
    <w:rsid w:val="00B5485E"/>
    <w:rsid w:val="00B54B4C"/>
    <w:rsid w:val="00B55395"/>
    <w:rsid w:val="00B55ECF"/>
    <w:rsid w:val="00B57739"/>
    <w:rsid w:val="00B57AFD"/>
    <w:rsid w:val="00B600D6"/>
    <w:rsid w:val="00B602CD"/>
    <w:rsid w:val="00B61AA7"/>
    <w:rsid w:val="00B61D75"/>
    <w:rsid w:val="00B621D1"/>
    <w:rsid w:val="00B624B0"/>
    <w:rsid w:val="00B647CC"/>
    <w:rsid w:val="00B64B4E"/>
    <w:rsid w:val="00B65489"/>
    <w:rsid w:val="00B6573F"/>
    <w:rsid w:val="00B66A22"/>
    <w:rsid w:val="00B67B40"/>
    <w:rsid w:val="00B67DC2"/>
    <w:rsid w:val="00B67E09"/>
    <w:rsid w:val="00B70AFC"/>
    <w:rsid w:val="00B71A4F"/>
    <w:rsid w:val="00B7383F"/>
    <w:rsid w:val="00B738F8"/>
    <w:rsid w:val="00B75DC4"/>
    <w:rsid w:val="00B76187"/>
    <w:rsid w:val="00B767C6"/>
    <w:rsid w:val="00B76881"/>
    <w:rsid w:val="00B76EC4"/>
    <w:rsid w:val="00B771A2"/>
    <w:rsid w:val="00B7745D"/>
    <w:rsid w:val="00B8285F"/>
    <w:rsid w:val="00B82A32"/>
    <w:rsid w:val="00B83151"/>
    <w:rsid w:val="00B83392"/>
    <w:rsid w:val="00B83673"/>
    <w:rsid w:val="00B8689E"/>
    <w:rsid w:val="00B875AA"/>
    <w:rsid w:val="00B91AB3"/>
    <w:rsid w:val="00B92A21"/>
    <w:rsid w:val="00B93712"/>
    <w:rsid w:val="00B94B2A"/>
    <w:rsid w:val="00B94E37"/>
    <w:rsid w:val="00B94F35"/>
    <w:rsid w:val="00B95098"/>
    <w:rsid w:val="00B95273"/>
    <w:rsid w:val="00B95530"/>
    <w:rsid w:val="00B97A1D"/>
    <w:rsid w:val="00BA0B16"/>
    <w:rsid w:val="00BA3D78"/>
    <w:rsid w:val="00BA3E4E"/>
    <w:rsid w:val="00BA3E6C"/>
    <w:rsid w:val="00BA41FB"/>
    <w:rsid w:val="00BA48BA"/>
    <w:rsid w:val="00BA4ADF"/>
    <w:rsid w:val="00BB0FFA"/>
    <w:rsid w:val="00BB197A"/>
    <w:rsid w:val="00BB25A7"/>
    <w:rsid w:val="00BB34D4"/>
    <w:rsid w:val="00BB4108"/>
    <w:rsid w:val="00BB58E3"/>
    <w:rsid w:val="00BB61E9"/>
    <w:rsid w:val="00BC0311"/>
    <w:rsid w:val="00BC0881"/>
    <w:rsid w:val="00BC10AB"/>
    <w:rsid w:val="00BC1847"/>
    <w:rsid w:val="00BC2D1B"/>
    <w:rsid w:val="00BC4D06"/>
    <w:rsid w:val="00BC56B3"/>
    <w:rsid w:val="00BC5756"/>
    <w:rsid w:val="00BC5830"/>
    <w:rsid w:val="00BC6130"/>
    <w:rsid w:val="00BC7516"/>
    <w:rsid w:val="00BC78E5"/>
    <w:rsid w:val="00BD0E7A"/>
    <w:rsid w:val="00BD1976"/>
    <w:rsid w:val="00BD22AA"/>
    <w:rsid w:val="00BD26C8"/>
    <w:rsid w:val="00BD288E"/>
    <w:rsid w:val="00BD2CD2"/>
    <w:rsid w:val="00BD36ED"/>
    <w:rsid w:val="00BD3B55"/>
    <w:rsid w:val="00BD419E"/>
    <w:rsid w:val="00BD4377"/>
    <w:rsid w:val="00BD4A5B"/>
    <w:rsid w:val="00BD50F0"/>
    <w:rsid w:val="00BD5997"/>
    <w:rsid w:val="00BD6293"/>
    <w:rsid w:val="00BD6921"/>
    <w:rsid w:val="00BD6AD3"/>
    <w:rsid w:val="00BE0693"/>
    <w:rsid w:val="00BE243E"/>
    <w:rsid w:val="00BE3336"/>
    <w:rsid w:val="00BE3C9E"/>
    <w:rsid w:val="00BE4CA4"/>
    <w:rsid w:val="00BE585B"/>
    <w:rsid w:val="00BE6155"/>
    <w:rsid w:val="00BE76A4"/>
    <w:rsid w:val="00BE7A6E"/>
    <w:rsid w:val="00BF082F"/>
    <w:rsid w:val="00BF08AC"/>
    <w:rsid w:val="00BF142B"/>
    <w:rsid w:val="00BF2A7C"/>
    <w:rsid w:val="00BF2AF0"/>
    <w:rsid w:val="00BF332F"/>
    <w:rsid w:val="00BF37CA"/>
    <w:rsid w:val="00BF3C72"/>
    <w:rsid w:val="00BF5888"/>
    <w:rsid w:val="00BF5DE6"/>
    <w:rsid w:val="00BF6634"/>
    <w:rsid w:val="00BF6C9E"/>
    <w:rsid w:val="00BF7C67"/>
    <w:rsid w:val="00C00574"/>
    <w:rsid w:val="00C00858"/>
    <w:rsid w:val="00C01796"/>
    <w:rsid w:val="00C026D4"/>
    <w:rsid w:val="00C04154"/>
    <w:rsid w:val="00C04315"/>
    <w:rsid w:val="00C045B3"/>
    <w:rsid w:val="00C045CA"/>
    <w:rsid w:val="00C0463E"/>
    <w:rsid w:val="00C0620C"/>
    <w:rsid w:val="00C0630A"/>
    <w:rsid w:val="00C06C8E"/>
    <w:rsid w:val="00C06EEE"/>
    <w:rsid w:val="00C0766D"/>
    <w:rsid w:val="00C07690"/>
    <w:rsid w:val="00C107F8"/>
    <w:rsid w:val="00C12200"/>
    <w:rsid w:val="00C13090"/>
    <w:rsid w:val="00C13C00"/>
    <w:rsid w:val="00C140B3"/>
    <w:rsid w:val="00C14EE3"/>
    <w:rsid w:val="00C154DA"/>
    <w:rsid w:val="00C16102"/>
    <w:rsid w:val="00C16A0A"/>
    <w:rsid w:val="00C16CE8"/>
    <w:rsid w:val="00C177F6"/>
    <w:rsid w:val="00C204B6"/>
    <w:rsid w:val="00C21622"/>
    <w:rsid w:val="00C21BCE"/>
    <w:rsid w:val="00C21EFF"/>
    <w:rsid w:val="00C246E0"/>
    <w:rsid w:val="00C24D40"/>
    <w:rsid w:val="00C252FF"/>
    <w:rsid w:val="00C2625B"/>
    <w:rsid w:val="00C2699F"/>
    <w:rsid w:val="00C272B6"/>
    <w:rsid w:val="00C274BF"/>
    <w:rsid w:val="00C33011"/>
    <w:rsid w:val="00C33226"/>
    <w:rsid w:val="00C33347"/>
    <w:rsid w:val="00C33989"/>
    <w:rsid w:val="00C33A1A"/>
    <w:rsid w:val="00C33C3D"/>
    <w:rsid w:val="00C34177"/>
    <w:rsid w:val="00C3443E"/>
    <w:rsid w:val="00C352F5"/>
    <w:rsid w:val="00C35E8C"/>
    <w:rsid w:val="00C35F3B"/>
    <w:rsid w:val="00C36949"/>
    <w:rsid w:val="00C3739C"/>
    <w:rsid w:val="00C37962"/>
    <w:rsid w:val="00C40634"/>
    <w:rsid w:val="00C412AB"/>
    <w:rsid w:val="00C42C05"/>
    <w:rsid w:val="00C43860"/>
    <w:rsid w:val="00C446B8"/>
    <w:rsid w:val="00C448F2"/>
    <w:rsid w:val="00C4598C"/>
    <w:rsid w:val="00C45ED0"/>
    <w:rsid w:val="00C46425"/>
    <w:rsid w:val="00C47D16"/>
    <w:rsid w:val="00C506F5"/>
    <w:rsid w:val="00C509D9"/>
    <w:rsid w:val="00C50FFF"/>
    <w:rsid w:val="00C51C84"/>
    <w:rsid w:val="00C52234"/>
    <w:rsid w:val="00C52369"/>
    <w:rsid w:val="00C52396"/>
    <w:rsid w:val="00C52BC4"/>
    <w:rsid w:val="00C5462C"/>
    <w:rsid w:val="00C54AAA"/>
    <w:rsid w:val="00C54F53"/>
    <w:rsid w:val="00C55193"/>
    <w:rsid w:val="00C577A5"/>
    <w:rsid w:val="00C57B32"/>
    <w:rsid w:val="00C61487"/>
    <w:rsid w:val="00C620AE"/>
    <w:rsid w:val="00C633CD"/>
    <w:rsid w:val="00C645D1"/>
    <w:rsid w:val="00C64731"/>
    <w:rsid w:val="00C64ECC"/>
    <w:rsid w:val="00C66159"/>
    <w:rsid w:val="00C66CA1"/>
    <w:rsid w:val="00C679D6"/>
    <w:rsid w:val="00C7022D"/>
    <w:rsid w:val="00C71AC8"/>
    <w:rsid w:val="00C7267D"/>
    <w:rsid w:val="00C72B75"/>
    <w:rsid w:val="00C735B2"/>
    <w:rsid w:val="00C738FD"/>
    <w:rsid w:val="00C76E6D"/>
    <w:rsid w:val="00C811AA"/>
    <w:rsid w:val="00C814E9"/>
    <w:rsid w:val="00C81941"/>
    <w:rsid w:val="00C81BF2"/>
    <w:rsid w:val="00C822C4"/>
    <w:rsid w:val="00C833A7"/>
    <w:rsid w:val="00C839F4"/>
    <w:rsid w:val="00C83B0D"/>
    <w:rsid w:val="00C85F0C"/>
    <w:rsid w:val="00C86734"/>
    <w:rsid w:val="00C871EC"/>
    <w:rsid w:val="00C87ED2"/>
    <w:rsid w:val="00C91405"/>
    <w:rsid w:val="00C92931"/>
    <w:rsid w:val="00C93B6A"/>
    <w:rsid w:val="00C9615D"/>
    <w:rsid w:val="00CA1EC6"/>
    <w:rsid w:val="00CA294F"/>
    <w:rsid w:val="00CA333C"/>
    <w:rsid w:val="00CA49B5"/>
    <w:rsid w:val="00CA4A4F"/>
    <w:rsid w:val="00CA4FF9"/>
    <w:rsid w:val="00CA61DB"/>
    <w:rsid w:val="00CA6214"/>
    <w:rsid w:val="00CA6B85"/>
    <w:rsid w:val="00CA6F18"/>
    <w:rsid w:val="00CA7167"/>
    <w:rsid w:val="00CB04CD"/>
    <w:rsid w:val="00CB153D"/>
    <w:rsid w:val="00CB1AE0"/>
    <w:rsid w:val="00CB27F7"/>
    <w:rsid w:val="00CB2847"/>
    <w:rsid w:val="00CB2CAE"/>
    <w:rsid w:val="00CB4382"/>
    <w:rsid w:val="00CB7B47"/>
    <w:rsid w:val="00CC0683"/>
    <w:rsid w:val="00CC12E5"/>
    <w:rsid w:val="00CC215C"/>
    <w:rsid w:val="00CC22C0"/>
    <w:rsid w:val="00CC2750"/>
    <w:rsid w:val="00CC2A4F"/>
    <w:rsid w:val="00CC3435"/>
    <w:rsid w:val="00CC3637"/>
    <w:rsid w:val="00CC3EE5"/>
    <w:rsid w:val="00CC3FD0"/>
    <w:rsid w:val="00CC513C"/>
    <w:rsid w:val="00CC6005"/>
    <w:rsid w:val="00CC707D"/>
    <w:rsid w:val="00CC76DF"/>
    <w:rsid w:val="00CD0E27"/>
    <w:rsid w:val="00CD248E"/>
    <w:rsid w:val="00CD6B42"/>
    <w:rsid w:val="00CD7D32"/>
    <w:rsid w:val="00CE019C"/>
    <w:rsid w:val="00CE023D"/>
    <w:rsid w:val="00CE15C7"/>
    <w:rsid w:val="00CE30B2"/>
    <w:rsid w:val="00CE35B1"/>
    <w:rsid w:val="00CE3BEA"/>
    <w:rsid w:val="00CE44D7"/>
    <w:rsid w:val="00CE6831"/>
    <w:rsid w:val="00CE687B"/>
    <w:rsid w:val="00CE6FCE"/>
    <w:rsid w:val="00CE745D"/>
    <w:rsid w:val="00CF0587"/>
    <w:rsid w:val="00CF072D"/>
    <w:rsid w:val="00CF36EF"/>
    <w:rsid w:val="00CF3DCF"/>
    <w:rsid w:val="00CF3E65"/>
    <w:rsid w:val="00CF4275"/>
    <w:rsid w:val="00CF43DD"/>
    <w:rsid w:val="00CF4F00"/>
    <w:rsid w:val="00CF56D5"/>
    <w:rsid w:val="00CF5FCD"/>
    <w:rsid w:val="00CF6472"/>
    <w:rsid w:val="00CF689E"/>
    <w:rsid w:val="00CF6BC4"/>
    <w:rsid w:val="00CF701B"/>
    <w:rsid w:val="00D00142"/>
    <w:rsid w:val="00D01979"/>
    <w:rsid w:val="00D04722"/>
    <w:rsid w:val="00D04BD8"/>
    <w:rsid w:val="00D058F7"/>
    <w:rsid w:val="00D06350"/>
    <w:rsid w:val="00D064E6"/>
    <w:rsid w:val="00D071A8"/>
    <w:rsid w:val="00D07281"/>
    <w:rsid w:val="00D11779"/>
    <w:rsid w:val="00D12548"/>
    <w:rsid w:val="00D125CE"/>
    <w:rsid w:val="00D12CD7"/>
    <w:rsid w:val="00D1358E"/>
    <w:rsid w:val="00D148BD"/>
    <w:rsid w:val="00D15A07"/>
    <w:rsid w:val="00D16112"/>
    <w:rsid w:val="00D17D3F"/>
    <w:rsid w:val="00D17E65"/>
    <w:rsid w:val="00D205F4"/>
    <w:rsid w:val="00D22137"/>
    <w:rsid w:val="00D22688"/>
    <w:rsid w:val="00D23921"/>
    <w:rsid w:val="00D239B9"/>
    <w:rsid w:val="00D23E1F"/>
    <w:rsid w:val="00D24269"/>
    <w:rsid w:val="00D260EC"/>
    <w:rsid w:val="00D30141"/>
    <w:rsid w:val="00D305F8"/>
    <w:rsid w:val="00D30650"/>
    <w:rsid w:val="00D30832"/>
    <w:rsid w:val="00D30E6E"/>
    <w:rsid w:val="00D31217"/>
    <w:rsid w:val="00D32671"/>
    <w:rsid w:val="00D32753"/>
    <w:rsid w:val="00D32DF2"/>
    <w:rsid w:val="00D33887"/>
    <w:rsid w:val="00D347A2"/>
    <w:rsid w:val="00D352B1"/>
    <w:rsid w:val="00D3546F"/>
    <w:rsid w:val="00D357C2"/>
    <w:rsid w:val="00D35A07"/>
    <w:rsid w:val="00D36872"/>
    <w:rsid w:val="00D36ABB"/>
    <w:rsid w:val="00D37529"/>
    <w:rsid w:val="00D37788"/>
    <w:rsid w:val="00D377BC"/>
    <w:rsid w:val="00D37CFD"/>
    <w:rsid w:val="00D40BA9"/>
    <w:rsid w:val="00D4247A"/>
    <w:rsid w:val="00D42711"/>
    <w:rsid w:val="00D445B2"/>
    <w:rsid w:val="00D448EE"/>
    <w:rsid w:val="00D4570B"/>
    <w:rsid w:val="00D507A1"/>
    <w:rsid w:val="00D507D3"/>
    <w:rsid w:val="00D509E0"/>
    <w:rsid w:val="00D50D21"/>
    <w:rsid w:val="00D50F7D"/>
    <w:rsid w:val="00D558F3"/>
    <w:rsid w:val="00D56203"/>
    <w:rsid w:val="00D5645E"/>
    <w:rsid w:val="00D5759C"/>
    <w:rsid w:val="00D57C00"/>
    <w:rsid w:val="00D60C41"/>
    <w:rsid w:val="00D60CB5"/>
    <w:rsid w:val="00D621D7"/>
    <w:rsid w:val="00D62CEB"/>
    <w:rsid w:val="00D632D6"/>
    <w:rsid w:val="00D636E8"/>
    <w:rsid w:val="00D665CD"/>
    <w:rsid w:val="00D71DD9"/>
    <w:rsid w:val="00D7349A"/>
    <w:rsid w:val="00D736E6"/>
    <w:rsid w:val="00D747F6"/>
    <w:rsid w:val="00D74C52"/>
    <w:rsid w:val="00D74C99"/>
    <w:rsid w:val="00D74CC5"/>
    <w:rsid w:val="00D74FA7"/>
    <w:rsid w:val="00D756FB"/>
    <w:rsid w:val="00D75738"/>
    <w:rsid w:val="00D75E30"/>
    <w:rsid w:val="00D760ED"/>
    <w:rsid w:val="00D76209"/>
    <w:rsid w:val="00D76E16"/>
    <w:rsid w:val="00D77CDA"/>
    <w:rsid w:val="00D803F3"/>
    <w:rsid w:val="00D80B9A"/>
    <w:rsid w:val="00D81737"/>
    <w:rsid w:val="00D84B0E"/>
    <w:rsid w:val="00D8595A"/>
    <w:rsid w:val="00D85CF9"/>
    <w:rsid w:val="00D86195"/>
    <w:rsid w:val="00D86BAE"/>
    <w:rsid w:val="00D86EC9"/>
    <w:rsid w:val="00D873FB"/>
    <w:rsid w:val="00D87701"/>
    <w:rsid w:val="00D87AA9"/>
    <w:rsid w:val="00D87BA9"/>
    <w:rsid w:val="00D87FF7"/>
    <w:rsid w:val="00D91678"/>
    <w:rsid w:val="00D91F13"/>
    <w:rsid w:val="00D92471"/>
    <w:rsid w:val="00D9271F"/>
    <w:rsid w:val="00D92925"/>
    <w:rsid w:val="00D92E7E"/>
    <w:rsid w:val="00D93C1A"/>
    <w:rsid w:val="00D97734"/>
    <w:rsid w:val="00D9776E"/>
    <w:rsid w:val="00D97EA4"/>
    <w:rsid w:val="00DA004D"/>
    <w:rsid w:val="00DA0A66"/>
    <w:rsid w:val="00DA0AFE"/>
    <w:rsid w:val="00DA130B"/>
    <w:rsid w:val="00DA1768"/>
    <w:rsid w:val="00DA196B"/>
    <w:rsid w:val="00DA2F94"/>
    <w:rsid w:val="00DA30AA"/>
    <w:rsid w:val="00DA32DB"/>
    <w:rsid w:val="00DA420F"/>
    <w:rsid w:val="00DA4B07"/>
    <w:rsid w:val="00DA5747"/>
    <w:rsid w:val="00DA5C36"/>
    <w:rsid w:val="00DA5C5B"/>
    <w:rsid w:val="00DA5F68"/>
    <w:rsid w:val="00DA5F86"/>
    <w:rsid w:val="00DA6B62"/>
    <w:rsid w:val="00DB0215"/>
    <w:rsid w:val="00DB039A"/>
    <w:rsid w:val="00DB1B98"/>
    <w:rsid w:val="00DB2506"/>
    <w:rsid w:val="00DB273E"/>
    <w:rsid w:val="00DB3D0D"/>
    <w:rsid w:val="00DB43C2"/>
    <w:rsid w:val="00DB47A7"/>
    <w:rsid w:val="00DB4F5C"/>
    <w:rsid w:val="00DB4F66"/>
    <w:rsid w:val="00DB51AB"/>
    <w:rsid w:val="00DB5574"/>
    <w:rsid w:val="00DB5C6F"/>
    <w:rsid w:val="00DB6496"/>
    <w:rsid w:val="00DB7538"/>
    <w:rsid w:val="00DB7706"/>
    <w:rsid w:val="00DB7BDF"/>
    <w:rsid w:val="00DC0DFE"/>
    <w:rsid w:val="00DC1BD1"/>
    <w:rsid w:val="00DC31E0"/>
    <w:rsid w:val="00DC3DC2"/>
    <w:rsid w:val="00DC3DC8"/>
    <w:rsid w:val="00DC3F3E"/>
    <w:rsid w:val="00DC42AD"/>
    <w:rsid w:val="00DC4D65"/>
    <w:rsid w:val="00DC64A6"/>
    <w:rsid w:val="00DC65AA"/>
    <w:rsid w:val="00DC7662"/>
    <w:rsid w:val="00DD0335"/>
    <w:rsid w:val="00DD0482"/>
    <w:rsid w:val="00DD18D6"/>
    <w:rsid w:val="00DD2932"/>
    <w:rsid w:val="00DD397E"/>
    <w:rsid w:val="00DD4361"/>
    <w:rsid w:val="00DD5199"/>
    <w:rsid w:val="00DD61F4"/>
    <w:rsid w:val="00DD7BC5"/>
    <w:rsid w:val="00DE077F"/>
    <w:rsid w:val="00DE0D5B"/>
    <w:rsid w:val="00DE2027"/>
    <w:rsid w:val="00DE232A"/>
    <w:rsid w:val="00DE2491"/>
    <w:rsid w:val="00DE32F4"/>
    <w:rsid w:val="00DE4C81"/>
    <w:rsid w:val="00DE5303"/>
    <w:rsid w:val="00DE5B68"/>
    <w:rsid w:val="00DE7852"/>
    <w:rsid w:val="00DE78FB"/>
    <w:rsid w:val="00DE7C43"/>
    <w:rsid w:val="00DE7FBA"/>
    <w:rsid w:val="00DF2024"/>
    <w:rsid w:val="00DF2139"/>
    <w:rsid w:val="00DF23ED"/>
    <w:rsid w:val="00DF38C6"/>
    <w:rsid w:val="00DF49C1"/>
    <w:rsid w:val="00DF6306"/>
    <w:rsid w:val="00E041F6"/>
    <w:rsid w:val="00E042AA"/>
    <w:rsid w:val="00E042B5"/>
    <w:rsid w:val="00E047DD"/>
    <w:rsid w:val="00E05833"/>
    <w:rsid w:val="00E117FB"/>
    <w:rsid w:val="00E11C95"/>
    <w:rsid w:val="00E121D9"/>
    <w:rsid w:val="00E12579"/>
    <w:rsid w:val="00E1296D"/>
    <w:rsid w:val="00E12A87"/>
    <w:rsid w:val="00E13235"/>
    <w:rsid w:val="00E1450D"/>
    <w:rsid w:val="00E15032"/>
    <w:rsid w:val="00E15271"/>
    <w:rsid w:val="00E156A7"/>
    <w:rsid w:val="00E15AB6"/>
    <w:rsid w:val="00E16A3B"/>
    <w:rsid w:val="00E17783"/>
    <w:rsid w:val="00E205EF"/>
    <w:rsid w:val="00E21316"/>
    <w:rsid w:val="00E21334"/>
    <w:rsid w:val="00E23097"/>
    <w:rsid w:val="00E235AA"/>
    <w:rsid w:val="00E26BA7"/>
    <w:rsid w:val="00E26F87"/>
    <w:rsid w:val="00E27819"/>
    <w:rsid w:val="00E30FDA"/>
    <w:rsid w:val="00E310C7"/>
    <w:rsid w:val="00E31C4C"/>
    <w:rsid w:val="00E34266"/>
    <w:rsid w:val="00E34644"/>
    <w:rsid w:val="00E3491F"/>
    <w:rsid w:val="00E35F90"/>
    <w:rsid w:val="00E364CE"/>
    <w:rsid w:val="00E3650E"/>
    <w:rsid w:val="00E36553"/>
    <w:rsid w:val="00E36B77"/>
    <w:rsid w:val="00E37014"/>
    <w:rsid w:val="00E374A0"/>
    <w:rsid w:val="00E40722"/>
    <w:rsid w:val="00E4096A"/>
    <w:rsid w:val="00E4150B"/>
    <w:rsid w:val="00E418A3"/>
    <w:rsid w:val="00E41FDA"/>
    <w:rsid w:val="00E42291"/>
    <w:rsid w:val="00E423D6"/>
    <w:rsid w:val="00E42CA3"/>
    <w:rsid w:val="00E43D9E"/>
    <w:rsid w:val="00E44CA8"/>
    <w:rsid w:val="00E44E30"/>
    <w:rsid w:val="00E466E7"/>
    <w:rsid w:val="00E504D2"/>
    <w:rsid w:val="00E510E1"/>
    <w:rsid w:val="00E51E09"/>
    <w:rsid w:val="00E520A4"/>
    <w:rsid w:val="00E52D4C"/>
    <w:rsid w:val="00E5301C"/>
    <w:rsid w:val="00E5386C"/>
    <w:rsid w:val="00E53BC0"/>
    <w:rsid w:val="00E53D8D"/>
    <w:rsid w:val="00E544CF"/>
    <w:rsid w:val="00E54601"/>
    <w:rsid w:val="00E605D6"/>
    <w:rsid w:val="00E6164D"/>
    <w:rsid w:val="00E6274F"/>
    <w:rsid w:val="00E634F2"/>
    <w:rsid w:val="00E63B81"/>
    <w:rsid w:val="00E63BA5"/>
    <w:rsid w:val="00E64496"/>
    <w:rsid w:val="00E6564B"/>
    <w:rsid w:val="00E675A9"/>
    <w:rsid w:val="00E676C4"/>
    <w:rsid w:val="00E679DE"/>
    <w:rsid w:val="00E71B4A"/>
    <w:rsid w:val="00E746FF"/>
    <w:rsid w:val="00E74A9B"/>
    <w:rsid w:val="00E75A4B"/>
    <w:rsid w:val="00E76197"/>
    <w:rsid w:val="00E769F6"/>
    <w:rsid w:val="00E76B97"/>
    <w:rsid w:val="00E772DF"/>
    <w:rsid w:val="00E801C6"/>
    <w:rsid w:val="00E8049A"/>
    <w:rsid w:val="00E812E2"/>
    <w:rsid w:val="00E815C4"/>
    <w:rsid w:val="00E816A9"/>
    <w:rsid w:val="00E823C0"/>
    <w:rsid w:val="00E82A81"/>
    <w:rsid w:val="00E840B2"/>
    <w:rsid w:val="00E84F75"/>
    <w:rsid w:val="00E859B6"/>
    <w:rsid w:val="00E86100"/>
    <w:rsid w:val="00E86493"/>
    <w:rsid w:val="00E866EE"/>
    <w:rsid w:val="00E87AC5"/>
    <w:rsid w:val="00E90B4B"/>
    <w:rsid w:val="00E91344"/>
    <w:rsid w:val="00E91D9C"/>
    <w:rsid w:val="00E91FD0"/>
    <w:rsid w:val="00E933C7"/>
    <w:rsid w:val="00E937D6"/>
    <w:rsid w:val="00E93AFE"/>
    <w:rsid w:val="00E95145"/>
    <w:rsid w:val="00E957E3"/>
    <w:rsid w:val="00E958E3"/>
    <w:rsid w:val="00E979DD"/>
    <w:rsid w:val="00E97B71"/>
    <w:rsid w:val="00E97C65"/>
    <w:rsid w:val="00E97E01"/>
    <w:rsid w:val="00EA007D"/>
    <w:rsid w:val="00EA262A"/>
    <w:rsid w:val="00EA2685"/>
    <w:rsid w:val="00EA5F9F"/>
    <w:rsid w:val="00EA694B"/>
    <w:rsid w:val="00EA793C"/>
    <w:rsid w:val="00EB035C"/>
    <w:rsid w:val="00EB03B4"/>
    <w:rsid w:val="00EB0441"/>
    <w:rsid w:val="00EB09DF"/>
    <w:rsid w:val="00EB0A96"/>
    <w:rsid w:val="00EB13FD"/>
    <w:rsid w:val="00EB23EA"/>
    <w:rsid w:val="00EB2E1E"/>
    <w:rsid w:val="00EB30B8"/>
    <w:rsid w:val="00EB3515"/>
    <w:rsid w:val="00EB3DD7"/>
    <w:rsid w:val="00EB3F04"/>
    <w:rsid w:val="00EB3F89"/>
    <w:rsid w:val="00EB4BB0"/>
    <w:rsid w:val="00EB6383"/>
    <w:rsid w:val="00EB6735"/>
    <w:rsid w:val="00EB689D"/>
    <w:rsid w:val="00EB69A1"/>
    <w:rsid w:val="00EB7CC8"/>
    <w:rsid w:val="00EC01E1"/>
    <w:rsid w:val="00EC067D"/>
    <w:rsid w:val="00EC0DF6"/>
    <w:rsid w:val="00EC1AEF"/>
    <w:rsid w:val="00EC22C6"/>
    <w:rsid w:val="00EC350A"/>
    <w:rsid w:val="00EC3C66"/>
    <w:rsid w:val="00EC451F"/>
    <w:rsid w:val="00EC4861"/>
    <w:rsid w:val="00EC4D52"/>
    <w:rsid w:val="00EC52C2"/>
    <w:rsid w:val="00EC538F"/>
    <w:rsid w:val="00EC68C8"/>
    <w:rsid w:val="00EC6E31"/>
    <w:rsid w:val="00EC75E9"/>
    <w:rsid w:val="00ED01DA"/>
    <w:rsid w:val="00ED0E9E"/>
    <w:rsid w:val="00ED152A"/>
    <w:rsid w:val="00ED313D"/>
    <w:rsid w:val="00ED3B31"/>
    <w:rsid w:val="00ED5747"/>
    <w:rsid w:val="00ED6FAB"/>
    <w:rsid w:val="00EE0589"/>
    <w:rsid w:val="00EE0EB7"/>
    <w:rsid w:val="00EE1DB8"/>
    <w:rsid w:val="00EE26CD"/>
    <w:rsid w:val="00EE2A5F"/>
    <w:rsid w:val="00EE2BEF"/>
    <w:rsid w:val="00EE3BD7"/>
    <w:rsid w:val="00EE3F7C"/>
    <w:rsid w:val="00EE54F0"/>
    <w:rsid w:val="00EE577B"/>
    <w:rsid w:val="00EF02FF"/>
    <w:rsid w:val="00EF1BAD"/>
    <w:rsid w:val="00EF28AF"/>
    <w:rsid w:val="00EF31BE"/>
    <w:rsid w:val="00EF5B2E"/>
    <w:rsid w:val="00EF6973"/>
    <w:rsid w:val="00EF72D2"/>
    <w:rsid w:val="00EF78BC"/>
    <w:rsid w:val="00EF7A39"/>
    <w:rsid w:val="00F00205"/>
    <w:rsid w:val="00F007E0"/>
    <w:rsid w:val="00F01591"/>
    <w:rsid w:val="00F03C3E"/>
    <w:rsid w:val="00F04B0D"/>
    <w:rsid w:val="00F05B82"/>
    <w:rsid w:val="00F05D3B"/>
    <w:rsid w:val="00F05FD5"/>
    <w:rsid w:val="00F0780B"/>
    <w:rsid w:val="00F107A6"/>
    <w:rsid w:val="00F1120B"/>
    <w:rsid w:val="00F11988"/>
    <w:rsid w:val="00F11AEA"/>
    <w:rsid w:val="00F1201D"/>
    <w:rsid w:val="00F1239E"/>
    <w:rsid w:val="00F13FEB"/>
    <w:rsid w:val="00F14038"/>
    <w:rsid w:val="00F15500"/>
    <w:rsid w:val="00F1693A"/>
    <w:rsid w:val="00F16A2C"/>
    <w:rsid w:val="00F16B3F"/>
    <w:rsid w:val="00F16E58"/>
    <w:rsid w:val="00F16FD6"/>
    <w:rsid w:val="00F172FE"/>
    <w:rsid w:val="00F174B9"/>
    <w:rsid w:val="00F17F73"/>
    <w:rsid w:val="00F20171"/>
    <w:rsid w:val="00F21479"/>
    <w:rsid w:val="00F22104"/>
    <w:rsid w:val="00F228D7"/>
    <w:rsid w:val="00F22BD3"/>
    <w:rsid w:val="00F22EA1"/>
    <w:rsid w:val="00F23C4F"/>
    <w:rsid w:val="00F243D0"/>
    <w:rsid w:val="00F2485C"/>
    <w:rsid w:val="00F24AAB"/>
    <w:rsid w:val="00F25A73"/>
    <w:rsid w:val="00F26BB8"/>
    <w:rsid w:val="00F3201C"/>
    <w:rsid w:val="00F320E3"/>
    <w:rsid w:val="00F329DD"/>
    <w:rsid w:val="00F3593B"/>
    <w:rsid w:val="00F35F3E"/>
    <w:rsid w:val="00F368A5"/>
    <w:rsid w:val="00F3781D"/>
    <w:rsid w:val="00F4025A"/>
    <w:rsid w:val="00F40BF7"/>
    <w:rsid w:val="00F414D8"/>
    <w:rsid w:val="00F41B21"/>
    <w:rsid w:val="00F420E4"/>
    <w:rsid w:val="00F43B63"/>
    <w:rsid w:val="00F44DEE"/>
    <w:rsid w:val="00F46EAD"/>
    <w:rsid w:val="00F471E5"/>
    <w:rsid w:val="00F4757D"/>
    <w:rsid w:val="00F47E7B"/>
    <w:rsid w:val="00F501B7"/>
    <w:rsid w:val="00F509D4"/>
    <w:rsid w:val="00F537FD"/>
    <w:rsid w:val="00F55FCD"/>
    <w:rsid w:val="00F569C7"/>
    <w:rsid w:val="00F605B5"/>
    <w:rsid w:val="00F614F9"/>
    <w:rsid w:val="00F62022"/>
    <w:rsid w:val="00F62027"/>
    <w:rsid w:val="00F627D1"/>
    <w:rsid w:val="00F62C4B"/>
    <w:rsid w:val="00F632CF"/>
    <w:rsid w:val="00F63315"/>
    <w:rsid w:val="00F636D3"/>
    <w:rsid w:val="00F646B4"/>
    <w:rsid w:val="00F64803"/>
    <w:rsid w:val="00F64A99"/>
    <w:rsid w:val="00F64C74"/>
    <w:rsid w:val="00F64EAE"/>
    <w:rsid w:val="00F65152"/>
    <w:rsid w:val="00F651EB"/>
    <w:rsid w:val="00F65A13"/>
    <w:rsid w:val="00F706AC"/>
    <w:rsid w:val="00F70F77"/>
    <w:rsid w:val="00F71BF6"/>
    <w:rsid w:val="00F72078"/>
    <w:rsid w:val="00F72494"/>
    <w:rsid w:val="00F73601"/>
    <w:rsid w:val="00F739C3"/>
    <w:rsid w:val="00F7405F"/>
    <w:rsid w:val="00F74071"/>
    <w:rsid w:val="00F7434F"/>
    <w:rsid w:val="00F74FCA"/>
    <w:rsid w:val="00F75129"/>
    <w:rsid w:val="00F765AB"/>
    <w:rsid w:val="00F7733D"/>
    <w:rsid w:val="00F77CFD"/>
    <w:rsid w:val="00F801FC"/>
    <w:rsid w:val="00F80D7A"/>
    <w:rsid w:val="00F8215A"/>
    <w:rsid w:val="00F82B34"/>
    <w:rsid w:val="00F84EAB"/>
    <w:rsid w:val="00F86DCF"/>
    <w:rsid w:val="00F87495"/>
    <w:rsid w:val="00F87790"/>
    <w:rsid w:val="00F90DE5"/>
    <w:rsid w:val="00F916BD"/>
    <w:rsid w:val="00F91C4D"/>
    <w:rsid w:val="00F9295C"/>
    <w:rsid w:val="00F92AC5"/>
    <w:rsid w:val="00F93F19"/>
    <w:rsid w:val="00F9633D"/>
    <w:rsid w:val="00F96379"/>
    <w:rsid w:val="00F9659B"/>
    <w:rsid w:val="00FA086F"/>
    <w:rsid w:val="00FA1CC7"/>
    <w:rsid w:val="00FA2399"/>
    <w:rsid w:val="00FA4B96"/>
    <w:rsid w:val="00FA53C6"/>
    <w:rsid w:val="00FA5875"/>
    <w:rsid w:val="00FA592A"/>
    <w:rsid w:val="00FA5CC6"/>
    <w:rsid w:val="00FA7306"/>
    <w:rsid w:val="00FB096A"/>
    <w:rsid w:val="00FB1505"/>
    <w:rsid w:val="00FB21E2"/>
    <w:rsid w:val="00FB3C80"/>
    <w:rsid w:val="00FB4C65"/>
    <w:rsid w:val="00FB4F1F"/>
    <w:rsid w:val="00FB7146"/>
    <w:rsid w:val="00FC1794"/>
    <w:rsid w:val="00FC3786"/>
    <w:rsid w:val="00FC4678"/>
    <w:rsid w:val="00FC473C"/>
    <w:rsid w:val="00FC4919"/>
    <w:rsid w:val="00FC5A0F"/>
    <w:rsid w:val="00FC6468"/>
    <w:rsid w:val="00FC69BD"/>
    <w:rsid w:val="00FC6C61"/>
    <w:rsid w:val="00FC76C6"/>
    <w:rsid w:val="00FD04B7"/>
    <w:rsid w:val="00FD09E3"/>
    <w:rsid w:val="00FD206A"/>
    <w:rsid w:val="00FD2076"/>
    <w:rsid w:val="00FD25B2"/>
    <w:rsid w:val="00FD364C"/>
    <w:rsid w:val="00FD36A4"/>
    <w:rsid w:val="00FD4CF6"/>
    <w:rsid w:val="00FD52F4"/>
    <w:rsid w:val="00FD5871"/>
    <w:rsid w:val="00FD5950"/>
    <w:rsid w:val="00FD5A3E"/>
    <w:rsid w:val="00FD62AB"/>
    <w:rsid w:val="00FD6681"/>
    <w:rsid w:val="00FD68D1"/>
    <w:rsid w:val="00FD6E95"/>
    <w:rsid w:val="00FD709A"/>
    <w:rsid w:val="00FD71AA"/>
    <w:rsid w:val="00FD7B98"/>
    <w:rsid w:val="00FE05F7"/>
    <w:rsid w:val="00FE14A4"/>
    <w:rsid w:val="00FE1695"/>
    <w:rsid w:val="00FE1FC8"/>
    <w:rsid w:val="00FE29EB"/>
    <w:rsid w:val="00FE2E01"/>
    <w:rsid w:val="00FE305B"/>
    <w:rsid w:val="00FE366E"/>
    <w:rsid w:val="00FE4385"/>
    <w:rsid w:val="00FE6DFB"/>
    <w:rsid w:val="00FE71E6"/>
    <w:rsid w:val="00FE748C"/>
    <w:rsid w:val="00FE7A47"/>
    <w:rsid w:val="00FE7C6B"/>
    <w:rsid w:val="00FF0031"/>
    <w:rsid w:val="00FF1003"/>
    <w:rsid w:val="00FF1304"/>
    <w:rsid w:val="00FF1ED0"/>
    <w:rsid w:val="00FF2492"/>
    <w:rsid w:val="00FF25A6"/>
    <w:rsid w:val="00FF29D4"/>
    <w:rsid w:val="00FF4F8D"/>
    <w:rsid w:val="00FF5FD4"/>
    <w:rsid w:val="00FF602D"/>
    <w:rsid w:val="00FF74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7247"/>
    <w:pPr>
      <w:jc w:val="both"/>
    </w:pPr>
    <w:rPr>
      <w:rFonts w:ascii="Arial" w:hAnsi="Arial"/>
      <w:lang w:val="en-GB" w:eastAsia="ja-JP"/>
    </w:rPr>
  </w:style>
  <w:style w:type="paragraph" w:styleId="Heading1">
    <w:name w:val="heading 1"/>
    <w:basedOn w:val="Normal"/>
    <w:next w:val="Normal"/>
    <w:qFormat/>
    <w:rsid w:val="00AC0404"/>
    <w:pPr>
      <w:tabs>
        <w:tab w:val="left" w:pos="680"/>
      </w:tabs>
      <w:spacing w:before="240" w:after="120"/>
      <w:outlineLvl w:val="0"/>
    </w:pPr>
    <w:rPr>
      <w:b/>
      <w:sz w:val="25"/>
    </w:rPr>
  </w:style>
  <w:style w:type="paragraph" w:styleId="Heading2">
    <w:name w:val="heading 2"/>
    <w:basedOn w:val="Normal"/>
    <w:next w:val="Normal"/>
    <w:qFormat/>
    <w:rsid w:val="004A354B"/>
    <w:pPr>
      <w:keepNext/>
      <w:tabs>
        <w:tab w:val="left" w:pos="680"/>
      </w:tabs>
      <w:spacing w:before="180"/>
      <w:outlineLvl w:val="1"/>
    </w:pPr>
    <w:rPr>
      <w:rFonts w:cs="Arial"/>
      <w:b/>
      <w:bCs/>
      <w:i/>
      <w:iCs/>
      <w:sz w:val="22"/>
      <w:szCs w:val="28"/>
    </w:rPr>
  </w:style>
  <w:style w:type="paragraph" w:styleId="Heading3">
    <w:name w:val="heading 3"/>
    <w:basedOn w:val="Normal"/>
    <w:next w:val="Normal"/>
    <w:qFormat/>
    <w:rsid w:val="00897380"/>
    <w:pPr>
      <w:keepNext/>
      <w:tabs>
        <w:tab w:val="left" w:pos="567"/>
      </w:tabs>
      <w:spacing w:before="60"/>
      <w:outlineLvl w:val="2"/>
    </w:pPr>
    <w:rPr>
      <w:rFonts w:cs="Arial"/>
      <w:bCs/>
      <w:i/>
      <w:sz w:val="21"/>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over">
    <w:name w:val="Cover"/>
    <w:basedOn w:val="Normal"/>
    <w:pPr>
      <w:tabs>
        <w:tab w:val="left" w:pos="720"/>
        <w:tab w:val="left" w:pos="5760"/>
        <w:tab w:val="left" w:pos="7920"/>
      </w:tabs>
      <w:ind w:left="2160" w:hanging="2160"/>
    </w:pPr>
  </w:style>
  <w:style w:type="character" w:styleId="Hyperlink">
    <w:name w:val="Hyperlink"/>
    <w:basedOn w:val="DefaultParagraphFont"/>
    <w:rsid w:val="00206A8A"/>
    <w:rPr>
      <w:color w:val="0000FF"/>
      <w:u w:val="single"/>
    </w:rPr>
  </w:style>
  <w:style w:type="paragraph" w:customStyle="1" w:styleId="Heading0">
    <w:name w:val="Heading 0"/>
    <w:basedOn w:val="Normal"/>
    <w:next w:val="BodyText"/>
    <w:rsid w:val="00206A8A"/>
    <w:pPr>
      <w:keepNext/>
      <w:autoSpaceDE w:val="0"/>
      <w:autoSpaceDN w:val="0"/>
      <w:spacing w:before="240" w:after="120"/>
    </w:pPr>
    <w:rPr>
      <w:rFonts w:eastAsia="Times New Roman" w:cs="Arial"/>
      <w:b/>
      <w:bCs/>
      <w:kern w:val="32"/>
      <w:sz w:val="28"/>
      <w:szCs w:val="32"/>
      <w:lang w:eastAsia="en-US"/>
    </w:rPr>
  </w:style>
  <w:style w:type="paragraph" w:customStyle="1" w:styleId="TableText">
    <w:name w:val="Table Text"/>
    <w:basedOn w:val="Normal"/>
    <w:rsid w:val="00206A8A"/>
    <w:pPr>
      <w:autoSpaceDE w:val="0"/>
      <w:autoSpaceDN w:val="0"/>
    </w:pPr>
    <w:rPr>
      <w:rFonts w:ascii="Verdana" w:eastAsia="Times New Roman" w:hAnsi="Verdana" w:cs="Verdana"/>
      <w:sz w:val="18"/>
      <w:szCs w:val="18"/>
      <w:lang w:eastAsia="en-US"/>
    </w:rPr>
  </w:style>
  <w:style w:type="paragraph" w:customStyle="1" w:styleId="bullet1">
    <w:name w:val="bullet1"/>
    <w:basedOn w:val="Normal"/>
    <w:pPr>
      <w:ind w:left="567" w:hanging="567"/>
    </w:pPr>
  </w:style>
  <w:style w:type="paragraph" w:customStyle="1" w:styleId="bullet2">
    <w:name w:val="bullet2"/>
    <w:basedOn w:val="bullet1"/>
    <w:rsid w:val="00510A92"/>
    <w:pPr>
      <w:ind w:left="1134"/>
    </w:pPr>
  </w:style>
  <w:style w:type="paragraph" w:customStyle="1" w:styleId="Contents">
    <w:name w:val="Contents"/>
    <w:basedOn w:val="Normal"/>
    <w:pPr>
      <w:tabs>
        <w:tab w:val="left" w:pos="1304"/>
      </w:tabs>
    </w:pPr>
  </w:style>
  <w:style w:type="paragraph" w:customStyle="1" w:styleId="ColumnHeading">
    <w:name w:val="Column Heading"/>
    <w:basedOn w:val="TableText"/>
    <w:next w:val="BodyText"/>
    <w:rsid w:val="00206A8A"/>
    <w:pPr>
      <w:jc w:val="center"/>
    </w:pPr>
  </w:style>
  <w:style w:type="paragraph" w:styleId="Footer">
    <w:name w:val="footer"/>
    <w:basedOn w:val="Normal"/>
    <w:pPr>
      <w:tabs>
        <w:tab w:val="center" w:pos="4153"/>
        <w:tab w:val="right" w:pos="8306"/>
      </w:tabs>
    </w:pPr>
  </w:style>
  <w:style w:type="paragraph" w:styleId="Header">
    <w:name w:val="header"/>
    <w:basedOn w:val="Normal"/>
    <w:pPr>
      <w:tabs>
        <w:tab w:val="center" w:pos="4320"/>
        <w:tab w:val="left" w:pos="7740"/>
        <w:tab w:val="right" w:pos="8640"/>
      </w:tabs>
      <w:ind w:right="26"/>
    </w:pPr>
  </w:style>
  <w:style w:type="paragraph" w:styleId="BodyText">
    <w:name w:val="Body Text"/>
    <w:basedOn w:val="Normal"/>
    <w:rsid w:val="00206A8A"/>
    <w:pPr>
      <w:spacing w:after="120"/>
    </w:pPr>
  </w:style>
  <w:style w:type="paragraph" w:customStyle="1" w:styleId="HeadingA">
    <w:name w:val="Heading A"/>
    <w:basedOn w:val="Normal"/>
    <w:rsid w:val="00D1358E"/>
    <w:pPr>
      <w:spacing w:before="180" w:after="120"/>
    </w:pPr>
    <w:rPr>
      <w:b/>
      <w:sz w:val="22"/>
    </w:rPr>
  </w:style>
  <w:style w:type="character" w:styleId="PageNumber">
    <w:name w:val="page number"/>
    <w:basedOn w:val="DefaultParagraphFont"/>
    <w:rsid w:val="005B6243"/>
  </w:style>
  <w:style w:type="paragraph" w:styleId="TOC1">
    <w:name w:val="toc 1"/>
    <w:basedOn w:val="Normal"/>
    <w:next w:val="Normal"/>
    <w:autoRedefine/>
    <w:semiHidden/>
    <w:rsid w:val="001D32C0"/>
    <w:pPr>
      <w:tabs>
        <w:tab w:val="left" w:pos="550"/>
        <w:tab w:val="right" w:leader="dot" w:pos="9053"/>
      </w:tabs>
      <w:spacing w:before="80" w:after="40"/>
    </w:pPr>
    <w:rPr>
      <w:rFonts w:eastAsia="Times New Roman"/>
      <w:b/>
      <w:noProof/>
    </w:rPr>
  </w:style>
  <w:style w:type="paragraph" w:styleId="TOC3">
    <w:name w:val="toc 3"/>
    <w:basedOn w:val="Normal"/>
    <w:next w:val="Normal"/>
    <w:autoRedefine/>
    <w:semiHidden/>
    <w:rsid w:val="00EC1AEF"/>
    <w:pPr>
      <w:tabs>
        <w:tab w:val="left" w:pos="1254"/>
        <w:tab w:val="right" w:leader="dot" w:pos="9060"/>
      </w:tabs>
      <w:ind w:left="567"/>
    </w:pPr>
    <w:rPr>
      <w:rFonts w:ascii="Verdana" w:hAnsi="Verdana"/>
      <w:sz w:val="18"/>
    </w:rPr>
  </w:style>
  <w:style w:type="table" w:styleId="TableGrid">
    <w:name w:val="Table Grid"/>
    <w:basedOn w:val="TableNormal"/>
    <w:rsid w:val="00D12CD7"/>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8068ED"/>
    <w:rPr>
      <w:color w:val="800080"/>
      <w:u w:val="single"/>
    </w:rPr>
  </w:style>
  <w:style w:type="paragraph" w:styleId="TOC2">
    <w:name w:val="toc 2"/>
    <w:basedOn w:val="Normal"/>
    <w:next w:val="Normal"/>
    <w:autoRedefine/>
    <w:semiHidden/>
    <w:rsid w:val="00815A11"/>
    <w:pPr>
      <w:tabs>
        <w:tab w:val="left" w:pos="1276"/>
        <w:tab w:val="right" w:leader="dot" w:pos="8647"/>
      </w:tabs>
      <w:ind w:left="567"/>
    </w:pPr>
  </w:style>
  <w:style w:type="paragraph" w:customStyle="1" w:styleId="StyleLeft1cm">
    <w:name w:val="Style Left:  1 cm"/>
    <w:basedOn w:val="Normal"/>
    <w:rsid w:val="00C446B8"/>
    <w:pPr>
      <w:ind w:left="737"/>
    </w:pPr>
  </w:style>
  <w:style w:type="paragraph" w:customStyle="1" w:styleId="Special">
    <w:name w:val="Special"/>
    <w:basedOn w:val="Normal"/>
    <w:rsid w:val="006E65CC"/>
    <w:pPr>
      <w:numPr>
        <w:numId w:val="1"/>
      </w:numPr>
      <w:spacing w:before="120"/>
    </w:pPr>
    <w:rPr>
      <w:rFonts w:cs="Arial"/>
    </w:rPr>
  </w:style>
  <w:style w:type="paragraph" w:customStyle="1" w:styleId="Rule">
    <w:name w:val="Rule"/>
    <w:basedOn w:val="Normal"/>
    <w:rsid w:val="00E97E01"/>
    <w:pPr>
      <w:ind w:left="851" w:hanging="851"/>
    </w:pPr>
    <w:rPr>
      <w:i/>
    </w:rPr>
  </w:style>
  <w:style w:type="numbering" w:customStyle="1" w:styleId="Main-letter">
    <w:name w:val="Main-letter"/>
    <w:rsid w:val="0062122A"/>
    <w:pPr>
      <w:numPr>
        <w:numId w:val="4"/>
      </w:numPr>
    </w:pPr>
  </w:style>
  <w:style w:type="numbering" w:customStyle="1" w:styleId="Main-bullet">
    <w:name w:val="Main-bullet"/>
    <w:rsid w:val="0062122A"/>
    <w:pPr>
      <w:numPr>
        <w:numId w:val="5"/>
      </w:numPr>
    </w:pPr>
  </w:style>
  <w:style w:type="numbering" w:customStyle="1" w:styleId="Main-number">
    <w:name w:val="Main-number"/>
    <w:rsid w:val="0062122A"/>
    <w:pPr>
      <w:numPr>
        <w:numId w:val="7"/>
      </w:numPr>
    </w:pPr>
  </w:style>
</w:styles>
</file>

<file path=word/webSettings.xml><?xml version="1.0" encoding="utf-8"?>
<w:webSettings xmlns:r="http://schemas.openxmlformats.org/officeDocument/2006/relationships" xmlns:w="http://schemas.openxmlformats.org/wordprocessingml/2006/main">
  <w:divs>
    <w:div w:id="18745895">
      <w:bodyDiv w:val="1"/>
      <w:marLeft w:val="0"/>
      <w:marRight w:val="0"/>
      <w:marTop w:val="0"/>
      <w:marBottom w:val="0"/>
      <w:divBdr>
        <w:top w:val="none" w:sz="0" w:space="0" w:color="auto"/>
        <w:left w:val="none" w:sz="0" w:space="0" w:color="auto"/>
        <w:bottom w:val="none" w:sz="0" w:space="0" w:color="auto"/>
        <w:right w:val="none" w:sz="0" w:space="0" w:color="auto"/>
      </w:divBdr>
    </w:div>
    <w:div w:id="22902148">
      <w:bodyDiv w:val="1"/>
      <w:marLeft w:val="0"/>
      <w:marRight w:val="0"/>
      <w:marTop w:val="0"/>
      <w:marBottom w:val="0"/>
      <w:divBdr>
        <w:top w:val="none" w:sz="0" w:space="0" w:color="auto"/>
        <w:left w:val="none" w:sz="0" w:space="0" w:color="auto"/>
        <w:bottom w:val="none" w:sz="0" w:space="0" w:color="auto"/>
        <w:right w:val="none" w:sz="0" w:space="0" w:color="auto"/>
      </w:divBdr>
    </w:div>
    <w:div w:id="32465570">
      <w:bodyDiv w:val="1"/>
      <w:marLeft w:val="0"/>
      <w:marRight w:val="0"/>
      <w:marTop w:val="0"/>
      <w:marBottom w:val="0"/>
      <w:divBdr>
        <w:top w:val="none" w:sz="0" w:space="0" w:color="auto"/>
        <w:left w:val="none" w:sz="0" w:space="0" w:color="auto"/>
        <w:bottom w:val="none" w:sz="0" w:space="0" w:color="auto"/>
        <w:right w:val="none" w:sz="0" w:space="0" w:color="auto"/>
      </w:divBdr>
    </w:div>
    <w:div w:id="98568205">
      <w:bodyDiv w:val="1"/>
      <w:marLeft w:val="0"/>
      <w:marRight w:val="0"/>
      <w:marTop w:val="0"/>
      <w:marBottom w:val="0"/>
      <w:divBdr>
        <w:top w:val="none" w:sz="0" w:space="0" w:color="auto"/>
        <w:left w:val="none" w:sz="0" w:space="0" w:color="auto"/>
        <w:bottom w:val="none" w:sz="0" w:space="0" w:color="auto"/>
        <w:right w:val="none" w:sz="0" w:space="0" w:color="auto"/>
      </w:divBdr>
    </w:div>
    <w:div w:id="196964789">
      <w:bodyDiv w:val="1"/>
      <w:marLeft w:val="0"/>
      <w:marRight w:val="0"/>
      <w:marTop w:val="0"/>
      <w:marBottom w:val="0"/>
      <w:divBdr>
        <w:top w:val="none" w:sz="0" w:space="0" w:color="auto"/>
        <w:left w:val="none" w:sz="0" w:space="0" w:color="auto"/>
        <w:bottom w:val="none" w:sz="0" w:space="0" w:color="auto"/>
        <w:right w:val="none" w:sz="0" w:space="0" w:color="auto"/>
      </w:divBdr>
    </w:div>
    <w:div w:id="224224173">
      <w:bodyDiv w:val="1"/>
      <w:marLeft w:val="0"/>
      <w:marRight w:val="0"/>
      <w:marTop w:val="0"/>
      <w:marBottom w:val="0"/>
      <w:divBdr>
        <w:top w:val="none" w:sz="0" w:space="0" w:color="auto"/>
        <w:left w:val="none" w:sz="0" w:space="0" w:color="auto"/>
        <w:bottom w:val="none" w:sz="0" w:space="0" w:color="auto"/>
        <w:right w:val="none" w:sz="0" w:space="0" w:color="auto"/>
      </w:divBdr>
    </w:div>
    <w:div w:id="228270019">
      <w:bodyDiv w:val="1"/>
      <w:marLeft w:val="0"/>
      <w:marRight w:val="0"/>
      <w:marTop w:val="0"/>
      <w:marBottom w:val="0"/>
      <w:divBdr>
        <w:top w:val="none" w:sz="0" w:space="0" w:color="auto"/>
        <w:left w:val="none" w:sz="0" w:space="0" w:color="auto"/>
        <w:bottom w:val="none" w:sz="0" w:space="0" w:color="auto"/>
        <w:right w:val="none" w:sz="0" w:space="0" w:color="auto"/>
      </w:divBdr>
    </w:div>
    <w:div w:id="315063920">
      <w:bodyDiv w:val="1"/>
      <w:marLeft w:val="0"/>
      <w:marRight w:val="0"/>
      <w:marTop w:val="0"/>
      <w:marBottom w:val="0"/>
      <w:divBdr>
        <w:top w:val="none" w:sz="0" w:space="0" w:color="auto"/>
        <w:left w:val="none" w:sz="0" w:space="0" w:color="auto"/>
        <w:bottom w:val="none" w:sz="0" w:space="0" w:color="auto"/>
        <w:right w:val="none" w:sz="0" w:space="0" w:color="auto"/>
      </w:divBdr>
    </w:div>
    <w:div w:id="328800701">
      <w:bodyDiv w:val="1"/>
      <w:marLeft w:val="0"/>
      <w:marRight w:val="0"/>
      <w:marTop w:val="0"/>
      <w:marBottom w:val="0"/>
      <w:divBdr>
        <w:top w:val="none" w:sz="0" w:space="0" w:color="auto"/>
        <w:left w:val="none" w:sz="0" w:space="0" w:color="auto"/>
        <w:bottom w:val="none" w:sz="0" w:space="0" w:color="auto"/>
        <w:right w:val="none" w:sz="0" w:space="0" w:color="auto"/>
      </w:divBdr>
    </w:div>
    <w:div w:id="362362715">
      <w:bodyDiv w:val="1"/>
      <w:marLeft w:val="0"/>
      <w:marRight w:val="0"/>
      <w:marTop w:val="0"/>
      <w:marBottom w:val="0"/>
      <w:divBdr>
        <w:top w:val="none" w:sz="0" w:space="0" w:color="auto"/>
        <w:left w:val="none" w:sz="0" w:space="0" w:color="auto"/>
        <w:bottom w:val="none" w:sz="0" w:space="0" w:color="auto"/>
        <w:right w:val="none" w:sz="0" w:space="0" w:color="auto"/>
      </w:divBdr>
    </w:div>
    <w:div w:id="448279048">
      <w:bodyDiv w:val="1"/>
      <w:marLeft w:val="0"/>
      <w:marRight w:val="0"/>
      <w:marTop w:val="0"/>
      <w:marBottom w:val="0"/>
      <w:divBdr>
        <w:top w:val="none" w:sz="0" w:space="0" w:color="auto"/>
        <w:left w:val="none" w:sz="0" w:space="0" w:color="auto"/>
        <w:bottom w:val="none" w:sz="0" w:space="0" w:color="auto"/>
        <w:right w:val="none" w:sz="0" w:space="0" w:color="auto"/>
      </w:divBdr>
    </w:div>
    <w:div w:id="485240649">
      <w:bodyDiv w:val="1"/>
      <w:marLeft w:val="0"/>
      <w:marRight w:val="0"/>
      <w:marTop w:val="0"/>
      <w:marBottom w:val="0"/>
      <w:divBdr>
        <w:top w:val="none" w:sz="0" w:space="0" w:color="auto"/>
        <w:left w:val="none" w:sz="0" w:space="0" w:color="auto"/>
        <w:bottom w:val="none" w:sz="0" w:space="0" w:color="auto"/>
        <w:right w:val="none" w:sz="0" w:space="0" w:color="auto"/>
      </w:divBdr>
    </w:div>
    <w:div w:id="488641485">
      <w:bodyDiv w:val="1"/>
      <w:marLeft w:val="0"/>
      <w:marRight w:val="0"/>
      <w:marTop w:val="0"/>
      <w:marBottom w:val="0"/>
      <w:divBdr>
        <w:top w:val="none" w:sz="0" w:space="0" w:color="auto"/>
        <w:left w:val="none" w:sz="0" w:space="0" w:color="auto"/>
        <w:bottom w:val="none" w:sz="0" w:space="0" w:color="auto"/>
        <w:right w:val="none" w:sz="0" w:space="0" w:color="auto"/>
      </w:divBdr>
    </w:div>
    <w:div w:id="498623601">
      <w:bodyDiv w:val="1"/>
      <w:marLeft w:val="0"/>
      <w:marRight w:val="0"/>
      <w:marTop w:val="0"/>
      <w:marBottom w:val="0"/>
      <w:divBdr>
        <w:top w:val="none" w:sz="0" w:space="0" w:color="auto"/>
        <w:left w:val="none" w:sz="0" w:space="0" w:color="auto"/>
        <w:bottom w:val="none" w:sz="0" w:space="0" w:color="auto"/>
        <w:right w:val="none" w:sz="0" w:space="0" w:color="auto"/>
      </w:divBdr>
    </w:div>
    <w:div w:id="565991488">
      <w:bodyDiv w:val="1"/>
      <w:marLeft w:val="0"/>
      <w:marRight w:val="0"/>
      <w:marTop w:val="0"/>
      <w:marBottom w:val="0"/>
      <w:divBdr>
        <w:top w:val="none" w:sz="0" w:space="0" w:color="auto"/>
        <w:left w:val="none" w:sz="0" w:space="0" w:color="auto"/>
        <w:bottom w:val="none" w:sz="0" w:space="0" w:color="auto"/>
        <w:right w:val="none" w:sz="0" w:space="0" w:color="auto"/>
      </w:divBdr>
    </w:div>
    <w:div w:id="670639022">
      <w:bodyDiv w:val="1"/>
      <w:marLeft w:val="0"/>
      <w:marRight w:val="0"/>
      <w:marTop w:val="0"/>
      <w:marBottom w:val="0"/>
      <w:divBdr>
        <w:top w:val="none" w:sz="0" w:space="0" w:color="auto"/>
        <w:left w:val="none" w:sz="0" w:space="0" w:color="auto"/>
        <w:bottom w:val="none" w:sz="0" w:space="0" w:color="auto"/>
        <w:right w:val="none" w:sz="0" w:space="0" w:color="auto"/>
      </w:divBdr>
    </w:div>
    <w:div w:id="676423122">
      <w:bodyDiv w:val="1"/>
      <w:marLeft w:val="0"/>
      <w:marRight w:val="0"/>
      <w:marTop w:val="0"/>
      <w:marBottom w:val="0"/>
      <w:divBdr>
        <w:top w:val="none" w:sz="0" w:space="0" w:color="auto"/>
        <w:left w:val="none" w:sz="0" w:space="0" w:color="auto"/>
        <w:bottom w:val="none" w:sz="0" w:space="0" w:color="auto"/>
        <w:right w:val="none" w:sz="0" w:space="0" w:color="auto"/>
      </w:divBdr>
    </w:div>
    <w:div w:id="723262149">
      <w:bodyDiv w:val="1"/>
      <w:marLeft w:val="0"/>
      <w:marRight w:val="0"/>
      <w:marTop w:val="0"/>
      <w:marBottom w:val="0"/>
      <w:divBdr>
        <w:top w:val="none" w:sz="0" w:space="0" w:color="auto"/>
        <w:left w:val="none" w:sz="0" w:space="0" w:color="auto"/>
        <w:bottom w:val="none" w:sz="0" w:space="0" w:color="auto"/>
        <w:right w:val="none" w:sz="0" w:space="0" w:color="auto"/>
      </w:divBdr>
    </w:div>
    <w:div w:id="730428011">
      <w:bodyDiv w:val="1"/>
      <w:marLeft w:val="0"/>
      <w:marRight w:val="0"/>
      <w:marTop w:val="0"/>
      <w:marBottom w:val="0"/>
      <w:divBdr>
        <w:top w:val="none" w:sz="0" w:space="0" w:color="auto"/>
        <w:left w:val="none" w:sz="0" w:space="0" w:color="auto"/>
        <w:bottom w:val="none" w:sz="0" w:space="0" w:color="auto"/>
        <w:right w:val="none" w:sz="0" w:space="0" w:color="auto"/>
      </w:divBdr>
    </w:div>
    <w:div w:id="734860490">
      <w:bodyDiv w:val="1"/>
      <w:marLeft w:val="0"/>
      <w:marRight w:val="0"/>
      <w:marTop w:val="0"/>
      <w:marBottom w:val="0"/>
      <w:divBdr>
        <w:top w:val="none" w:sz="0" w:space="0" w:color="auto"/>
        <w:left w:val="none" w:sz="0" w:space="0" w:color="auto"/>
        <w:bottom w:val="none" w:sz="0" w:space="0" w:color="auto"/>
        <w:right w:val="none" w:sz="0" w:space="0" w:color="auto"/>
      </w:divBdr>
    </w:div>
    <w:div w:id="855382452">
      <w:bodyDiv w:val="1"/>
      <w:marLeft w:val="0"/>
      <w:marRight w:val="0"/>
      <w:marTop w:val="0"/>
      <w:marBottom w:val="0"/>
      <w:divBdr>
        <w:top w:val="none" w:sz="0" w:space="0" w:color="auto"/>
        <w:left w:val="none" w:sz="0" w:space="0" w:color="auto"/>
        <w:bottom w:val="none" w:sz="0" w:space="0" w:color="auto"/>
        <w:right w:val="none" w:sz="0" w:space="0" w:color="auto"/>
      </w:divBdr>
    </w:div>
    <w:div w:id="923534075">
      <w:bodyDiv w:val="1"/>
      <w:marLeft w:val="0"/>
      <w:marRight w:val="0"/>
      <w:marTop w:val="0"/>
      <w:marBottom w:val="0"/>
      <w:divBdr>
        <w:top w:val="none" w:sz="0" w:space="0" w:color="auto"/>
        <w:left w:val="none" w:sz="0" w:space="0" w:color="auto"/>
        <w:bottom w:val="none" w:sz="0" w:space="0" w:color="auto"/>
        <w:right w:val="none" w:sz="0" w:space="0" w:color="auto"/>
      </w:divBdr>
    </w:div>
    <w:div w:id="937061901">
      <w:bodyDiv w:val="1"/>
      <w:marLeft w:val="0"/>
      <w:marRight w:val="0"/>
      <w:marTop w:val="0"/>
      <w:marBottom w:val="0"/>
      <w:divBdr>
        <w:top w:val="none" w:sz="0" w:space="0" w:color="auto"/>
        <w:left w:val="none" w:sz="0" w:space="0" w:color="auto"/>
        <w:bottom w:val="none" w:sz="0" w:space="0" w:color="auto"/>
        <w:right w:val="none" w:sz="0" w:space="0" w:color="auto"/>
      </w:divBdr>
    </w:div>
    <w:div w:id="1013074918">
      <w:bodyDiv w:val="1"/>
      <w:marLeft w:val="0"/>
      <w:marRight w:val="0"/>
      <w:marTop w:val="0"/>
      <w:marBottom w:val="0"/>
      <w:divBdr>
        <w:top w:val="none" w:sz="0" w:space="0" w:color="auto"/>
        <w:left w:val="none" w:sz="0" w:space="0" w:color="auto"/>
        <w:bottom w:val="none" w:sz="0" w:space="0" w:color="auto"/>
        <w:right w:val="none" w:sz="0" w:space="0" w:color="auto"/>
      </w:divBdr>
    </w:div>
    <w:div w:id="1024019056">
      <w:bodyDiv w:val="1"/>
      <w:marLeft w:val="0"/>
      <w:marRight w:val="0"/>
      <w:marTop w:val="0"/>
      <w:marBottom w:val="0"/>
      <w:divBdr>
        <w:top w:val="none" w:sz="0" w:space="0" w:color="auto"/>
        <w:left w:val="none" w:sz="0" w:space="0" w:color="auto"/>
        <w:bottom w:val="none" w:sz="0" w:space="0" w:color="auto"/>
        <w:right w:val="none" w:sz="0" w:space="0" w:color="auto"/>
      </w:divBdr>
    </w:div>
    <w:div w:id="1059283788">
      <w:bodyDiv w:val="1"/>
      <w:marLeft w:val="0"/>
      <w:marRight w:val="0"/>
      <w:marTop w:val="0"/>
      <w:marBottom w:val="0"/>
      <w:divBdr>
        <w:top w:val="none" w:sz="0" w:space="0" w:color="auto"/>
        <w:left w:val="none" w:sz="0" w:space="0" w:color="auto"/>
        <w:bottom w:val="none" w:sz="0" w:space="0" w:color="auto"/>
        <w:right w:val="none" w:sz="0" w:space="0" w:color="auto"/>
      </w:divBdr>
    </w:div>
    <w:div w:id="1093432151">
      <w:bodyDiv w:val="1"/>
      <w:marLeft w:val="0"/>
      <w:marRight w:val="0"/>
      <w:marTop w:val="0"/>
      <w:marBottom w:val="0"/>
      <w:divBdr>
        <w:top w:val="none" w:sz="0" w:space="0" w:color="auto"/>
        <w:left w:val="none" w:sz="0" w:space="0" w:color="auto"/>
        <w:bottom w:val="none" w:sz="0" w:space="0" w:color="auto"/>
        <w:right w:val="none" w:sz="0" w:space="0" w:color="auto"/>
      </w:divBdr>
    </w:div>
    <w:div w:id="1106541392">
      <w:bodyDiv w:val="1"/>
      <w:marLeft w:val="0"/>
      <w:marRight w:val="0"/>
      <w:marTop w:val="0"/>
      <w:marBottom w:val="0"/>
      <w:divBdr>
        <w:top w:val="none" w:sz="0" w:space="0" w:color="auto"/>
        <w:left w:val="none" w:sz="0" w:space="0" w:color="auto"/>
        <w:bottom w:val="none" w:sz="0" w:space="0" w:color="auto"/>
        <w:right w:val="none" w:sz="0" w:space="0" w:color="auto"/>
      </w:divBdr>
    </w:div>
    <w:div w:id="1130588328">
      <w:bodyDiv w:val="1"/>
      <w:marLeft w:val="0"/>
      <w:marRight w:val="0"/>
      <w:marTop w:val="0"/>
      <w:marBottom w:val="0"/>
      <w:divBdr>
        <w:top w:val="none" w:sz="0" w:space="0" w:color="auto"/>
        <w:left w:val="none" w:sz="0" w:space="0" w:color="auto"/>
        <w:bottom w:val="none" w:sz="0" w:space="0" w:color="auto"/>
        <w:right w:val="none" w:sz="0" w:space="0" w:color="auto"/>
      </w:divBdr>
    </w:div>
    <w:div w:id="1135219014">
      <w:bodyDiv w:val="1"/>
      <w:marLeft w:val="0"/>
      <w:marRight w:val="0"/>
      <w:marTop w:val="0"/>
      <w:marBottom w:val="0"/>
      <w:divBdr>
        <w:top w:val="none" w:sz="0" w:space="0" w:color="auto"/>
        <w:left w:val="none" w:sz="0" w:space="0" w:color="auto"/>
        <w:bottom w:val="none" w:sz="0" w:space="0" w:color="auto"/>
        <w:right w:val="none" w:sz="0" w:space="0" w:color="auto"/>
      </w:divBdr>
    </w:div>
    <w:div w:id="1161962938">
      <w:bodyDiv w:val="1"/>
      <w:marLeft w:val="0"/>
      <w:marRight w:val="0"/>
      <w:marTop w:val="0"/>
      <w:marBottom w:val="0"/>
      <w:divBdr>
        <w:top w:val="none" w:sz="0" w:space="0" w:color="auto"/>
        <w:left w:val="none" w:sz="0" w:space="0" w:color="auto"/>
        <w:bottom w:val="none" w:sz="0" w:space="0" w:color="auto"/>
        <w:right w:val="none" w:sz="0" w:space="0" w:color="auto"/>
      </w:divBdr>
    </w:div>
    <w:div w:id="1246459008">
      <w:bodyDiv w:val="1"/>
      <w:marLeft w:val="0"/>
      <w:marRight w:val="0"/>
      <w:marTop w:val="0"/>
      <w:marBottom w:val="0"/>
      <w:divBdr>
        <w:top w:val="none" w:sz="0" w:space="0" w:color="auto"/>
        <w:left w:val="none" w:sz="0" w:space="0" w:color="auto"/>
        <w:bottom w:val="none" w:sz="0" w:space="0" w:color="auto"/>
        <w:right w:val="none" w:sz="0" w:space="0" w:color="auto"/>
      </w:divBdr>
    </w:div>
    <w:div w:id="1247378913">
      <w:bodyDiv w:val="1"/>
      <w:marLeft w:val="0"/>
      <w:marRight w:val="0"/>
      <w:marTop w:val="0"/>
      <w:marBottom w:val="0"/>
      <w:divBdr>
        <w:top w:val="none" w:sz="0" w:space="0" w:color="auto"/>
        <w:left w:val="none" w:sz="0" w:space="0" w:color="auto"/>
        <w:bottom w:val="none" w:sz="0" w:space="0" w:color="auto"/>
        <w:right w:val="none" w:sz="0" w:space="0" w:color="auto"/>
      </w:divBdr>
    </w:div>
    <w:div w:id="1259212141">
      <w:bodyDiv w:val="1"/>
      <w:marLeft w:val="0"/>
      <w:marRight w:val="0"/>
      <w:marTop w:val="0"/>
      <w:marBottom w:val="0"/>
      <w:divBdr>
        <w:top w:val="none" w:sz="0" w:space="0" w:color="auto"/>
        <w:left w:val="none" w:sz="0" w:space="0" w:color="auto"/>
        <w:bottom w:val="none" w:sz="0" w:space="0" w:color="auto"/>
        <w:right w:val="none" w:sz="0" w:space="0" w:color="auto"/>
      </w:divBdr>
    </w:div>
    <w:div w:id="1264537275">
      <w:bodyDiv w:val="1"/>
      <w:marLeft w:val="0"/>
      <w:marRight w:val="0"/>
      <w:marTop w:val="0"/>
      <w:marBottom w:val="0"/>
      <w:divBdr>
        <w:top w:val="none" w:sz="0" w:space="0" w:color="auto"/>
        <w:left w:val="none" w:sz="0" w:space="0" w:color="auto"/>
        <w:bottom w:val="none" w:sz="0" w:space="0" w:color="auto"/>
        <w:right w:val="none" w:sz="0" w:space="0" w:color="auto"/>
      </w:divBdr>
    </w:div>
    <w:div w:id="1398430286">
      <w:bodyDiv w:val="1"/>
      <w:marLeft w:val="0"/>
      <w:marRight w:val="0"/>
      <w:marTop w:val="0"/>
      <w:marBottom w:val="0"/>
      <w:divBdr>
        <w:top w:val="none" w:sz="0" w:space="0" w:color="auto"/>
        <w:left w:val="none" w:sz="0" w:space="0" w:color="auto"/>
        <w:bottom w:val="none" w:sz="0" w:space="0" w:color="auto"/>
        <w:right w:val="none" w:sz="0" w:space="0" w:color="auto"/>
      </w:divBdr>
    </w:div>
    <w:div w:id="1490293134">
      <w:bodyDiv w:val="1"/>
      <w:marLeft w:val="0"/>
      <w:marRight w:val="0"/>
      <w:marTop w:val="0"/>
      <w:marBottom w:val="0"/>
      <w:divBdr>
        <w:top w:val="none" w:sz="0" w:space="0" w:color="auto"/>
        <w:left w:val="none" w:sz="0" w:space="0" w:color="auto"/>
        <w:bottom w:val="none" w:sz="0" w:space="0" w:color="auto"/>
        <w:right w:val="none" w:sz="0" w:space="0" w:color="auto"/>
      </w:divBdr>
    </w:div>
    <w:div w:id="1518033286">
      <w:bodyDiv w:val="1"/>
      <w:marLeft w:val="0"/>
      <w:marRight w:val="0"/>
      <w:marTop w:val="0"/>
      <w:marBottom w:val="0"/>
      <w:divBdr>
        <w:top w:val="none" w:sz="0" w:space="0" w:color="auto"/>
        <w:left w:val="none" w:sz="0" w:space="0" w:color="auto"/>
        <w:bottom w:val="none" w:sz="0" w:space="0" w:color="auto"/>
        <w:right w:val="none" w:sz="0" w:space="0" w:color="auto"/>
      </w:divBdr>
    </w:div>
    <w:div w:id="1578392869">
      <w:bodyDiv w:val="1"/>
      <w:marLeft w:val="0"/>
      <w:marRight w:val="0"/>
      <w:marTop w:val="0"/>
      <w:marBottom w:val="0"/>
      <w:divBdr>
        <w:top w:val="none" w:sz="0" w:space="0" w:color="auto"/>
        <w:left w:val="none" w:sz="0" w:space="0" w:color="auto"/>
        <w:bottom w:val="none" w:sz="0" w:space="0" w:color="auto"/>
        <w:right w:val="none" w:sz="0" w:space="0" w:color="auto"/>
      </w:divBdr>
    </w:div>
    <w:div w:id="1582564950">
      <w:bodyDiv w:val="1"/>
      <w:marLeft w:val="0"/>
      <w:marRight w:val="0"/>
      <w:marTop w:val="0"/>
      <w:marBottom w:val="0"/>
      <w:divBdr>
        <w:top w:val="none" w:sz="0" w:space="0" w:color="auto"/>
        <w:left w:val="none" w:sz="0" w:space="0" w:color="auto"/>
        <w:bottom w:val="none" w:sz="0" w:space="0" w:color="auto"/>
        <w:right w:val="none" w:sz="0" w:space="0" w:color="auto"/>
      </w:divBdr>
    </w:div>
    <w:div w:id="1727753098">
      <w:bodyDiv w:val="1"/>
      <w:marLeft w:val="0"/>
      <w:marRight w:val="0"/>
      <w:marTop w:val="0"/>
      <w:marBottom w:val="0"/>
      <w:divBdr>
        <w:top w:val="none" w:sz="0" w:space="0" w:color="auto"/>
        <w:left w:val="none" w:sz="0" w:space="0" w:color="auto"/>
        <w:bottom w:val="none" w:sz="0" w:space="0" w:color="auto"/>
        <w:right w:val="none" w:sz="0" w:space="0" w:color="auto"/>
      </w:divBdr>
    </w:div>
    <w:div w:id="1749880340">
      <w:bodyDiv w:val="1"/>
      <w:marLeft w:val="0"/>
      <w:marRight w:val="0"/>
      <w:marTop w:val="0"/>
      <w:marBottom w:val="0"/>
      <w:divBdr>
        <w:top w:val="none" w:sz="0" w:space="0" w:color="auto"/>
        <w:left w:val="none" w:sz="0" w:space="0" w:color="auto"/>
        <w:bottom w:val="none" w:sz="0" w:space="0" w:color="auto"/>
        <w:right w:val="none" w:sz="0" w:space="0" w:color="auto"/>
      </w:divBdr>
    </w:div>
    <w:div w:id="1795442266">
      <w:bodyDiv w:val="1"/>
      <w:marLeft w:val="0"/>
      <w:marRight w:val="0"/>
      <w:marTop w:val="0"/>
      <w:marBottom w:val="0"/>
      <w:divBdr>
        <w:top w:val="none" w:sz="0" w:space="0" w:color="auto"/>
        <w:left w:val="none" w:sz="0" w:space="0" w:color="auto"/>
        <w:bottom w:val="none" w:sz="0" w:space="0" w:color="auto"/>
        <w:right w:val="none" w:sz="0" w:space="0" w:color="auto"/>
      </w:divBdr>
    </w:div>
    <w:div w:id="1818959024">
      <w:bodyDiv w:val="1"/>
      <w:marLeft w:val="0"/>
      <w:marRight w:val="0"/>
      <w:marTop w:val="0"/>
      <w:marBottom w:val="0"/>
      <w:divBdr>
        <w:top w:val="none" w:sz="0" w:space="0" w:color="auto"/>
        <w:left w:val="none" w:sz="0" w:space="0" w:color="auto"/>
        <w:bottom w:val="none" w:sz="0" w:space="0" w:color="auto"/>
        <w:right w:val="none" w:sz="0" w:space="0" w:color="auto"/>
      </w:divBdr>
    </w:div>
    <w:div w:id="1879972416">
      <w:bodyDiv w:val="1"/>
      <w:marLeft w:val="0"/>
      <w:marRight w:val="0"/>
      <w:marTop w:val="0"/>
      <w:marBottom w:val="0"/>
      <w:divBdr>
        <w:top w:val="none" w:sz="0" w:space="0" w:color="auto"/>
        <w:left w:val="none" w:sz="0" w:space="0" w:color="auto"/>
        <w:bottom w:val="none" w:sz="0" w:space="0" w:color="auto"/>
        <w:right w:val="none" w:sz="0" w:space="0" w:color="auto"/>
      </w:divBdr>
    </w:div>
    <w:div w:id="1917280433">
      <w:bodyDiv w:val="1"/>
      <w:marLeft w:val="0"/>
      <w:marRight w:val="0"/>
      <w:marTop w:val="0"/>
      <w:marBottom w:val="0"/>
      <w:divBdr>
        <w:top w:val="none" w:sz="0" w:space="0" w:color="auto"/>
        <w:left w:val="none" w:sz="0" w:space="0" w:color="auto"/>
        <w:bottom w:val="none" w:sz="0" w:space="0" w:color="auto"/>
        <w:right w:val="none" w:sz="0" w:space="0" w:color="auto"/>
      </w:divBdr>
    </w:div>
    <w:div w:id="2021621328">
      <w:bodyDiv w:val="1"/>
      <w:marLeft w:val="0"/>
      <w:marRight w:val="0"/>
      <w:marTop w:val="0"/>
      <w:marBottom w:val="0"/>
      <w:divBdr>
        <w:top w:val="none" w:sz="0" w:space="0" w:color="auto"/>
        <w:left w:val="none" w:sz="0" w:space="0" w:color="auto"/>
        <w:bottom w:val="none" w:sz="0" w:space="0" w:color="auto"/>
        <w:right w:val="none" w:sz="0" w:space="0" w:color="auto"/>
      </w:divBdr>
    </w:div>
    <w:div w:id="2045708884">
      <w:bodyDiv w:val="1"/>
      <w:marLeft w:val="0"/>
      <w:marRight w:val="0"/>
      <w:marTop w:val="0"/>
      <w:marBottom w:val="0"/>
      <w:divBdr>
        <w:top w:val="none" w:sz="0" w:space="0" w:color="auto"/>
        <w:left w:val="none" w:sz="0" w:space="0" w:color="auto"/>
        <w:bottom w:val="none" w:sz="0" w:space="0" w:color="auto"/>
        <w:right w:val="none" w:sz="0" w:space="0" w:color="auto"/>
      </w:divBdr>
    </w:div>
    <w:div w:id="212149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yperlink" Target="http://www.xbrl.org/uk/TechGuidanc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ietf.org/rfc/rfc2119.txt" TargetMode="External"/><Relationship Id="rId7" Type="http://schemas.openxmlformats.org/officeDocument/2006/relationships/hyperlink" Target="mailto:uktech@xbrl.org" TargetMode="External"/><Relationship Id="rId12" Type="http://schemas.openxmlformats.org/officeDocument/2006/relationships/hyperlink" Target="mailto:uktech@xbrl.org" TargetMode="External"/><Relationship Id="rId17" Type="http://schemas.openxmlformats.org/officeDocument/2006/relationships/hyperlink" Target="http://www.hmrc.gov.uk/ebu/ct_techpack/xbrl-style-guide.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xbrl.org/uk/TechSamples/" TargetMode="External"/><Relationship Id="rId20" Type="http://schemas.openxmlformats.org/officeDocument/2006/relationships/hyperlink" Target="http://www.hmrc.govuk/ebu/ct_techpack/gen-dimension-valid.x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xbrl.org/uk/TechSamples/"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xbrl.org/uk/TechGuidance/" TargetMode="External"/><Relationship Id="rId23" Type="http://schemas.openxmlformats.org/officeDocument/2006/relationships/hyperlink" Target="http://www.xbrl.org/legal" TargetMode="External"/><Relationship Id="rId10" Type="http://schemas.openxmlformats.org/officeDocument/2006/relationships/hyperlink" Target="http://www.xbrl.org/uk/TechGuidance/" TargetMode="External"/><Relationship Id="rId19" Type="http://schemas.openxmlformats.org/officeDocument/2006/relationships/hyperlink" Target="http://www.hmrc.gov.uk/ebu/ct_techpack/joint-filing-validation-checks.pdf"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www.xbrl.org/uk/Start-U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43</Pages>
  <Words>16642</Words>
  <Characters>94866</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XBRL UK Detailed Tagging Information</vt:lpstr>
    </vt:vector>
  </TitlesOfParts>
  <Company>Calvert Consulting Ltd</Company>
  <LinksUpToDate>false</LinksUpToDate>
  <CharactersWithSpaces>111286</CharactersWithSpaces>
  <SharedDoc>false</SharedDoc>
  <HLinks>
    <vt:vector size="690" baseType="variant">
      <vt:variant>
        <vt:i4>5636189</vt:i4>
      </vt:variant>
      <vt:variant>
        <vt:i4>483</vt:i4>
      </vt:variant>
      <vt:variant>
        <vt:i4>0</vt:i4>
      </vt:variant>
      <vt:variant>
        <vt:i4>5</vt:i4>
      </vt:variant>
      <vt:variant>
        <vt:lpwstr>http://www.xbrl.org/legal</vt:lpwstr>
      </vt:variant>
      <vt:variant>
        <vt:lpwstr/>
      </vt:variant>
      <vt:variant>
        <vt:i4>3932198</vt:i4>
      </vt:variant>
      <vt:variant>
        <vt:i4>480</vt:i4>
      </vt:variant>
      <vt:variant>
        <vt:i4>0</vt:i4>
      </vt:variant>
      <vt:variant>
        <vt:i4>5</vt:i4>
      </vt:variant>
      <vt:variant>
        <vt:lpwstr>http://www.xbrl.org/uk/Start-Users/</vt:lpwstr>
      </vt:variant>
      <vt:variant>
        <vt:lpwstr/>
      </vt:variant>
      <vt:variant>
        <vt:i4>4128807</vt:i4>
      </vt:variant>
      <vt:variant>
        <vt:i4>477</vt:i4>
      </vt:variant>
      <vt:variant>
        <vt:i4>0</vt:i4>
      </vt:variant>
      <vt:variant>
        <vt:i4>5</vt:i4>
      </vt:variant>
      <vt:variant>
        <vt:lpwstr>http://www.ietf.org/rfc/rfc2119.txt</vt:lpwstr>
      </vt:variant>
      <vt:variant>
        <vt:lpwstr/>
      </vt:variant>
      <vt:variant>
        <vt:i4>131128</vt:i4>
      </vt:variant>
      <vt:variant>
        <vt:i4>474</vt:i4>
      </vt:variant>
      <vt:variant>
        <vt:i4>0</vt:i4>
      </vt:variant>
      <vt:variant>
        <vt:i4>5</vt:i4>
      </vt:variant>
      <vt:variant>
        <vt:lpwstr>http://www.hmrc.gov.uk/ebu/ct_techpack/gen-dimension-valid.xls</vt:lpwstr>
      </vt:variant>
      <vt:variant>
        <vt:lpwstr/>
      </vt:variant>
      <vt:variant>
        <vt:i4>6881292</vt:i4>
      </vt:variant>
      <vt:variant>
        <vt:i4>471</vt:i4>
      </vt:variant>
      <vt:variant>
        <vt:i4>0</vt:i4>
      </vt:variant>
      <vt:variant>
        <vt:i4>5</vt:i4>
      </vt:variant>
      <vt:variant>
        <vt:lpwstr>http://www.hmrc.gov.uk/ebu/ct_techpack/joint-filing-validation-checks.pdf</vt:lpwstr>
      </vt:variant>
      <vt:variant>
        <vt:lpwstr/>
      </vt:variant>
      <vt:variant>
        <vt:i4>851995</vt:i4>
      </vt:variant>
      <vt:variant>
        <vt:i4>468</vt:i4>
      </vt:variant>
      <vt:variant>
        <vt:i4>0</vt:i4>
      </vt:variant>
      <vt:variant>
        <vt:i4>5</vt:i4>
      </vt:variant>
      <vt:variant>
        <vt:lpwstr>http://www.xbrl.org/uk/TechGuidance/</vt:lpwstr>
      </vt:variant>
      <vt:variant>
        <vt:lpwstr/>
      </vt:variant>
      <vt:variant>
        <vt:i4>5701757</vt:i4>
      </vt:variant>
      <vt:variant>
        <vt:i4>465</vt:i4>
      </vt:variant>
      <vt:variant>
        <vt:i4>0</vt:i4>
      </vt:variant>
      <vt:variant>
        <vt:i4>5</vt:i4>
      </vt:variant>
      <vt:variant>
        <vt:lpwstr>http://www.hmrc.gov.uk/ebu/ct_techpack/xbrl-style-guide.pdf</vt:lpwstr>
      </vt:variant>
      <vt:variant>
        <vt:lpwstr/>
      </vt:variant>
      <vt:variant>
        <vt:i4>3080309</vt:i4>
      </vt:variant>
      <vt:variant>
        <vt:i4>462</vt:i4>
      </vt:variant>
      <vt:variant>
        <vt:i4>0</vt:i4>
      </vt:variant>
      <vt:variant>
        <vt:i4>5</vt:i4>
      </vt:variant>
      <vt:variant>
        <vt:lpwstr>http://www.xbrl.org/uk/TechSamples/</vt:lpwstr>
      </vt:variant>
      <vt:variant>
        <vt:lpwstr/>
      </vt:variant>
      <vt:variant>
        <vt:i4>851995</vt:i4>
      </vt:variant>
      <vt:variant>
        <vt:i4>459</vt:i4>
      </vt:variant>
      <vt:variant>
        <vt:i4>0</vt:i4>
      </vt:variant>
      <vt:variant>
        <vt:i4>5</vt:i4>
      </vt:variant>
      <vt:variant>
        <vt:lpwstr>http://www.xbrl.org/uk/TechGuidance/</vt:lpwstr>
      </vt:variant>
      <vt:variant>
        <vt:lpwstr/>
      </vt:variant>
      <vt:variant>
        <vt:i4>6750263</vt:i4>
      </vt:variant>
      <vt:variant>
        <vt:i4>456</vt:i4>
      </vt:variant>
      <vt:variant>
        <vt:i4>0</vt:i4>
      </vt:variant>
      <vt:variant>
        <vt:i4>5</vt:i4>
      </vt:variant>
      <vt:variant>
        <vt:lpwstr/>
      </vt:variant>
      <vt:variant>
        <vt:lpwstr>_3.5_Tuples</vt:lpwstr>
      </vt:variant>
      <vt:variant>
        <vt:i4>1900652</vt:i4>
      </vt:variant>
      <vt:variant>
        <vt:i4>453</vt:i4>
      </vt:variant>
      <vt:variant>
        <vt:i4>0</vt:i4>
      </vt:variant>
      <vt:variant>
        <vt:i4>5</vt:i4>
      </vt:variant>
      <vt:variant>
        <vt:lpwstr/>
      </vt:variant>
      <vt:variant>
        <vt:lpwstr>_6.5_Minimum_tagging</vt:lpwstr>
      </vt:variant>
      <vt:variant>
        <vt:i4>458872</vt:i4>
      </vt:variant>
      <vt:variant>
        <vt:i4>450</vt:i4>
      </vt:variant>
      <vt:variant>
        <vt:i4>0</vt:i4>
      </vt:variant>
      <vt:variant>
        <vt:i4>5</vt:i4>
      </vt:variant>
      <vt:variant>
        <vt:lpwstr/>
      </vt:variant>
      <vt:variant>
        <vt:lpwstr>_3.7_Tagging_requirements</vt:lpwstr>
      </vt:variant>
      <vt:variant>
        <vt:i4>4194337</vt:i4>
      </vt:variant>
      <vt:variant>
        <vt:i4>447</vt:i4>
      </vt:variant>
      <vt:variant>
        <vt:i4>0</vt:i4>
      </vt:variant>
      <vt:variant>
        <vt:i4>5</vt:i4>
      </vt:variant>
      <vt:variant>
        <vt:lpwstr/>
      </vt:variant>
      <vt:variant>
        <vt:lpwstr>_3.3_Taxonomy_features</vt:lpwstr>
      </vt:variant>
      <vt:variant>
        <vt:i4>6750270</vt:i4>
      </vt:variant>
      <vt:variant>
        <vt:i4>444</vt:i4>
      </vt:variant>
      <vt:variant>
        <vt:i4>0</vt:i4>
      </vt:variant>
      <vt:variant>
        <vt:i4>5</vt:i4>
      </vt:variant>
      <vt:variant>
        <vt:lpwstr/>
      </vt:variant>
      <vt:variant>
        <vt:lpwstr>_3.4_Dimensions</vt:lpwstr>
      </vt:variant>
      <vt:variant>
        <vt:i4>4194337</vt:i4>
      </vt:variant>
      <vt:variant>
        <vt:i4>441</vt:i4>
      </vt:variant>
      <vt:variant>
        <vt:i4>0</vt:i4>
      </vt:variant>
      <vt:variant>
        <vt:i4>5</vt:i4>
      </vt:variant>
      <vt:variant>
        <vt:lpwstr/>
      </vt:variant>
      <vt:variant>
        <vt:lpwstr>_3.3_Taxonomy_features</vt:lpwstr>
      </vt:variant>
      <vt:variant>
        <vt:i4>7667838</vt:i4>
      </vt:variant>
      <vt:variant>
        <vt:i4>438</vt:i4>
      </vt:variant>
      <vt:variant>
        <vt:i4>0</vt:i4>
      </vt:variant>
      <vt:variant>
        <vt:i4>5</vt:i4>
      </vt:variant>
      <vt:variant>
        <vt:lpwstr/>
      </vt:variant>
      <vt:variant>
        <vt:lpwstr>PDGuide</vt:lpwstr>
      </vt:variant>
      <vt:variant>
        <vt:i4>1114151</vt:i4>
      </vt:variant>
      <vt:variant>
        <vt:i4>435</vt:i4>
      </vt:variant>
      <vt:variant>
        <vt:i4>0</vt:i4>
      </vt:variant>
      <vt:variant>
        <vt:i4>5</vt:i4>
      </vt:variant>
      <vt:variant>
        <vt:lpwstr/>
      </vt:variant>
      <vt:variant>
        <vt:lpwstr>XR_FixedItems</vt:lpwstr>
      </vt:variant>
      <vt:variant>
        <vt:i4>59</vt:i4>
      </vt:variant>
      <vt:variant>
        <vt:i4>432</vt:i4>
      </vt:variant>
      <vt:variant>
        <vt:i4>0</vt:i4>
      </vt:variant>
      <vt:variant>
        <vt:i4>5</vt:i4>
      </vt:variant>
      <vt:variant>
        <vt:lpwstr/>
      </vt:variant>
      <vt:variant>
        <vt:lpwstr>XR_InvPropMod</vt:lpwstr>
      </vt:variant>
      <vt:variant>
        <vt:i4>8192067</vt:i4>
      </vt:variant>
      <vt:variant>
        <vt:i4>429</vt:i4>
      </vt:variant>
      <vt:variant>
        <vt:i4>0</vt:i4>
      </vt:variant>
      <vt:variant>
        <vt:i4>5</vt:i4>
      </vt:variant>
      <vt:variant>
        <vt:lpwstr/>
      </vt:variant>
      <vt:variant>
        <vt:lpwstr>XR_PredefValues</vt:lpwstr>
      </vt:variant>
      <vt:variant>
        <vt:i4>7536741</vt:i4>
      </vt:variant>
      <vt:variant>
        <vt:i4>426</vt:i4>
      </vt:variant>
      <vt:variant>
        <vt:i4>0</vt:i4>
      </vt:variant>
      <vt:variant>
        <vt:i4>5</vt:i4>
      </vt:variant>
      <vt:variant>
        <vt:lpwstr/>
      </vt:variant>
      <vt:variant>
        <vt:lpwstr>InlineGuide</vt:lpwstr>
      </vt:variant>
      <vt:variant>
        <vt:i4>1245246</vt:i4>
      </vt:variant>
      <vt:variant>
        <vt:i4>423</vt:i4>
      </vt:variant>
      <vt:variant>
        <vt:i4>0</vt:i4>
      </vt:variant>
      <vt:variant>
        <vt:i4>5</vt:i4>
      </vt:variant>
      <vt:variant>
        <vt:lpwstr/>
      </vt:variant>
      <vt:variant>
        <vt:lpwstr>XR_Tuples</vt:lpwstr>
      </vt:variant>
      <vt:variant>
        <vt:i4>7667838</vt:i4>
      </vt:variant>
      <vt:variant>
        <vt:i4>420</vt:i4>
      </vt:variant>
      <vt:variant>
        <vt:i4>0</vt:i4>
      </vt:variant>
      <vt:variant>
        <vt:i4>5</vt:i4>
      </vt:variant>
      <vt:variant>
        <vt:lpwstr/>
      </vt:variant>
      <vt:variant>
        <vt:lpwstr>PDGuide</vt:lpwstr>
      </vt:variant>
      <vt:variant>
        <vt:i4>7667838</vt:i4>
      </vt:variant>
      <vt:variant>
        <vt:i4>417</vt:i4>
      </vt:variant>
      <vt:variant>
        <vt:i4>0</vt:i4>
      </vt:variant>
      <vt:variant>
        <vt:i4>5</vt:i4>
      </vt:variant>
      <vt:variant>
        <vt:lpwstr/>
      </vt:variant>
      <vt:variant>
        <vt:lpwstr>PDGuide</vt:lpwstr>
      </vt:variant>
      <vt:variant>
        <vt:i4>4718653</vt:i4>
      </vt:variant>
      <vt:variant>
        <vt:i4>414</vt:i4>
      </vt:variant>
      <vt:variant>
        <vt:i4>0</vt:i4>
      </vt:variant>
      <vt:variant>
        <vt:i4>5</vt:i4>
      </vt:variant>
      <vt:variant>
        <vt:lpwstr/>
      </vt:variant>
      <vt:variant>
        <vt:lpwstr>XR_Dims3</vt:lpwstr>
      </vt:variant>
      <vt:variant>
        <vt:i4>4784189</vt:i4>
      </vt:variant>
      <vt:variant>
        <vt:i4>411</vt:i4>
      </vt:variant>
      <vt:variant>
        <vt:i4>0</vt:i4>
      </vt:variant>
      <vt:variant>
        <vt:i4>5</vt:i4>
      </vt:variant>
      <vt:variant>
        <vt:lpwstr/>
      </vt:variant>
      <vt:variant>
        <vt:lpwstr>XR_Dims2</vt:lpwstr>
      </vt:variant>
      <vt:variant>
        <vt:i4>4849725</vt:i4>
      </vt:variant>
      <vt:variant>
        <vt:i4>408</vt:i4>
      </vt:variant>
      <vt:variant>
        <vt:i4>0</vt:i4>
      </vt:variant>
      <vt:variant>
        <vt:i4>5</vt:i4>
      </vt:variant>
      <vt:variant>
        <vt:lpwstr/>
      </vt:variant>
      <vt:variant>
        <vt:lpwstr>XR_Dims1</vt:lpwstr>
      </vt:variant>
      <vt:variant>
        <vt:i4>7667838</vt:i4>
      </vt:variant>
      <vt:variant>
        <vt:i4>405</vt:i4>
      </vt:variant>
      <vt:variant>
        <vt:i4>0</vt:i4>
      </vt:variant>
      <vt:variant>
        <vt:i4>5</vt:i4>
      </vt:variant>
      <vt:variant>
        <vt:lpwstr/>
      </vt:variant>
      <vt:variant>
        <vt:lpwstr>PDGuide</vt:lpwstr>
      </vt:variant>
      <vt:variant>
        <vt:i4>7667838</vt:i4>
      </vt:variant>
      <vt:variant>
        <vt:i4>402</vt:i4>
      </vt:variant>
      <vt:variant>
        <vt:i4>0</vt:i4>
      </vt:variant>
      <vt:variant>
        <vt:i4>5</vt:i4>
      </vt:variant>
      <vt:variant>
        <vt:lpwstr/>
      </vt:variant>
      <vt:variant>
        <vt:lpwstr>PDGuide</vt:lpwstr>
      </vt:variant>
      <vt:variant>
        <vt:i4>538837074</vt:i4>
      </vt:variant>
      <vt:variant>
        <vt:i4>399</vt:i4>
      </vt:variant>
      <vt:variant>
        <vt:i4>0</vt:i4>
      </vt:variant>
      <vt:variant>
        <vt:i4>5</vt:i4>
      </vt:variant>
      <vt:variant>
        <vt:lpwstr/>
      </vt:variant>
      <vt:variant>
        <vt:lpwstr>_12_Dimensions_–</vt:lpwstr>
      </vt:variant>
      <vt:variant>
        <vt:i4>4587642</vt:i4>
      </vt:variant>
      <vt:variant>
        <vt:i4>396</vt:i4>
      </vt:variant>
      <vt:variant>
        <vt:i4>0</vt:i4>
      </vt:variant>
      <vt:variant>
        <vt:i4>5</vt:i4>
      </vt:variant>
      <vt:variant>
        <vt:lpwstr>mailto:uktech@xbrl.org</vt:lpwstr>
      </vt:variant>
      <vt:variant>
        <vt:lpwstr/>
      </vt:variant>
      <vt:variant>
        <vt:i4>7602261</vt:i4>
      </vt:variant>
      <vt:variant>
        <vt:i4>393</vt:i4>
      </vt:variant>
      <vt:variant>
        <vt:i4>0</vt:i4>
      </vt:variant>
      <vt:variant>
        <vt:i4>5</vt:i4>
      </vt:variant>
      <vt:variant>
        <vt:lpwstr/>
      </vt:variant>
      <vt:variant>
        <vt:lpwstr>XR_ActGainLoss</vt:lpwstr>
      </vt:variant>
      <vt:variant>
        <vt:i4>7012444</vt:i4>
      </vt:variant>
      <vt:variant>
        <vt:i4>390</vt:i4>
      </vt:variant>
      <vt:variant>
        <vt:i4>0</vt:i4>
      </vt:variant>
      <vt:variant>
        <vt:i4>5</vt:i4>
      </vt:variant>
      <vt:variant>
        <vt:lpwstr/>
      </vt:variant>
      <vt:variant>
        <vt:lpwstr>_14_Predefined_value</vt:lpwstr>
      </vt:variant>
      <vt:variant>
        <vt:i4>8192067</vt:i4>
      </vt:variant>
      <vt:variant>
        <vt:i4>387</vt:i4>
      </vt:variant>
      <vt:variant>
        <vt:i4>0</vt:i4>
      </vt:variant>
      <vt:variant>
        <vt:i4>5</vt:i4>
      </vt:variant>
      <vt:variant>
        <vt:lpwstr/>
      </vt:variant>
      <vt:variant>
        <vt:lpwstr>XR_PredefValues</vt:lpwstr>
      </vt:variant>
      <vt:variant>
        <vt:i4>6291540</vt:i4>
      </vt:variant>
      <vt:variant>
        <vt:i4>384</vt:i4>
      </vt:variant>
      <vt:variant>
        <vt:i4>0</vt:i4>
      </vt:variant>
      <vt:variant>
        <vt:i4>5</vt:i4>
      </vt:variant>
      <vt:variant>
        <vt:lpwstr/>
      </vt:variant>
      <vt:variant>
        <vt:lpwstr>XR_FinInst</vt:lpwstr>
      </vt:variant>
      <vt:variant>
        <vt:i4>1376301</vt:i4>
      </vt:variant>
      <vt:variant>
        <vt:i4>381</vt:i4>
      </vt:variant>
      <vt:variant>
        <vt:i4>0</vt:i4>
      </vt:variant>
      <vt:variant>
        <vt:i4>5</vt:i4>
      </vt:variant>
      <vt:variant>
        <vt:lpwstr/>
      </vt:variant>
      <vt:variant>
        <vt:lpwstr>XR_STRGLPensions</vt:lpwstr>
      </vt:variant>
      <vt:variant>
        <vt:i4>7077978</vt:i4>
      </vt:variant>
      <vt:variant>
        <vt:i4>378</vt:i4>
      </vt:variant>
      <vt:variant>
        <vt:i4>0</vt:i4>
      </vt:variant>
      <vt:variant>
        <vt:i4>5</vt:i4>
      </vt:variant>
      <vt:variant>
        <vt:lpwstr/>
      </vt:variant>
      <vt:variant>
        <vt:lpwstr>XR_ShareCapital</vt:lpwstr>
      </vt:variant>
      <vt:variant>
        <vt:i4>7667838</vt:i4>
      </vt:variant>
      <vt:variant>
        <vt:i4>375</vt:i4>
      </vt:variant>
      <vt:variant>
        <vt:i4>0</vt:i4>
      </vt:variant>
      <vt:variant>
        <vt:i4>5</vt:i4>
      </vt:variant>
      <vt:variant>
        <vt:lpwstr/>
      </vt:variant>
      <vt:variant>
        <vt:lpwstr>PDGuide</vt:lpwstr>
      </vt:variant>
      <vt:variant>
        <vt:i4>6422622</vt:i4>
      </vt:variant>
      <vt:variant>
        <vt:i4>372</vt:i4>
      </vt:variant>
      <vt:variant>
        <vt:i4>0</vt:i4>
      </vt:variant>
      <vt:variant>
        <vt:i4>5</vt:i4>
      </vt:variant>
      <vt:variant>
        <vt:lpwstr/>
      </vt:variant>
      <vt:variant>
        <vt:lpwstr>XR_CreditorsDebtors</vt:lpwstr>
      </vt:variant>
      <vt:variant>
        <vt:i4>7667838</vt:i4>
      </vt:variant>
      <vt:variant>
        <vt:i4>369</vt:i4>
      </vt:variant>
      <vt:variant>
        <vt:i4>0</vt:i4>
      </vt:variant>
      <vt:variant>
        <vt:i4>5</vt:i4>
      </vt:variant>
      <vt:variant>
        <vt:lpwstr/>
      </vt:variant>
      <vt:variant>
        <vt:lpwstr>PDGuide</vt:lpwstr>
      </vt:variant>
      <vt:variant>
        <vt:i4>7667838</vt:i4>
      </vt:variant>
      <vt:variant>
        <vt:i4>366</vt:i4>
      </vt:variant>
      <vt:variant>
        <vt:i4>0</vt:i4>
      </vt:variant>
      <vt:variant>
        <vt:i4>5</vt:i4>
      </vt:variant>
      <vt:variant>
        <vt:lpwstr/>
      </vt:variant>
      <vt:variant>
        <vt:lpwstr>PDGuide</vt:lpwstr>
      </vt:variant>
      <vt:variant>
        <vt:i4>7405655</vt:i4>
      </vt:variant>
      <vt:variant>
        <vt:i4>363</vt:i4>
      </vt:variant>
      <vt:variant>
        <vt:i4>0</vt:i4>
      </vt:variant>
      <vt:variant>
        <vt:i4>5</vt:i4>
      </vt:variant>
      <vt:variant>
        <vt:lpwstr/>
      </vt:variant>
      <vt:variant>
        <vt:lpwstr>XR_PriorPeriod</vt:lpwstr>
      </vt:variant>
      <vt:variant>
        <vt:i4>7798850</vt:i4>
      </vt:variant>
      <vt:variant>
        <vt:i4>360</vt:i4>
      </vt:variant>
      <vt:variant>
        <vt:i4>0</vt:i4>
      </vt:variant>
      <vt:variant>
        <vt:i4>5</vt:i4>
      </vt:variant>
      <vt:variant>
        <vt:lpwstr/>
      </vt:variant>
      <vt:variant>
        <vt:lpwstr>XR_Restated</vt:lpwstr>
      </vt:variant>
      <vt:variant>
        <vt:i4>7667838</vt:i4>
      </vt:variant>
      <vt:variant>
        <vt:i4>357</vt:i4>
      </vt:variant>
      <vt:variant>
        <vt:i4>0</vt:i4>
      </vt:variant>
      <vt:variant>
        <vt:i4>5</vt:i4>
      </vt:variant>
      <vt:variant>
        <vt:lpwstr/>
      </vt:variant>
      <vt:variant>
        <vt:lpwstr>PDGuide</vt:lpwstr>
      </vt:variant>
      <vt:variant>
        <vt:i4>7536741</vt:i4>
      </vt:variant>
      <vt:variant>
        <vt:i4>354</vt:i4>
      </vt:variant>
      <vt:variant>
        <vt:i4>0</vt:i4>
      </vt:variant>
      <vt:variant>
        <vt:i4>5</vt:i4>
      </vt:variant>
      <vt:variant>
        <vt:lpwstr/>
      </vt:variant>
      <vt:variant>
        <vt:lpwstr>InlineGuide</vt:lpwstr>
      </vt:variant>
      <vt:variant>
        <vt:i4>7667838</vt:i4>
      </vt:variant>
      <vt:variant>
        <vt:i4>351</vt:i4>
      </vt:variant>
      <vt:variant>
        <vt:i4>0</vt:i4>
      </vt:variant>
      <vt:variant>
        <vt:i4>5</vt:i4>
      </vt:variant>
      <vt:variant>
        <vt:lpwstr/>
      </vt:variant>
      <vt:variant>
        <vt:lpwstr>PDGuide</vt:lpwstr>
      </vt:variant>
      <vt:variant>
        <vt:i4>7667838</vt:i4>
      </vt:variant>
      <vt:variant>
        <vt:i4>348</vt:i4>
      </vt:variant>
      <vt:variant>
        <vt:i4>0</vt:i4>
      </vt:variant>
      <vt:variant>
        <vt:i4>5</vt:i4>
      </vt:variant>
      <vt:variant>
        <vt:lpwstr/>
      </vt:variant>
      <vt:variant>
        <vt:lpwstr>PDGuide</vt:lpwstr>
      </vt:variant>
      <vt:variant>
        <vt:i4>7667838</vt:i4>
      </vt:variant>
      <vt:variant>
        <vt:i4>345</vt:i4>
      </vt:variant>
      <vt:variant>
        <vt:i4>0</vt:i4>
      </vt:variant>
      <vt:variant>
        <vt:i4>5</vt:i4>
      </vt:variant>
      <vt:variant>
        <vt:lpwstr/>
      </vt:variant>
      <vt:variant>
        <vt:lpwstr>PDGuide</vt:lpwstr>
      </vt:variant>
      <vt:variant>
        <vt:i4>7012444</vt:i4>
      </vt:variant>
      <vt:variant>
        <vt:i4>342</vt:i4>
      </vt:variant>
      <vt:variant>
        <vt:i4>0</vt:i4>
      </vt:variant>
      <vt:variant>
        <vt:i4>5</vt:i4>
      </vt:variant>
      <vt:variant>
        <vt:lpwstr/>
      </vt:variant>
      <vt:variant>
        <vt:lpwstr>_14_Predefined_value</vt:lpwstr>
      </vt:variant>
      <vt:variant>
        <vt:i4>59</vt:i4>
      </vt:variant>
      <vt:variant>
        <vt:i4>339</vt:i4>
      </vt:variant>
      <vt:variant>
        <vt:i4>0</vt:i4>
      </vt:variant>
      <vt:variant>
        <vt:i4>5</vt:i4>
      </vt:variant>
      <vt:variant>
        <vt:lpwstr/>
      </vt:variant>
      <vt:variant>
        <vt:lpwstr>XR_InvPropMod</vt:lpwstr>
      </vt:variant>
      <vt:variant>
        <vt:i4>7536741</vt:i4>
      </vt:variant>
      <vt:variant>
        <vt:i4>336</vt:i4>
      </vt:variant>
      <vt:variant>
        <vt:i4>0</vt:i4>
      </vt:variant>
      <vt:variant>
        <vt:i4>5</vt:i4>
      </vt:variant>
      <vt:variant>
        <vt:lpwstr/>
      </vt:variant>
      <vt:variant>
        <vt:lpwstr>InlineGuide</vt:lpwstr>
      </vt:variant>
      <vt:variant>
        <vt:i4>7667838</vt:i4>
      </vt:variant>
      <vt:variant>
        <vt:i4>333</vt:i4>
      </vt:variant>
      <vt:variant>
        <vt:i4>0</vt:i4>
      </vt:variant>
      <vt:variant>
        <vt:i4>5</vt:i4>
      </vt:variant>
      <vt:variant>
        <vt:lpwstr/>
      </vt:variant>
      <vt:variant>
        <vt:lpwstr>PDGuide</vt:lpwstr>
      </vt:variant>
      <vt:variant>
        <vt:i4>7536741</vt:i4>
      </vt:variant>
      <vt:variant>
        <vt:i4>330</vt:i4>
      </vt:variant>
      <vt:variant>
        <vt:i4>0</vt:i4>
      </vt:variant>
      <vt:variant>
        <vt:i4>5</vt:i4>
      </vt:variant>
      <vt:variant>
        <vt:lpwstr/>
      </vt:variant>
      <vt:variant>
        <vt:lpwstr>InlineGuide</vt:lpwstr>
      </vt:variant>
      <vt:variant>
        <vt:i4>7536741</vt:i4>
      </vt:variant>
      <vt:variant>
        <vt:i4>327</vt:i4>
      </vt:variant>
      <vt:variant>
        <vt:i4>0</vt:i4>
      </vt:variant>
      <vt:variant>
        <vt:i4>5</vt:i4>
      </vt:variant>
      <vt:variant>
        <vt:lpwstr/>
      </vt:variant>
      <vt:variant>
        <vt:lpwstr>InlineGuide</vt:lpwstr>
      </vt:variant>
      <vt:variant>
        <vt:i4>7667838</vt:i4>
      </vt:variant>
      <vt:variant>
        <vt:i4>324</vt:i4>
      </vt:variant>
      <vt:variant>
        <vt:i4>0</vt:i4>
      </vt:variant>
      <vt:variant>
        <vt:i4>5</vt:i4>
      </vt:variant>
      <vt:variant>
        <vt:lpwstr/>
      </vt:variant>
      <vt:variant>
        <vt:lpwstr>PDGuide</vt:lpwstr>
      </vt:variant>
      <vt:variant>
        <vt:i4>3670025</vt:i4>
      </vt:variant>
      <vt:variant>
        <vt:i4>321</vt:i4>
      </vt:variant>
      <vt:variant>
        <vt:i4>0</vt:i4>
      </vt:variant>
      <vt:variant>
        <vt:i4>5</vt:i4>
      </vt:variant>
      <vt:variant>
        <vt:lpwstr/>
      </vt:variant>
      <vt:variant>
        <vt:lpwstr>_13_Groupings_/</vt:lpwstr>
      </vt:variant>
      <vt:variant>
        <vt:i4>7667838</vt:i4>
      </vt:variant>
      <vt:variant>
        <vt:i4>318</vt:i4>
      </vt:variant>
      <vt:variant>
        <vt:i4>0</vt:i4>
      </vt:variant>
      <vt:variant>
        <vt:i4>5</vt:i4>
      </vt:variant>
      <vt:variant>
        <vt:lpwstr/>
      </vt:variant>
      <vt:variant>
        <vt:lpwstr>PDGuide</vt:lpwstr>
      </vt:variant>
      <vt:variant>
        <vt:i4>6684762</vt:i4>
      </vt:variant>
      <vt:variant>
        <vt:i4>315</vt:i4>
      </vt:variant>
      <vt:variant>
        <vt:i4>0</vt:i4>
      </vt:variant>
      <vt:variant>
        <vt:i4>5</vt:i4>
      </vt:variant>
      <vt:variant>
        <vt:lpwstr/>
      </vt:variant>
      <vt:variant>
        <vt:lpwstr>XR_RestatementCtxt</vt:lpwstr>
      </vt:variant>
      <vt:variant>
        <vt:i4>262152</vt:i4>
      </vt:variant>
      <vt:variant>
        <vt:i4>312</vt:i4>
      </vt:variant>
      <vt:variant>
        <vt:i4>0</vt:i4>
      </vt:variant>
      <vt:variant>
        <vt:i4>5</vt:i4>
      </vt:variant>
      <vt:variant>
        <vt:lpwstr/>
      </vt:variant>
      <vt:variant>
        <vt:lpwstr>GenericRules</vt:lpwstr>
      </vt:variant>
      <vt:variant>
        <vt:i4>7667838</vt:i4>
      </vt:variant>
      <vt:variant>
        <vt:i4>309</vt:i4>
      </vt:variant>
      <vt:variant>
        <vt:i4>0</vt:i4>
      </vt:variant>
      <vt:variant>
        <vt:i4>5</vt:i4>
      </vt:variant>
      <vt:variant>
        <vt:lpwstr/>
      </vt:variant>
      <vt:variant>
        <vt:lpwstr>PDGuide</vt:lpwstr>
      </vt:variant>
      <vt:variant>
        <vt:i4>7667838</vt:i4>
      </vt:variant>
      <vt:variant>
        <vt:i4>306</vt:i4>
      </vt:variant>
      <vt:variant>
        <vt:i4>0</vt:i4>
      </vt:variant>
      <vt:variant>
        <vt:i4>5</vt:i4>
      </vt:variant>
      <vt:variant>
        <vt:lpwstr/>
      </vt:variant>
      <vt:variant>
        <vt:lpwstr>PDGuide</vt:lpwstr>
      </vt:variant>
      <vt:variant>
        <vt:i4>7667838</vt:i4>
      </vt:variant>
      <vt:variant>
        <vt:i4>303</vt:i4>
      </vt:variant>
      <vt:variant>
        <vt:i4>0</vt:i4>
      </vt:variant>
      <vt:variant>
        <vt:i4>5</vt:i4>
      </vt:variant>
      <vt:variant>
        <vt:lpwstr/>
      </vt:variant>
      <vt:variant>
        <vt:lpwstr>PDGuide</vt:lpwstr>
      </vt:variant>
      <vt:variant>
        <vt:i4>8192067</vt:i4>
      </vt:variant>
      <vt:variant>
        <vt:i4>300</vt:i4>
      </vt:variant>
      <vt:variant>
        <vt:i4>0</vt:i4>
      </vt:variant>
      <vt:variant>
        <vt:i4>5</vt:i4>
      </vt:variant>
      <vt:variant>
        <vt:lpwstr/>
      </vt:variant>
      <vt:variant>
        <vt:lpwstr>XR_PredefValues</vt:lpwstr>
      </vt:variant>
      <vt:variant>
        <vt:i4>196652</vt:i4>
      </vt:variant>
      <vt:variant>
        <vt:i4>297</vt:i4>
      </vt:variant>
      <vt:variant>
        <vt:i4>0</vt:i4>
      </vt:variant>
      <vt:variant>
        <vt:i4>5</vt:i4>
      </vt:variant>
      <vt:variant>
        <vt:lpwstr/>
      </vt:variant>
      <vt:variant>
        <vt:lpwstr>XR_PeriodContexts</vt:lpwstr>
      </vt:variant>
      <vt:variant>
        <vt:i4>196612</vt:i4>
      </vt:variant>
      <vt:variant>
        <vt:i4>294</vt:i4>
      </vt:variant>
      <vt:variant>
        <vt:i4>0</vt:i4>
      </vt:variant>
      <vt:variant>
        <vt:i4>5</vt:i4>
      </vt:variant>
      <vt:variant>
        <vt:lpwstr/>
      </vt:variant>
      <vt:variant>
        <vt:lpwstr>JFValidRules</vt:lpwstr>
      </vt:variant>
      <vt:variant>
        <vt:i4>7667838</vt:i4>
      </vt:variant>
      <vt:variant>
        <vt:i4>291</vt:i4>
      </vt:variant>
      <vt:variant>
        <vt:i4>0</vt:i4>
      </vt:variant>
      <vt:variant>
        <vt:i4>5</vt:i4>
      </vt:variant>
      <vt:variant>
        <vt:lpwstr/>
      </vt:variant>
      <vt:variant>
        <vt:lpwstr>PDGuide</vt:lpwstr>
      </vt:variant>
      <vt:variant>
        <vt:i4>7667838</vt:i4>
      </vt:variant>
      <vt:variant>
        <vt:i4>288</vt:i4>
      </vt:variant>
      <vt:variant>
        <vt:i4>0</vt:i4>
      </vt:variant>
      <vt:variant>
        <vt:i4>5</vt:i4>
      </vt:variant>
      <vt:variant>
        <vt:lpwstr/>
      </vt:variant>
      <vt:variant>
        <vt:lpwstr>PDGuide</vt:lpwstr>
      </vt:variant>
      <vt:variant>
        <vt:i4>3080309</vt:i4>
      </vt:variant>
      <vt:variant>
        <vt:i4>285</vt:i4>
      </vt:variant>
      <vt:variant>
        <vt:i4>0</vt:i4>
      </vt:variant>
      <vt:variant>
        <vt:i4>5</vt:i4>
      </vt:variant>
      <vt:variant>
        <vt:lpwstr>http://www.xbrl.org/uk/TechSamples/</vt:lpwstr>
      </vt:variant>
      <vt:variant>
        <vt:lpwstr/>
      </vt:variant>
      <vt:variant>
        <vt:i4>851995</vt:i4>
      </vt:variant>
      <vt:variant>
        <vt:i4>282</vt:i4>
      </vt:variant>
      <vt:variant>
        <vt:i4>0</vt:i4>
      </vt:variant>
      <vt:variant>
        <vt:i4>5</vt:i4>
      </vt:variant>
      <vt:variant>
        <vt:lpwstr>http://www.xbrl.org/uk/TechGuidance/</vt:lpwstr>
      </vt:variant>
      <vt:variant>
        <vt:lpwstr/>
      </vt:variant>
      <vt:variant>
        <vt:i4>1966139</vt:i4>
      </vt:variant>
      <vt:variant>
        <vt:i4>275</vt:i4>
      </vt:variant>
      <vt:variant>
        <vt:i4>0</vt:i4>
      </vt:variant>
      <vt:variant>
        <vt:i4>5</vt:i4>
      </vt:variant>
      <vt:variant>
        <vt:lpwstr/>
      </vt:variant>
      <vt:variant>
        <vt:lpwstr>_Toc292036863</vt:lpwstr>
      </vt:variant>
      <vt:variant>
        <vt:i4>1966139</vt:i4>
      </vt:variant>
      <vt:variant>
        <vt:i4>269</vt:i4>
      </vt:variant>
      <vt:variant>
        <vt:i4>0</vt:i4>
      </vt:variant>
      <vt:variant>
        <vt:i4>5</vt:i4>
      </vt:variant>
      <vt:variant>
        <vt:lpwstr/>
      </vt:variant>
      <vt:variant>
        <vt:lpwstr>_Toc292036862</vt:lpwstr>
      </vt:variant>
      <vt:variant>
        <vt:i4>1966139</vt:i4>
      </vt:variant>
      <vt:variant>
        <vt:i4>263</vt:i4>
      </vt:variant>
      <vt:variant>
        <vt:i4>0</vt:i4>
      </vt:variant>
      <vt:variant>
        <vt:i4>5</vt:i4>
      </vt:variant>
      <vt:variant>
        <vt:lpwstr/>
      </vt:variant>
      <vt:variant>
        <vt:lpwstr>_Toc292036861</vt:lpwstr>
      </vt:variant>
      <vt:variant>
        <vt:i4>1966139</vt:i4>
      </vt:variant>
      <vt:variant>
        <vt:i4>257</vt:i4>
      </vt:variant>
      <vt:variant>
        <vt:i4>0</vt:i4>
      </vt:variant>
      <vt:variant>
        <vt:i4>5</vt:i4>
      </vt:variant>
      <vt:variant>
        <vt:lpwstr/>
      </vt:variant>
      <vt:variant>
        <vt:lpwstr>_Toc292036860</vt:lpwstr>
      </vt:variant>
      <vt:variant>
        <vt:i4>1900603</vt:i4>
      </vt:variant>
      <vt:variant>
        <vt:i4>251</vt:i4>
      </vt:variant>
      <vt:variant>
        <vt:i4>0</vt:i4>
      </vt:variant>
      <vt:variant>
        <vt:i4>5</vt:i4>
      </vt:variant>
      <vt:variant>
        <vt:lpwstr/>
      </vt:variant>
      <vt:variant>
        <vt:lpwstr>_Toc292036859</vt:lpwstr>
      </vt:variant>
      <vt:variant>
        <vt:i4>1900603</vt:i4>
      </vt:variant>
      <vt:variant>
        <vt:i4>245</vt:i4>
      </vt:variant>
      <vt:variant>
        <vt:i4>0</vt:i4>
      </vt:variant>
      <vt:variant>
        <vt:i4>5</vt:i4>
      </vt:variant>
      <vt:variant>
        <vt:lpwstr/>
      </vt:variant>
      <vt:variant>
        <vt:lpwstr>_Toc292036858</vt:lpwstr>
      </vt:variant>
      <vt:variant>
        <vt:i4>1900603</vt:i4>
      </vt:variant>
      <vt:variant>
        <vt:i4>239</vt:i4>
      </vt:variant>
      <vt:variant>
        <vt:i4>0</vt:i4>
      </vt:variant>
      <vt:variant>
        <vt:i4>5</vt:i4>
      </vt:variant>
      <vt:variant>
        <vt:lpwstr/>
      </vt:variant>
      <vt:variant>
        <vt:lpwstr>_Toc292036857</vt:lpwstr>
      </vt:variant>
      <vt:variant>
        <vt:i4>1900603</vt:i4>
      </vt:variant>
      <vt:variant>
        <vt:i4>233</vt:i4>
      </vt:variant>
      <vt:variant>
        <vt:i4>0</vt:i4>
      </vt:variant>
      <vt:variant>
        <vt:i4>5</vt:i4>
      </vt:variant>
      <vt:variant>
        <vt:lpwstr/>
      </vt:variant>
      <vt:variant>
        <vt:lpwstr>_Toc292036856</vt:lpwstr>
      </vt:variant>
      <vt:variant>
        <vt:i4>1900603</vt:i4>
      </vt:variant>
      <vt:variant>
        <vt:i4>227</vt:i4>
      </vt:variant>
      <vt:variant>
        <vt:i4>0</vt:i4>
      </vt:variant>
      <vt:variant>
        <vt:i4>5</vt:i4>
      </vt:variant>
      <vt:variant>
        <vt:lpwstr/>
      </vt:variant>
      <vt:variant>
        <vt:lpwstr>_Toc292036855</vt:lpwstr>
      </vt:variant>
      <vt:variant>
        <vt:i4>1900603</vt:i4>
      </vt:variant>
      <vt:variant>
        <vt:i4>221</vt:i4>
      </vt:variant>
      <vt:variant>
        <vt:i4>0</vt:i4>
      </vt:variant>
      <vt:variant>
        <vt:i4>5</vt:i4>
      </vt:variant>
      <vt:variant>
        <vt:lpwstr/>
      </vt:variant>
      <vt:variant>
        <vt:lpwstr>_Toc292036854</vt:lpwstr>
      </vt:variant>
      <vt:variant>
        <vt:i4>1900603</vt:i4>
      </vt:variant>
      <vt:variant>
        <vt:i4>215</vt:i4>
      </vt:variant>
      <vt:variant>
        <vt:i4>0</vt:i4>
      </vt:variant>
      <vt:variant>
        <vt:i4>5</vt:i4>
      </vt:variant>
      <vt:variant>
        <vt:lpwstr/>
      </vt:variant>
      <vt:variant>
        <vt:lpwstr>_Toc292036853</vt:lpwstr>
      </vt:variant>
      <vt:variant>
        <vt:i4>1900603</vt:i4>
      </vt:variant>
      <vt:variant>
        <vt:i4>209</vt:i4>
      </vt:variant>
      <vt:variant>
        <vt:i4>0</vt:i4>
      </vt:variant>
      <vt:variant>
        <vt:i4>5</vt:i4>
      </vt:variant>
      <vt:variant>
        <vt:lpwstr/>
      </vt:variant>
      <vt:variant>
        <vt:lpwstr>_Toc292036852</vt:lpwstr>
      </vt:variant>
      <vt:variant>
        <vt:i4>1900603</vt:i4>
      </vt:variant>
      <vt:variant>
        <vt:i4>203</vt:i4>
      </vt:variant>
      <vt:variant>
        <vt:i4>0</vt:i4>
      </vt:variant>
      <vt:variant>
        <vt:i4>5</vt:i4>
      </vt:variant>
      <vt:variant>
        <vt:lpwstr/>
      </vt:variant>
      <vt:variant>
        <vt:lpwstr>_Toc292036851</vt:lpwstr>
      </vt:variant>
      <vt:variant>
        <vt:i4>1900603</vt:i4>
      </vt:variant>
      <vt:variant>
        <vt:i4>197</vt:i4>
      </vt:variant>
      <vt:variant>
        <vt:i4>0</vt:i4>
      </vt:variant>
      <vt:variant>
        <vt:i4>5</vt:i4>
      </vt:variant>
      <vt:variant>
        <vt:lpwstr/>
      </vt:variant>
      <vt:variant>
        <vt:lpwstr>_Toc292036850</vt:lpwstr>
      </vt:variant>
      <vt:variant>
        <vt:i4>1835067</vt:i4>
      </vt:variant>
      <vt:variant>
        <vt:i4>191</vt:i4>
      </vt:variant>
      <vt:variant>
        <vt:i4>0</vt:i4>
      </vt:variant>
      <vt:variant>
        <vt:i4>5</vt:i4>
      </vt:variant>
      <vt:variant>
        <vt:lpwstr/>
      </vt:variant>
      <vt:variant>
        <vt:lpwstr>_Toc292036849</vt:lpwstr>
      </vt:variant>
      <vt:variant>
        <vt:i4>1835067</vt:i4>
      </vt:variant>
      <vt:variant>
        <vt:i4>185</vt:i4>
      </vt:variant>
      <vt:variant>
        <vt:i4>0</vt:i4>
      </vt:variant>
      <vt:variant>
        <vt:i4>5</vt:i4>
      </vt:variant>
      <vt:variant>
        <vt:lpwstr/>
      </vt:variant>
      <vt:variant>
        <vt:lpwstr>_Toc292036848</vt:lpwstr>
      </vt:variant>
      <vt:variant>
        <vt:i4>1835067</vt:i4>
      </vt:variant>
      <vt:variant>
        <vt:i4>179</vt:i4>
      </vt:variant>
      <vt:variant>
        <vt:i4>0</vt:i4>
      </vt:variant>
      <vt:variant>
        <vt:i4>5</vt:i4>
      </vt:variant>
      <vt:variant>
        <vt:lpwstr/>
      </vt:variant>
      <vt:variant>
        <vt:lpwstr>_Toc292036847</vt:lpwstr>
      </vt:variant>
      <vt:variant>
        <vt:i4>1835067</vt:i4>
      </vt:variant>
      <vt:variant>
        <vt:i4>173</vt:i4>
      </vt:variant>
      <vt:variant>
        <vt:i4>0</vt:i4>
      </vt:variant>
      <vt:variant>
        <vt:i4>5</vt:i4>
      </vt:variant>
      <vt:variant>
        <vt:lpwstr/>
      </vt:variant>
      <vt:variant>
        <vt:lpwstr>_Toc292036846</vt:lpwstr>
      </vt:variant>
      <vt:variant>
        <vt:i4>1835067</vt:i4>
      </vt:variant>
      <vt:variant>
        <vt:i4>167</vt:i4>
      </vt:variant>
      <vt:variant>
        <vt:i4>0</vt:i4>
      </vt:variant>
      <vt:variant>
        <vt:i4>5</vt:i4>
      </vt:variant>
      <vt:variant>
        <vt:lpwstr/>
      </vt:variant>
      <vt:variant>
        <vt:lpwstr>_Toc292036845</vt:lpwstr>
      </vt:variant>
      <vt:variant>
        <vt:i4>1835067</vt:i4>
      </vt:variant>
      <vt:variant>
        <vt:i4>161</vt:i4>
      </vt:variant>
      <vt:variant>
        <vt:i4>0</vt:i4>
      </vt:variant>
      <vt:variant>
        <vt:i4>5</vt:i4>
      </vt:variant>
      <vt:variant>
        <vt:lpwstr/>
      </vt:variant>
      <vt:variant>
        <vt:lpwstr>_Toc292036844</vt:lpwstr>
      </vt:variant>
      <vt:variant>
        <vt:i4>1835067</vt:i4>
      </vt:variant>
      <vt:variant>
        <vt:i4>155</vt:i4>
      </vt:variant>
      <vt:variant>
        <vt:i4>0</vt:i4>
      </vt:variant>
      <vt:variant>
        <vt:i4>5</vt:i4>
      </vt:variant>
      <vt:variant>
        <vt:lpwstr/>
      </vt:variant>
      <vt:variant>
        <vt:lpwstr>_Toc292036843</vt:lpwstr>
      </vt:variant>
      <vt:variant>
        <vt:i4>1835067</vt:i4>
      </vt:variant>
      <vt:variant>
        <vt:i4>149</vt:i4>
      </vt:variant>
      <vt:variant>
        <vt:i4>0</vt:i4>
      </vt:variant>
      <vt:variant>
        <vt:i4>5</vt:i4>
      </vt:variant>
      <vt:variant>
        <vt:lpwstr/>
      </vt:variant>
      <vt:variant>
        <vt:lpwstr>_Toc292036842</vt:lpwstr>
      </vt:variant>
      <vt:variant>
        <vt:i4>1835067</vt:i4>
      </vt:variant>
      <vt:variant>
        <vt:i4>143</vt:i4>
      </vt:variant>
      <vt:variant>
        <vt:i4>0</vt:i4>
      </vt:variant>
      <vt:variant>
        <vt:i4>5</vt:i4>
      </vt:variant>
      <vt:variant>
        <vt:lpwstr/>
      </vt:variant>
      <vt:variant>
        <vt:lpwstr>_Toc292036841</vt:lpwstr>
      </vt:variant>
      <vt:variant>
        <vt:i4>1835067</vt:i4>
      </vt:variant>
      <vt:variant>
        <vt:i4>137</vt:i4>
      </vt:variant>
      <vt:variant>
        <vt:i4>0</vt:i4>
      </vt:variant>
      <vt:variant>
        <vt:i4>5</vt:i4>
      </vt:variant>
      <vt:variant>
        <vt:lpwstr/>
      </vt:variant>
      <vt:variant>
        <vt:lpwstr>_Toc292036840</vt:lpwstr>
      </vt:variant>
      <vt:variant>
        <vt:i4>1769531</vt:i4>
      </vt:variant>
      <vt:variant>
        <vt:i4>131</vt:i4>
      </vt:variant>
      <vt:variant>
        <vt:i4>0</vt:i4>
      </vt:variant>
      <vt:variant>
        <vt:i4>5</vt:i4>
      </vt:variant>
      <vt:variant>
        <vt:lpwstr/>
      </vt:variant>
      <vt:variant>
        <vt:lpwstr>_Toc292036839</vt:lpwstr>
      </vt:variant>
      <vt:variant>
        <vt:i4>1769531</vt:i4>
      </vt:variant>
      <vt:variant>
        <vt:i4>125</vt:i4>
      </vt:variant>
      <vt:variant>
        <vt:i4>0</vt:i4>
      </vt:variant>
      <vt:variant>
        <vt:i4>5</vt:i4>
      </vt:variant>
      <vt:variant>
        <vt:lpwstr/>
      </vt:variant>
      <vt:variant>
        <vt:lpwstr>_Toc292036838</vt:lpwstr>
      </vt:variant>
      <vt:variant>
        <vt:i4>1769531</vt:i4>
      </vt:variant>
      <vt:variant>
        <vt:i4>119</vt:i4>
      </vt:variant>
      <vt:variant>
        <vt:i4>0</vt:i4>
      </vt:variant>
      <vt:variant>
        <vt:i4>5</vt:i4>
      </vt:variant>
      <vt:variant>
        <vt:lpwstr/>
      </vt:variant>
      <vt:variant>
        <vt:lpwstr>_Toc292036837</vt:lpwstr>
      </vt:variant>
      <vt:variant>
        <vt:i4>1769531</vt:i4>
      </vt:variant>
      <vt:variant>
        <vt:i4>113</vt:i4>
      </vt:variant>
      <vt:variant>
        <vt:i4>0</vt:i4>
      </vt:variant>
      <vt:variant>
        <vt:i4>5</vt:i4>
      </vt:variant>
      <vt:variant>
        <vt:lpwstr/>
      </vt:variant>
      <vt:variant>
        <vt:lpwstr>_Toc292036836</vt:lpwstr>
      </vt:variant>
      <vt:variant>
        <vt:i4>1769531</vt:i4>
      </vt:variant>
      <vt:variant>
        <vt:i4>107</vt:i4>
      </vt:variant>
      <vt:variant>
        <vt:i4>0</vt:i4>
      </vt:variant>
      <vt:variant>
        <vt:i4>5</vt:i4>
      </vt:variant>
      <vt:variant>
        <vt:lpwstr/>
      </vt:variant>
      <vt:variant>
        <vt:lpwstr>_Toc292036835</vt:lpwstr>
      </vt:variant>
      <vt:variant>
        <vt:i4>1769531</vt:i4>
      </vt:variant>
      <vt:variant>
        <vt:i4>101</vt:i4>
      </vt:variant>
      <vt:variant>
        <vt:i4>0</vt:i4>
      </vt:variant>
      <vt:variant>
        <vt:i4>5</vt:i4>
      </vt:variant>
      <vt:variant>
        <vt:lpwstr/>
      </vt:variant>
      <vt:variant>
        <vt:lpwstr>_Toc292036834</vt:lpwstr>
      </vt:variant>
      <vt:variant>
        <vt:i4>1769531</vt:i4>
      </vt:variant>
      <vt:variant>
        <vt:i4>95</vt:i4>
      </vt:variant>
      <vt:variant>
        <vt:i4>0</vt:i4>
      </vt:variant>
      <vt:variant>
        <vt:i4>5</vt:i4>
      </vt:variant>
      <vt:variant>
        <vt:lpwstr/>
      </vt:variant>
      <vt:variant>
        <vt:lpwstr>_Toc292036833</vt:lpwstr>
      </vt:variant>
      <vt:variant>
        <vt:i4>1769531</vt:i4>
      </vt:variant>
      <vt:variant>
        <vt:i4>89</vt:i4>
      </vt:variant>
      <vt:variant>
        <vt:i4>0</vt:i4>
      </vt:variant>
      <vt:variant>
        <vt:i4>5</vt:i4>
      </vt:variant>
      <vt:variant>
        <vt:lpwstr/>
      </vt:variant>
      <vt:variant>
        <vt:lpwstr>_Toc292036832</vt:lpwstr>
      </vt:variant>
      <vt:variant>
        <vt:i4>1769531</vt:i4>
      </vt:variant>
      <vt:variant>
        <vt:i4>83</vt:i4>
      </vt:variant>
      <vt:variant>
        <vt:i4>0</vt:i4>
      </vt:variant>
      <vt:variant>
        <vt:i4>5</vt:i4>
      </vt:variant>
      <vt:variant>
        <vt:lpwstr/>
      </vt:variant>
      <vt:variant>
        <vt:lpwstr>_Toc292036831</vt:lpwstr>
      </vt:variant>
      <vt:variant>
        <vt:i4>1769531</vt:i4>
      </vt:variant>
      <vt:variant>
        <vt:i4>77</vt:i4>
      </vt:variant>
      <vt:variant>
        <vt:i4>0</vt:i4>
      </vt:variant>
      <vt:variant>
        <vt:i4>5</vt:i4>
      </vt:variant>
      <vt:variant>
        <vt:lpwstr/>
      </vt:variant>
      <vt:variant>
        <vt:lpwstr>_Toc292036830</vt:lpwstr>
      </vt:variant>
      <vt:variant>
        <vt:i4>1703995</vt:i4>
      </vt:variant>
      <vt:variant>
        <vt:i4>71</vt:i4>
      </vt:variant>
      <vt:variant>
        <vt:i4>0</vt:i4>
      </vt:variant>
      <vt:variant>
        <vt:i4>5</vt:i4>
      </vt:variant>
      <vt:variant>
        <vt:lpwstr/>
      </vt:variant>
      <vt:variant>
        <vt:lpwstr>_Toc292036829</vt:lpwstr>
      </vt:variant>
      <vt:variant>
        <vt:i4>1703995</vt:i4>
      </vt:variant>
      <vt:variant>
        <vt:i4>65</vt:i4>
      </vt:variant>
      <vt:variant>
        <vt:i4>0</vt:i4>
      </vt:variant>
      <vt:variant>
        <vt:i4>5</vt:i4>
      </vt:variant>
      <vt:variant>
        <vt:lpwstr/>
      </vt:variant>
      <vt:variant>
        <vt:lpwstr>_Toc292036828</vt:lpwstr>
      </vt:variant>
      <vt:variant>
        <vt:i4>1703995</vt:i4>
      </vt:variant>
      <vt:variant>
        <vt:i4>59</vt:i4>
      </vt:variant>
      <vt:variant>
        <vt:i4>0</vt:i4>
      </vt:variant>
      <vt:variant>
        <vt:i4>5</vt:i4>
      </vt:variant>
      <vt:variant>
        <vt:lpwstr/>
      </vt:variant>
      <vt:variant>
        <vt:lpwstr>_Toc292036827</vt:lpwstr>
      </vt:variant>
      <vt:variant>
        <vt:i4>1703995</vt:i4>
      </vt:variant>
      <vt:variant>
        <vt:i4>53</vt:i4>
      </vt:variant>
      <vt:variant>
        <vt:i4>0</vt:i4>
      </vt:variant>
      <vt:variant>
        <vt:i4>5</vt:i4>
      </vt:variant>
      <vt:variant>
        <vt:lpwstr/>
      </vt:variant>
      <vt:variant>
        <vt:lpwstr>_Toc292036826</vt:lpwstr>
      </vt:variant>
      <vt:variant>
        <vt:i4>1703995</vt:i4>
      </vt:variant>
      <vt:variant>
        <vt:i4>47</vt:i4>
      </vt:variant>
      <vt:variant>
        <vt:i4>0</vt:i4>
      </vt:variant>
      <vt:variant>
        <vt:i4>5</vt:i4>
      </vt:variant>
      <vt:variant>
        <vt:lpwstr/>
      </vt:variant>
      <vt:variant>
        <vt:lpwstr>_Toc292036825</vt:lpwstr>
      </vt:variant>
      <vt:variant>
        <vt:i4>1703995</vt:i4>
      </vt:variant>
      <vt:variant>
        <vt:i4>41</vt:i4>
      </vt:variant>
      <vt:variant>
        <vt:i4>0</vt:i4>
      </vt:variant>
      <vt:variant>
        <vt:i4>5</vt:i4>
      </vt:variant>
      <vt:variant>
        <vt:lpwstr/>
      </vt:variant>
      <vt:variant>
        <vt:lpwstr>_Toc292036824</vt:lpwstr>
      </vt:variant>
      <vt:variant>
        <vt:i4>1703995</vt:i4>
      </vt:variant>
      <vt:variant>
        <vt:i4>35</vt:i4>
      </vt:variant>
      <vt:variant>
        <vt:i4>0</vt:i4>
      </vt:variant>
      <vt:variant>
        <vt:i4>5</vt:i4>
      </vt:variant>
      <vt:variant>
        <vt:lpwstr/>
      </vt:variant>
      <vt:variant>
        <vt:lpwstr>_Toc292036823</vt:lpwstr>
      </vt:variant>
      <vt:variant>
        <vt:i4>1703995</vt:i4>
      </vt:variant>
      <vt:variant>
        <vt:i4>29</vt:i4>
      </vt:variant>
      <vt:variant>
        <vt:i4>0</vt:i4>
      </vt:variant>
      <vt:variant>
        <vt:i4>5</vt:i4>
      </vt:variant>
      <vt:variant>
        <vt:lpwstr/>
      </vt:variant>
      <vt:variant>
        <vt:lpwstr>_Toc292036822</vt:lpwstr>
      </vt:variant>
      <vt:variant>
        <vt:i4>1703995</vt:i4>
      </vt:variant>
      <vt:variant>
        <vt:i4>23</vt:i4>
      </vt:variant>
      <vt:variant>
        <vt:i4>0</vt:i4>
      </vt:variant>
      <vt:variant>
        <vt:i4>5</vt:i4>
      </vt:variant>
      <vt:variant>
        <vt:lpwstr/>
      </vt:variant>
      <vt:variant>
        <vt:lpwstr>_Toc292036821</vt:lpwstr>
      </vt:variant>
      <vt:variant>
        <vt:i4>1703995</vt:i4>
      </vt:variant>
      <vt:variant>
        <vt:i4>17</vt:i4>
      </vt:variant>
      <vt:variant>
        <vt:i4>0</vt:i4>
      </vt:variant>
      <vt:variant>
        <vt:i4>5</vt:i4>
      </vt:variant>
      <vt:variant>
        <vt:lpwstr/>
      </vt:variant>
      <vt:variant>
        <vt:lpwstr>_Toc292036820</vt:lpwstr>
      </vt:variant>
      <vt:variant>
        <vt:i4>1638459</vt:i4>
      </vt:variant>
      <vt:variant>
        <vt:i4>11</vt:i4>
      </vt:variant>
      <vt:variant>
        <vt:i4>0</vt:i4>
      </vt:variant>
      <vt:variant>
        <vt:i4>5</vt:i4>
      </vt:variant>
      <vt:variant>
        <vt:lpwstr/>
      </vt:variant>
      <vt:variant>
        <vt:lpwstr>_Toc292036819</vt:lpwstr>
      </vt:variant>
      <vt:variant>
        <vt:i4>1638459</vt:i4>
      </vt:variant>
      <vt:variant>
        <vt:i4>5</vt:i4>
      </vt:variant>
      <vt:variant>
        <vt:i4>0</vt:i4>
      </vt:variant>
      <vt:variant>
        <vt:i4>5</vt:i4>
      </vt:variant>
      <vt:variant>
        <vt:lpwstr/>
      </vt:variant>
      <vt:variant>
        <vt:lpwstr>_Toc292036818</vt:lpwstr>
      </vt:variant>
      <vt:variant>
        <vt:i4>4587642</vt:i4>
      </vt:variant>
      <vt:variant>
        <vt:i4>0</vt:i4>
      </vt:variant>
      <vt:variant>
        <vt:i4>0</vt:i4>
      </vt:variant>
      <vt:variant>
        <vt:i4>5</vt:i4>
      </vt:variant>
      <vt:variant>
        <vt:lpwstr>mailto:uktech@xbrl.org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XBRL UK Detailed Tagging Information</dc:title>
  <dc:subject/>
  <dc:creator>Peter Calvert</dc:creator>
  <cp:keywords/>
  <dc:description/>
  <cp:lastModifiedBy>David Hartley</cp:lastModifiedBy>
  <cp:revision>2</cp:revision>
  <dcterms:created xsi:type="dcterms:W3CDTF">2011-05-02T10:30:00Z</dcterms:created>
  <dcterms:modified xsi:type="dcterms:W3CDTF">2011-05-02T10:30:00Z</dcterms:modified>
</cp:coreProperties>
</file>