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D61" w:rsidRDefault="00CA7D61" w:rsidP="00031EAA">
      <w:pPr>
        <w:pStyle w:val="Heading1"/>
      </w:pPr>
      <w:r>
        <w:t>SBR Australia</w:t>
      </w:r>
    </w:p>
    <w:p w:rsidR="00031EAA" w:rsidRDefault="00031EAA" w:rsidP="00CA7D61">
      <w:pPr>
        <w:pStyle w:val="Title"/>
      </w:pPr>
      <w:r>
        <w:t>Harmonisation, XBRL, and the SBR Taxonomy</w:t>
      </w:r>
    </w:p>
    <w:p w:rsidR="00031EAA" w:rsidRDefault="00031EAA" w:rsidP="00CA7D61">
      <w:pPr>
        <w:pStyle w:val="Heading3"/>
      </w:pPr>
      <w:r>
        <w:t>Module content</w:t>
      </w:r>
    </w:p>
    <w:p w:rsidR="00031EAA" w:rsidRDefault="00031EAA" w:rsidP="00031EAA">
      <w:pPr>
        <w:numPr>
          <w:ilvl w:val="0"/>
          <w:numId w:val="3"/>
        </w:numPr>
        <w:spacing w:before="100" w:beforeAutospacing="1" w:after="100" w:afterAutospacing="1" w:line="240" w:lineRule="auto"/>
      </w:pPr>
      <w:proofErr w:type="spellStart"/>
      <w:r>
        <w:t>Hamonisation</w:t>
      </w:r>
      <w:proofErr w:type="spellEnd"/>
      <w:r>
        <w:t xml:space="preserve"> of data elements in SBR</w:t>
      </w:r>
    </w:p>
    <w:p w:rsidR="00031EAA" w:rsidRDefault="00031EAA" w:rsidP="00031EAA">
      <w:pPr>
        <w:numPr>
          <w:ilvl w:val="0"/>
          <w:numId w:val="3"/>
        </w:numPr>
        <w:spacing w:before="100" w:beforeAutospacing="1" w:after="100" w:afterAutospacing="1" w:line="240" w:lineRule="auto"/>
      </w:pPr>
      <w:r>
        <w:t>Reasons for selecting XBRL</w:t>
      </w:r>
    </w:p>
    <w:p w:rsidR="00031EAA" w:rsidRDefault="00031EAA" w:rsidP="00031EAA">
      <w:pPr>
        <w:numPr>
          <w:ilvl w:val="0"/>
          <w:numId w:val="3"/>
        </w:numPr>
        <w:spacing w:before="100" w:beforeAutospacing="1" w:after="100" w:afterAutospacing="1" w:line="240" w:lineRule="auto"/>
      </w:pPr>
      <w:r>
        <w:t>Use of XBRL in the SBR Taxonomy</w:t>
      </w:r>
    </w:p>
    <w:p w:rsidR="00031EAA" w:rsidRDefault="00031EAA" w:rsidP="00031EAA">
      <w:pPr>
        <w:numPr>
          <w:ilvl w:val="0"/>
          <w:numId w:val="3"/>
        </w:numPr>
        <w:spacing w:before="100" w:beforeAutospacing="1" w:after="100" w:afterAutospacing="1" w:line="240" w:lineRule="auto"/>
      </w:pPr>
      <w:r>
        <w:t>Structure of the SBR Taxonomy</w:t>
      </w:r>
    </w:p>
    <w:p w:rsidR="00031EAA" w:rsidRDefault="00031EAA" w:rsidP="00031EAA">
      <w:pPr>
        <w:numPr>
          <w:ilvl w:val="0"/>
          <w:numId w:val="3"/>
        </w:numPr>
        <w:spacing w:before="100" w:beforeAutospacing="1" w:after="100" w:afterAutospacing="1" w:line="240" w:lineRule="auto"/>
      </w:pPr>
      <w:r>
        <w:t>Reference materials</w:t>
      </w:r>
    </w:p>
    <w:p w:rsidR="00031EAA" w:rsidRDefault="00031EAA" w:rsidP="00031EAA">
      <w:pPr>
        <w:pStyle w:val="Heading3"/>
      </w:pPr>
      <w:r>
        <w:t>Overview</w:t>
      </w:r>
    </w:p>
    <w:p w:rsidR="00031EAA" w:rsidRDefault="00031EAA" w:rsidP="00031EAA">
      <w:pPr>
        <w:pStyle w:val="NormalWeb"/>
      </w:pPr>
      <w:r>
        <w:t>This module provides detail on the design and structure of the SBR Taxonomy, as well as the use of XBRL within it.</w:t>
      </w:r>
    </w:p>
    <w:p w:rsidR="00031EAA" w:rsidRDefault="00031EAA" w:rsidP="00031EAA">
      <w:pPr>
        <w:pStyle w:val="Heading3"/>
      </w:pPr>
      <w:r>
        <w:t>Prerequisites</w:t>
      </w:r>
    </w:p>
    <w:p w:rsidR="00031EAA" w:rsidRDefault="00031EAA" w:rsidP="00031EAA">
      <w:pPr>
        <w:numPr>
          <w:ilvl w:val="0"/>
          <w:numId w:val="4"/>
        </w:numPr>
        <w:spacing w:before="100" w:beforeAutospacing="1" w:after="100" w:afterAutospacing="1" w:line="240" w:lineRule="auto"/>
      </w:pPr>
      <w:r>
        <w:t>XBRL Fundamentals</w:t>
      </w:r>
    </w:p>
    <w:p w:rsidR="00031EAA" w:rsidRDefault="00031EAA" w:rsidP="00CA7D61">
      <w:pPr>
        <w:pStyle w:val="Heading1"/>
      </w:pPr>
      <w:r>
        <w:t>Harmonisation, XBRL, and the SBR Taxonomy</w:t>
      </w:r>
    </w:p>
    <w:p w:rsidR="00031EAA" w:rsidRDefault="00031EAA" w:rsidP="00031EAA">
      <w:pPr>
        <w:pStyle w:val="Heading3"/>
      </w:pPr>
      <w:r>
        <w:t>Topics</w:t>
      </w:r>
    </w:p>
    <w:p w:rsidR="00031EAA" w:rsidRDefault="00031EAA" w:rsidP="00031EAA">
      <w:pPr>
        <w:numPr>
          <w:ilvl w:val="0"/>
          <w:numId w:val="5"/>
        </w:numPr>
        <w:spacing w:before="100" w:beforeAutospacing="1" w:after="100" w:afterAutospacing="1" w:line="240" w:lineRule="auto"/>
      </w:pPr>
      <w:hyperlink r:id="rId6" w:history="1">
        <w:r>
          <w:rPr>
            <w:rStyle w:val="menutitle"/>
            <w:color w:val="0000FF"/>
            <w:u w:val="single"/>
          </w:rPr>
          <w:t>Introduction</w:t>
        </w:r>
      </w:hyperlink>
    </w:p>
    <w:p w:rsidR="00031EAA" w:rsidRDefault="00031EAA" w:rsidP="00031EAA">
      <w:pPr>
        <w:numPr>
          <w:ilvl w:val="0"/>
          <w:numId w:val="5"/>
        </w:numPr>
        <w:spacing w:before="100" w:beforeAutospacing="1" w:after="100" w:afterAutospacing="1" w:line="240" w:lineRule="auto"/>
      </w:pPr>
      <w:hyperlink r:id="rId7" w:history="1">
        <w:r>
          <w:rPr>
            <w:rStyle w:val="menutitle"/>
            <w:b/>
            <w:bCs/>
            <w:color w:val="FEEF00"/>
            <w:u w:val="single"/>
          </w:rPr>
          <w:t>Harmonisation and the reduction of reporting burden</w:t>
        </w:r>
      </w:hyperlink>
    </w:p>
    <w:p w:rsidR="00031EAA" w:rsidRDefault="00031EAA" w:rsidP="00031EAA">
      <w:pPr>
        <w:numPr>
          <w:ilvl w:val="0"/>
          <w:numId w:val="5"/>
        </w:numPr>
        <w:spacing w:before="100" w:beforeAutospacing="1" w:after="100" w:afterAutospacing="1" w:line="240" w:lineRule="auto"/>
      </w:pPr>
      <w:hyperlink r:id="rId8" w:history="1">
        <w:r>
          <w:rPr>
            <w:rStyle w:val="menutitle"/>
            <w:color w:val="0000FF"/>
            <w:u w:val="single"/>
          </w:rPr>
          <w:t>Three ways to harmonise data elements</w:t>
        </w:r>
      </w:hyperlink>
    </w:p>
    <w:p w:rsidR="00031EAA" w:rsidRDefault="00031EAA" w:rsidP="00031EAA">
      <w:pPr>
        <w:numPr>
          <w:ilvl w:val="0"/>
          <w:numId w:val="5"/>
        </w:numPr>
        <w:spacing w:before="100" w:beforeAutospacing="1" w:after="100" w:afterAutospacing="1" w:line="240" w:lineRule="auto"/>
      </w:pPr>
      <w:hyperlink r:id="rId9" w:history="1">
        <w:r>
          <w:rPr>
            <w:rStyle w:val="menutitle"/>
            <w:color w:val="0000FF"/>
            <w:u w:val="single"/>
          </w:rPr>
          <w:t>Results of harmonisation</w:t>
        </w:r>
      </w:hyperlink>
    </w:p>
    <w:p w:rsidR="00031EAA" w:rsidRDefault="00031EAA" w:rsidP="00031EAA">
      <w:pPr>
        <w:numPr>
          <w:ilvl w:val="0"/>
          <w:numId w:val="5"/>
        </w:numPr>
        <w:spacing w:before="100" w:beforeAutospacing="1" w:after="100" w:afterAutospacing="1" w:line="240" w:lineRule="auto"/>
      </w:pPr>
      <w:hyperlink r:id="rId10" w:history="1">
        <w:r>
          <w:rPr>
            <w:rStyle w:val="menutitle"/>
            <w:color w:val="0000FF"/>
            <w:u w:val="single"/>
          </w:rPr>
          <w:t>Why XBRL for SBR?</w:t>
        </w:r>
      </w:hyperlink>
    </w:p>
    <w:p w:rsidR="00031EAA" w:rsidRDefault="00031EAA" w:rsidP="00031EAA">
      <w:pPr>
        <w:numPr>
          <w:ilvl w:val="0"/>
          <w:numId w:val="5"/>
        </w:numPr>
        <w:spacing w:before="100" w:beforeAutospacing="1" w:after="100" w:afterAutospacing="1" w:line="240" w:lineRule="auto"/>
      </w:pPr>
      <w:hyperlink r:id="rId11" w:history="1">
        <w:r>
          <w:rPr>
            <w:rStyle w:val="menutitle"/>
            <w:color w:val="0000FF"/>
            <w:u w:val="single"/>
          </w:rPr>
          <w:t>Overview of SBRs use of XBRL</w:t>
        </w:r>
      </w:hyperlink>
    </w:p>
    <w:p w:rsidR="00031EAA" w:rsidRDefault="00031EAA" w:rsidP="00031EAA">
      <w:pPr>
        <w:numPr>
          <w:ilvl w:val="0"/>
          <w:numId w:val="5"/>
        </w:numPr>
        <w:spacing w:before="100" w:beforeAutospacing="1" w:after="100" w:afterAutospacing="1" w:line="240" w:lineRule="auto"/>
      </w:pPr>
      <w:hyperlink r:id="rId12" w:history="1">
        <w:r>
          <w:rPr>
            <w:rStyle w:val="menutitle"/>
            <w:color w:val="0000FF"/>
            <w:u w:val="single"/>
          </w:rPr>
          <w:t>Taxonomy structure</w:t>
        </w:r>
      </w:hyperlink>
    </w:p>
    <w:p w:rsidR="00031EAA" w:rsidRDefault="00031EAA" w:rsidP="00031EAA">
      <w:pPr>
        <w:numPr>
          <w:ilvl w:val="0"/>
          <w:numId w:val="5"/>
        </w:numPr>
        <w:spacing w:before="100" w:beforeAutospacing="1" w:after="100" w:afterAutospacing="1" w:line="240" w:lineRule="auto"/>
      </w:pPr>
      <w:hyperlink r:id="rId13" w:history="1">
        <w:r>
          <w:rPr>
            <w:rStyle w:val="menutitle"/>
            <w:color w:val="0000FF"/>
            <w:u w:val="single"/>
          </w:rPr>
          <w:t>Message Implementation Guides</w:t>
        </w:r>
      </w:hyperlink>
    </w:p>
    <w:p w:rsidR="00031EAA" w:rsidRDefault="00031EAA" w:rsidP="00031EAA">
      <w:pPr>
        <w:numPr>
          <w:ilvl w:val="0"/>
          <w:numId w:val="5"/>
        </w:numPr>
        <w:spacing w:before="100" w:beforeAutospacing="1" w:after="100" w:afterAutospacing="1" w:line="240" w:lineRule="auto"/>
      </w:pPr>
      <w:hyperlink r:id="rId14" w:history="1">
        <w:r>
          <w:rPr>
            <w:rStyle w:val="menutitle"/>
            <w:color w:val="0000FF"/>
            <w:u w:val="single"/>
          </w:rPr>
          <w:t>Taxonomy reference materials</w:t>
        </w:r>
      </w:hyperlink>
    </w:p>
    <w:p w:rsidR="00031EAA" w:rsidRDefault="00031EAA" w:rsidP="00031EAA">
      <w:pPr>
        <w:numPr>
          <w:ilvl w:val="0"/>
          <w:numId w:val="5"/>
        </w:numPr>
        <w:spacing w:before="100" w:beforeAutospacing="1" w:after="100" w:afterAutospacing="1" w:line="240" w:lineRule="auto"/>
      </w:pPr>
      <w:hyperlink r:id="rId15" w:history="1">
        <w:r>
          <w:rPr>
            <w:rStyle w:val="menutitle"/>
            <w:color w:val="0000FF"/>
            <w:u w:val="single"/>
          </w:rPr>
          <w:t>For more information</w:t>
        </w:r>
      </w:hyperlink>
    </w:p>
    <w:p w:rsidR="00031EAA" w:rsidRDefault="00031EAA" w:rsidP="00031EAA">
      <w:pPr>
        <w:pStyle w:val="Heading1"/>
      </w:pPr>
      <w:r>
        <w:t>Harmonisation and the reduction of reporting burden</w:t>
      </w:r>
    </w:p>
    <w:p w:rsidR="00031EAA" w:rsidRDefault="00031EAA" w:rsidP="00031EAA">
      <w:pPr>
        <w:pStyle w:val="NormalWeb"/>
      </w:pPr>
      <w:r>
        <w:t xml:space="preserve">The goal of SBR is to reduce the regulatory reporting burden on business. A key step in this reduction is agreeing common definitions of the information required across all the government agencies involved. This process is called </w:t>
      </w:r>
      <w:r>
        <w:rPr>
          <w:b/>
          <w:bCs/>
        </w:rPr>
        <w:t>harmonisation</w:t>
      </w:r>
      <w:r>
        <w:t>.</w:t>
      </w:r>
    </w:p>
    <w:p w:rsidR="00031EAA" w:rsidRDefault="00031EAA" w:rsidP="00031EAA">
      <w:pPr>
        <w:pStyle w:val="NormalWeb"/>
      </w:pPr>
      <w:r>
        <w:lastRenderedPageBreak/>
        <w:t>Harmonisation identifies where there are commonalities across government reports and promotes the use of the same term for the same meaning in multiple places (across both reports and agencies).</w:t>
      </w:r>
    </w:p>
    <w:p w:rsidR="00031EAA" w:rsidRDefault="00031EAA" w:rsidP="00031EAA">
      <w:pPr>
        <w:pStyle w:val="Heading1"/>
      </w:pPr>
      <w:r>
        <w:t>Three ways to harmonise data elements</w:t>
      </w:r>
    </w:p>
    <w:p w:rsidR="00031EAA" w:rsidRDefault="00031EAA" w:rsidP="00031EAA">
      <w:pPr>
        <w:pStyle w:val="NormalWeb"/>
      </w:pPr>
      <w:r>
        <w:t>There are three main ways that harmonisation can be achieved:</w:t>
      </w:r>
    </w:p>
    <w:p w:rsidR="00031EAA" w:rsidRDefault="00031EAA" w:rsidP="00031EAA">
      <w:pPr>
        <w:numPr>
          <w:ilvl w:val="0"/>
          <w:numId w:val="7"/>
        </w:numPr>
        <w:spacing w:before="100" w:beforeAutospacing="1" w:after="100" w:afterAutospacing="1" w:line="240" w:lineRule="auto"/>
      </w:pPr>
      <w:r>
        <w:t>rationalisation</w:t>
      </w:r>
    </w:p>
    <w:p w:rsidR="00031EAA" w:rsidRDefault="00031EAA" w:rsidP="00031EAA">
      <w:pPr>
        <w:numPr>
          <w:ilvl w:val="0"/>
          <w:numId w:val="7"/>
        </w:numPr>
        <w:spacing w:before="100" w:beforeAutospacing="1" w:after="100" w:afterAutospacing="1" w:line="240" w:lineRule="auto"/>
      </w:pPr>
      <w:r>
        <w:t>standardisation</w:t>
      </w:r>
    </w:p>
    <w:p w:rsidR="00031EAA" w:rsidRDefault="00031EAA" w:rsidP="00031EAA">
      <w:pPr>
        <w:numPr>
          <w:ilvl w:val="0"/>
          <w:numId w:val="7"/>
        </w:numPr>
        <w:spacing w:before="100" w:beforeAutospacing="1" w:after="100" w:afterAutospacing="1" w:line="240" w:lineRule="auto"/>
      </w:pPr>
      <w:r>
        <w:t>normalisation</w:t>
      </w:r>
    </w:p>
    <w:p w:rsidR="00031EAA" w:rsidRDefault="00031EAA" w:rsidP="00031EAA">
      <w:pPr>
        <w:pStyle w:val="NormalWeb"/>
      </w:pPr>
      <w:r>
        <w:t xml:space="preserve">For the SBR Taxonomy </w:t>
      </w:r>
      <w:r>
        <w:rPr>
          <w:b/>
          <w:bCs/>
          <w:i/>
          <w:iCs/>
        </w:rPr>
        <w:t>normalisation</w:t>
      </w:r>
      <w:r>
        <w:t xml:space="preserve"> and </w:t>
      </w:r>
      <w:r>
        <w:rPr>
          <w:b/>
          <w:bCs/>
          <w:i/>
          <w:iCs/>
        </w:rPr>
        <w:t>standardisation</w:t>
      </w:r>
      <w:r>
        <w:t xml:space="preserve"> have been an important focus of the development process.</w:t>
      </w:r>
    </w:p>
    <w:p w:rsidR="00031EAA" w:rsidRDefault="00031EAA" w:rsidP="00CA7D61">
      <w:pPr>
        <w:pStyle w:val="Heading2"/>
      </w:pPr>
      <w:r w:rsidRPr="00CA7D61">
        <w:t>Rationalisation</w:t>
      </w:r>
    </w:p>
    <w:p w:rsidR="00031EAA" w:rsidRDefault="00031EAA" w:rsidP="00031EAA">
      <w:pPr>
        <w:pStyle w:val="NormalWeb"/>
      </w:pPr>
      <w:r>
        <w:rPr>
          <w:b/>
          <w:bCs/>
        </w:rPr>
        <w:t>Rationalisation</w:t>
      </w:r>
      <w:r>
        <w:t xml:space="preserve"> is the process of identifying elements that are not required to be reported (i.e. are obsolete or redundant). Because rationalisation requires elements to be deleted, it can only be achieved through legislative changes.</w:t>
      </w:r>
    </w:p>
    <w:p w:rsidR="00031EAA" w:rsidRDefault="00031EAA" w:rsidP="00031EAA">
      <w:pPr>
        <w:pStyle w:val="NormalWeb"/>
      </w:pPr>
      <w:r>
        <w:t>As SBR does not change legislation, this option has not been used. For example, SBR will harmonise payroll tax reporting definitions across all state and territories, however this does not change the rate of payroll tax or the date of lodgement.</w:t>
      </w:r>
    </w:p>
    <w:p w:rsidR="00031EAA" w:rsidRDefault="00031EAA" w:rsidP="00031EAA">
      <w:pPr>
        <w:pStyle w:val="Heading2"/>
      </w:pPr>
      <w:r>
        <w:t>Standardisation</w:t>
      </w:r>
    </w:p>
    <w:p w:rsidR="00031EAA" w:rsidRDefault="00031EAA" w:rsidP="00031EAA">
      <w:pPr>
        <w:pStyle w:val="NormalWeb"/>
      </w:pPr>
      <w:r>
        <w:rPr>
          <w:b/>
          <w:bCs/>
        </w:rPr>
        <w:t>Standardisation</w:t>
      </w:r>
      <w:r>
        <w:t xml:space="preserve"> is the process of redefining elements in order to conform to an endorsed standard. This is a top-down approach to harmonisation where conformance is imposed or expected and may involve mapping an element to a defined standard item. The naming of the elements as prescribed by the standard can be adopted.</w:t>
      </w:r>
    </w:p>
    <w:p w:rsidR="00031EAA" w:rsidRDefault="00031EAA" w:rsidP="00031EAA">
      <w:pPr>
        <w:pStyle w:val="NormalWeb"/>
      </w:pPr>
      <w:r>
        <w:t xml:space="preserve">For example, alignment to </w:t>
      </w:r>
      <w:r>
        <w:rPr>
          <w:b/>
          <w:bCs/>
        </w:rPr>
        <w:t>AS4590</w:t>
      </w:r>
      <w:r>
        <w:t xml:space="preserve"> has resulted in increased consistency of data elements where they have been identified as equivalent. Similarly </w:t>
      </w:r>
      <w:r>
        <w:rPr>
          <w:b/>
          <w:bCs/>
        </w:rPr>
        <w:t>IFRS-GP</w:t>
      </w:r>
      <w:r>
        <w:t xml:space="preserve"> has been used where financial data elements have been identified as equivalent.  A key aim for the harmonised taxonomy is to use AS4590, IFRS-GP and SBR-core elements wherever possible in preference to local agency variants of such information.</w:t>
      </w:r>
    </w:p>
    <w:p w:rsidR="00031EAA" w:rsidRDefault="00031EAA" w:rsidP="00031EAA">
      <w:pPr>
        <w:pStyle w:val="Heading2"/>
      </w:pPr>
      <w:r>
        <w:t>Normalisation</w:t>
      </w:r>
    </w:p>
    <w:p w:rsidR="00031EAA" w:rsidRDefault="00031EAA" w:rsidP="00031EAA">
      <w:pPr>
        <w:pStyle w:val="NormalWeb"/>
      </w:pPr>
      <w:r>
        <w:rPr>
          <w:b/>
          <w:bCs/>
        </w:rPr>
        <w:t>Normalisation</w:t>
      </w:r>
      <w:r>
        <w:t xml:space="preserve"> is the process of deciding whether elements that seem similar will be treated as equivalent. This includes the definition of the element, as well as its description.</w:t>
      </w:r>
    </w:p>
    <w:p w:rsidR="00031EAA" w:rsidRDefault="00031EAA" w:rsidP="00031EAA">
      <w:pPr>
        <w:pStyle w:val="NormalWeb"/>
      </w:pPr>
      <w:r>
        <w:t xml:space="preserve">An example of normalisation in SBR is the analysis of the treatment of the label 'Australian Business Number' (ABN). This label appears on a great number of forms in scope for the SBR Taxonomy (approximately 90 times across all forms, sometimes more than once on a form). The names of the labels vary according to the form. Examples include ABN, </w:t>
      </w:r>
      <w:r>
        <w:lastRenderedPageBreak/>
        <w:t>Australian Business Number, Company ABN, Disclosing Entity ABN, etc. However, they are all clearly identifiable as an ABN. As the ABN retains its fundamental nature regardless of the context of the form on which it is placed, these elements were normalised into a single data concept in the SBR Taxonomy.</w:t>
      </w:r>
    </w:p>
    <w:p w:rsidR="00031EAA" w:rsidRDefault="00031EAA" w:rsidP="00CA7D61">
      <w:pPr>
        <w:pStyle w:val="NormalWeb"/>
      </w:pPr>
      <w:r>
        <w:t xml:space="preserve">A second example shows how normalisation occurs for terms that are not identically named, or obviously identical in nature. A label on the Queensland Office of State Revenue Payroll Tax Annual Reconciliation entitled 'Taxable amount' shared the same fundamental properties as the labels from other revenue offices: 'Amount on which tax is payable' (South Australia), 'Net Taxable Victorian Wages' (Victoria), 'Taxable amount' (New South Wales) and 'Total Taxable Amount' (Tasmania). All of these terms were normalised and represented by a single </w:t>
      </w:r>
    </w:p>
    <w:p w:rsidR="00031EAA" w:rsidRDefault="00031EAA" w:rsidP="00031EAA">
      <w:pPr>
        <w:pStyle w:val="Heading1"/>
      </w:pPr>
      <w:r>
        <w:t>Results of harmonisation</w:t>
      </w:r>
    </w:p>
    <w:p w:rsidR="00031EAA" w:rsidRDefault="00031EAA" w:rsidP="00031EAA">
      <w:pPr>
        <w:pStyle w:val="NormalWeb"/>
      </w:pPr>
      <w:r>
        <w:t>The SBR initiative to date has reduced the number of unique data elements used in the government reports in scope from 9,648 to 2,838, which represents an overall reduction of 71%.</w:t>
      </w:r>
    </w:p>
    <w:p w:rsidR="00031EAA" w:rsidRDefault="00031EAA" w:rsidP="00031EAA">
      <w:pPr>
        <w:pStyle w:val="NormalWeb"/>
      </w:pPr>
      <w:r>
        <w:rPr>
          <w:noProof/>
        </w:rPr>
        <w:drawing>
          <wp:inline distT="0" distB="0" distL="0" distR="0">
            <wp:extent cx="7040880" cy="3357245"/>
            <wp:effectExtent l="0" t="0" r="7620" b="0"/>
            <wp:docPr id="5" name="Picture 5" descr="reduction of data elements from 9648 to 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uction of data elements from 9648 to 28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0880" cy="3357245"/>
                    </a:xfrm>
                    <a:prstGeom prst="rect">
                      <a:avLst/>
                    </a:prstGeom>
                    <a:noFill/>
                    <a:ln>
                      <a:noFill/>
                    </a:ln>
                  </pic:spPr>
                </pic:pic>
              </a:graphicData>
            </a:graphic>
          </wp:inline>
        </w:drawing>
      </w:r>
    </w:p>
    <w:p w:rsidR="00031EAA" w:rsidRDefault="00031EAA" w:rsidP="00CA7D61">
      <w:pPr>
        <w:spacing w:before="100" w:beforeAutospacing="1" w:after="100" w:afterAutospacing="1" w:line="240" w:lineRule="auto"/>
      </w:pPr>
    </w:p>
    <w:p w:rsidR="00031EAA" w:rsidRDefault="00031EAA" w:rsidP="00031EAA">
      <w:pPr>
        <w:pStyle w:val="Heading1"/>
      </w:pPr>
      <w:r>
        <w:lastRenderedPageBreak/>
        <w:t>Why XBRL for SBR?</w:t>
      </w:r>
    </w:p>
    <w:p w:rsidR="00031EAA" w:rsidRDefault="00031EAA" w:rsidP="00031EAA">
      <w:r>
        <w:rPr>
          <w:noProof/>
          <w:lang w:eastAsia="en-GB"/>
        </w:rPr>
        <w:drawing>
          <wp:inline distT="0" distB="0" distL="0" distR="0">
            <wp:extent cx="3226435" cy="1423670"/>
            <wp:effectExtent l="0" t="0" r="0" b="5080"/>
            <wp:docPr id="6" name="Picture 6" descr="XBR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BRL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6435" cy="1423670"/>
                    </a:xfrm>
                    <a:prstGeom prst="rect">
                      <a:avLst/>
                    </a:prstGeom>
                    <a:noFill/>
                    <a:ln>
                      <a:noFill/>
                    </a:ln>
                  </pic:spPr>
                </pic:pic>
              </a:graphicData>
            </a:graphic>
          </wp:inline>
        </w:drawing>
      </w:r>
    </w:p>
    <w:p w:rsidR="00031EAA" w:rsidRDefault="00031EAA" w:rsidP="00031EAA">
      <w:pPr>
        <w:pStyle w:val="NormalWeb"/>
      </w:pPr>
      <w:r>
        <w:t xml:space="preserve">SBR has chosen to use </w:t>
      </w:r>
      <w:proofErr w:type="spellStart"/>
      <w:r>
        <w:t>eXtensible</w:t>
      </w:r>
      <w:proofErr w:type="spellEnd"/>
      <w:r>
        <w:t xml:space="preserve"> Business Reporting Language (XBRL) to represent the harmonised definitions of the required items of information, and the description of how those items are assembled for a particular business in a particular reporting obligation.</w:t>
      </w:r>
    </w:p>
    <w:p w:rsidR="00031EAA" w:rsidRDefault="00031EAA" w:rsidP="00031EAA">
      <w:pPr>
        <w:pStyle w:val="NormalWeb"/>
      </w:pPr>
      <w:r>
        <w:t>Using XBRL allows the business (through its software) to map a required item of information to the internal data that their business software package holds. Having established that mapping, anywhere that data item appears on a report, it can be pre-populated from the same source and reports can be submitted to government from the business' existing financial and accounting systems.</w:t>
      </w:r>
    </w:p>
    <w:p w:rsidR="00031EAA" w:rsidRPr="00031EAA" w:rsidRDefault="00031EAA" w:rsidP="00031EA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031EAA">
        <w:rPr>
          <w:rFonts w:ascii="Times New Roman" w:eastAsia="Times New Roman" w:hAnsi="Times New Roman" w:cs="Times New Roman"/>
          <w:b/>
          <w:bCs/>
          <w:sz w:val="36"/>
          <w:szCs w:val="36"/>
          <w:lang w:eastAsia="en-GB"/>
        </w:rPr>
        <w:t>Reasons for selecting XBRL</w:t>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The reports in scope for the first phase of SBR implementation cover financial and accounting information. XBRL is a standard developed by the financial and accounting community specifically for the assembly and reporting of business, financial and accounting data. A key design principle of the Program was to select (wherever possible) existing standards used by the community rather than create a new government based standard.</w:t>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XBRL supports two key use requirements for SBR - 1) the definition and building of the reporting requirements and 2) the transmission of the data fulfilling those requirements.</w:t>
      </w:r>
    </w:p>
    <w:p w:rsidR="00031EAA" w:rsidRPr="00031EAA" w:rsidRDefault="00031EAA" w:rsidP="00031E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It uses a taxonomy (classification system</w:t>
      </w:r>
      <w:proofErr w:type="gramStart"/>
      <w:r w:rsidRPr="00031EAA">
        <w:rPr>
          <w:rFonts w:ascii="Times New Roman" w:eastAsia="Times New Roman" w:hAnsi="Times New Roman" w:cs="Times New Roman"/>
          <w:sz w:val="24"/>
          <w:szCs w:val="24"/>
          <w:lang w:eastAsia="en-GB"/>
        </w:rPr>
        <w:t>)  to</w:t>
      </w:r>
      <w:proofErr w:type="gramEnd"/>
      <w:r w:rsidRPr="00031EAA">
        <w:rPr>
          <w:rFonts w:ascii="Times New Roman" w:eastAsia="Times New Roman" w:hAnsi="Times New Roman" w:cs="Times New Roman"/>
          <w:sz w:val="24"/>
          <w:szCs w:val="24"/>
          <w:lang w:eastAsia="en-GB"/>
        </w:rPr>
        <w:t xml:space="preserve"> describe and define the data elements and the way they are represented in a reporting obligation.</w:t>
      </w:r>
    </w:p>
    <w:p w:rsidR="00031EAA" w:rsidRPr="00031EAA" w:rsidRDefault="00031EAA" w:rsidP="00031E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The taxonomy is then used to facilitate the electronic exchange of that data between two parties (e.g. business and government.</w:t>
      </w:r>
    </w:p>
    <w:p w:rsidR="00031EAA" w:rsidRPr="00031EAA" w:rsidRDefault="00031EAA" w:rsidP="00031EAA">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XBRL allows data items in the business system to be tagged and mapped to the taxonomy, which enables fields in a report to be automatically populated. XBRL taxonomies allow the association of data items with their clear and unequivocal definitions, improving the ability to compare data across different usages. In other words, the data item or 'fact' represents the same concept each time it appears.</w:t>
      </w:r>
    </w:p>
    <w:p w:rsidR="00031EAA" w:rsidRPr="00031EAA" w:rsidRDefault="00031EAA" w:rsidP="00031EAA">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 xml:space="preserve">XBRL as a technology is maturing and evolving in capability. One example is validation supported by business rules, which promises to add increased value to SBR-enabled solutions. </w:t>
      </w:r>
    </w:p>
    <w:p w:rsidR="00031EAA" w:rsidRDefault="00031EAA" w:rsidP="00031EAA">
      <w:pPr>
        <w:pStyle w:val="Heading1"/>
      </w:pPr>
      <w:r>
        <w:t>Overview of SBRs Use of XBRL</w:t>
      </w:r>
    </w:p>
    <w:p w:rsidR="00031EAA" w:rsidRDefault="00031EAA" w:rsidP="00031EAA">
      <w:pPr>
        <w:pStyle w:val="NormalWeb"/>
      </w:pPr>
      <w:r>
        <w:t>XBRL is flexible and can be implemented in many ways. SBR's use of XBRL reflects certain design decisions about the use of the technology and the architecture of the taxonomy.</w:t>
      </w:r>
    </w:p>
    <w:p w:rsidR="00031EAA" w:rsidRDefault="00031EAA" w:rsidP="00031EAA">
      <w:pPr>
        <w:pStyle w:val="instruction"/>
      </w:pPr>
      <w:r>
        <w:rPr>
          <w:b/>
          <w:bCs/>
        </w:rPr>
        <w:lastRenderedPageBreak/>
        <w:t>Figure 1a</w:t>
      </w:r>
      <w:r>
        <w:t>: SBR taxonomies- definitional and reporting</w:t>
      </w:r>
    </w:p>
    <w:p w:rsidR="00031EAA" w:rsidRDefault="00031EAA" w:rsidP="00031EAA">
      <w:pPr>
        <w:pStyle w:val="NormalWeb"/>
      </w:pPr>
      <w:r>
        <w:rPr>
          <w:noProof/>
          <w:color w:val="0000FF"/>
        </w:rPr>
        <w:drawing>
          <wp:inline distT="0" distB="0" distL="0" distR="0">
            <wp:extent cx="7040880" cy="3435350"/>
            <wp:effectExtent l="0" t="0" r="7620" b="0"/>
            <wp:docPr id="7" name="Picture 7" descr="https://www.sbr.gov.au/content/LearningModules/M07/media/figure2_small.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br.gov.au/content/LearningModules/M07/media/figure2_small.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0880" cy="3435350"/>
                    </a:xfrm>
                    <a:prstGeom prst="rect">
                      <a:avLst/>
                    </a:prstGeom>
                    <a:noFill/>
                    <a:ln>
                      <a:noFill/>
                    </a:ln>
                  </pic:spPr>
                </pic:pic>
              </a:graphicData>
            </a:graphic>
          </wp:inline>
        </w:drawing>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b/>
          <w:bCs/>
          <w:sz w:val="24"/>
          <w:szCs w:val="24"/>
          <w:lang w:eastAsia="en-GB"/>
        </w:rPr>
        <w:t>Figure 1b</w:t>
      </w:r>
      <w:r w:rsidRPr="00031EAA">
        <w:rPr>
          <w:rFonts w:ascii="Times New Roman" w:eastAsia="Times New Roman" w:hAnsi="Times New Roman" w:cs="Times New Roman"/>
          <w:sz w:val="24"/>
          <w:szCs w:val="24"/>
          <w:lang w:eastAsia="en-GB"/>
        </w:rPr>
        <w:t>: SBR taxonomies- definitional and reporting</w:t>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7040880" cy="4284345"/>
            <wp:effectExtent l="0" t="0" r="7620" b="1905"/>
            <wp:docPr id="8" name="Picture 8" descr="https://www.sbr.gov.au/content/LearningModules/M07/media/figure2a_small.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br.gov.au/content/LearningModules/M07/media/figure2a_small.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40880" cy="4284345"/>
                    </a:xfrm>
                    <a:prstGeom prst="rect">
                      <a:avLst/>
                    </a:prstGeom>
                    <a:noFill/>
                    <a:ln>
                      <a:noFill/>
                    </a:ln>
                  </pic:spPr>
                </pic:pic>
              </a:graphicData>
            </a:graphic>
          </wp:inline>
        </w:drawing>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lastRenderedPageBreak/>
        <w:t>A concept is defined once in the definitional taxonomy and is reused in multiple reporting taxonomies (or reports). In the illustration "Address" is defined under Information Classification</w:t>
      </w:r>
      <w:proofErr w:type="gramStart"/>
      <w:r w:rsidRPr="00031EAA">
        <w:rPr>
          <w:rFonts w:ascii="Times New Roman" w:eastAsia="Times New Roman" w:hAnsi="Times New Roman" w:cs="Times New Roman"/>
          <w:sz w:val="24"/>
          <w:szCs w:val="24"/>
          <w:lang w:eastAsia="en-GB"/>
        </w:rPr>
        <w:t>  B</w:t>
      </w:r>
      <w:proofErr w:type="gramEnd"/>
      <w:r w:rsidRPr="00031EAA">
        <w:rPr>
          <w:rFonts w:ascii="Times New Roman" w:eastAsia="Times New Roman" w:hAnsi="Times New Roman" w:cs="Times New Roman"/>
          <w:sz w:val="24"/>
          <w:szCs w:val="24"/>
          <w:lang w:eastAsia="en-GB"/>
        </w:rPr>
        <w:t xml:space="preserve">, and "Wages and Salaries" under Information Classification A. In example below, Address is reused in report X1 and report Y1. Wages and Salaries </w:t>
      </w:r>
      <w:proofErr w:type="gramStart"/>
      <w:r w:rsidRPr="00031EAA">
        <w:rPr>
          <w:rFonts w:ascii="Times New Roman" w:eastAsia="Times New Roman" w:hAnsi="Times New Roman" w:cs="Times New Roman"/>
          <w:sz w:val="24"/>
          <w:szCs w:val="24"/>
          <w:lang w:eastAsia="en-GB"/>
        </w:rPr>
        <w:t>is</w:t>
      </w:r>
      <w:proofErr w:type="gramEnd"/>
      <w:r w:rsidRPr="00031EAA">
        <w:rPr>
          <w:rFonts w:ascii="Times New Roman" w:eastAsia="Times New Roman" w:hAnsi="Times New Roman" w:cs="Times New Roman"/>
          <w:sz w:val="24"/>
          <w:szCs w:val="24"/>
          <w:lang w:eastAsia="en-GB"/>
        </w:rPr>
        <w:t xml:space="preserve"> reused in report X2 and report Y3. </w:t>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b/>
          <w:bCs/>
          <w:sz w:val="24"/>
          <w:szCs w:val="24"/>
          <w:lang w:eastAsia="en-GB"/>
        </w:rPr>
        <w:t>Figure 1b</w:t>
      </w:r>
      <w:r w:rsidRPr="00031EAA">
        <w:rPr>
          <w:rFonts w:ascii="Times New Roman" w:eastAsia="Times New Roman" w:hAnsi="Times New Roman" w:cs="Times New Roman"/>
          <w:sz w:val="24"/>
          <w:szCs w:val="24"/>
          <w:lang w:eastAsia="en-GB"/>
        </w:rPr>
        <w:t>: SBR taxonomies- definitional and reporting</w:t>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7040880" cy="3435350"/>
            <wp:effectExtent l="0" t="0" r="7620" b="0"/>
            <wp:docPr id="9" name="Picture 9" descr="https://www.sbr.gov.au/content/LearningModules/M07/media/figure2ablank_small.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br.gov.au/content/LearningModules/M07/media/figure2ablank_small.jpg">
                      <a:hlinkClick r:id="rId20"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0880" cy="3435350"/>
                    </a:xfrm>
                    <a:prstGeom prst="rect">
                      <a:avLst/>
                    </a:prstGeom>
                    <a:noFill/>
                    <a:ln>
                      <a:noFill/>
                    </a:ln>
                  </pic:spPr>
                </pic:pic>
              </a:graphicData>
            </a:graphic>
          </wp:inline>
        </w:drawing>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A key structural decision was to have a comprehensive definitional taxonomy</w:t>
      </w:r>
      <w:proofErr w:type="gramStart"/>
      <w:r w:rsidRPr="00031EAA">
        <w:rPr>
          <w:rFonts w:ascii="Times New Roman" w:eastAsia="Times New Roman" w:hAnsi="Times New Roman" w:cs="Times New Roman"/>
          <w:sz w:val="24"/>
          <w:szCs w:val="24"/>
          <w:lang w:eastAsia="en-GB"/>
        </w:rPr>
        <w:t>  which</w:t>
      </w:r>
      <w:proofErr w:type="gramEnd"/>
      <w:r w:rsidRPr="00031EAA">
        <w:rPr>
          <w:rFonts w:ascii="Times New Roman" w:eastAsia="Times New Roman" w:hAnsi="Times New Roman" w:cs="Times New Roman"/>
          <w:sz w:val="24"/>
          <w:szCs w:val="24"/>
          <w:lang w:eastAsia="en-GB"/>
        </w:rPr>
        <w:t xml:space="preserve"> is separate from individual report-specific taxonomies. The definitional taxonomy is known as the SBR Taxonomy and the reporting taxonomies are known as SBR Reports.</w:t>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The definitional taxonomy holds the concepts and related descriptions for all of the harmonised data elements from the forms in scope.</w:t>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The reporting taxonomies draw down relevant concepts from the definitional taxonomy, and add a description of the context and relationship in which those concepts are used in the specific report. This is the mechanics of reuse - the data items are defined once in the definitional taxonomy, and then simply re-used in multiple reports.</w:t>
      </w:r>
    </w:p>
    <w:p w:rsidR="00031EAA" w:rsidRPr="00031EAA" w:rsidRDefault="00031EAA" w:rsidP="00031EAA">
      <w:pPr>
        <w:spacing w:before="100" w:beforeAutospacing="1" w:after="100" w:afterAutospacing="1" w:line="240" w:lineRule="auto"/>
        <w:rPr>
          <w:rFonts w:ascii="Times New Roman" w:eastAsia="Times New Roman" w:hAnsi="Times New Roman" w:cs="Times New Roman"/>
          <w:sz w:val="24"/>
          <w:szCs w:val="24"/>
          <w:lang w:eastAsia="en-GB"/>
        </w:rPr>
      </w:pPr>
      <w:r w:rsidRPr="00031EAA">
        <w:rPr>
          <w:rFonts w:ascii="Times New Roman" w:eastAsia="Times New Roman" w:hAnsi="Times New Roman" w:cs="Times New Roman"/>
          <w:sz w:val="24"/>
          <w:szCs w:val="24"/>
          <w:lang w:eastAsia="en-GB"/>
        </w:rPr>
        <w:t>A concept is defined once in the definitional taxonomy and is reused in multiple reporting taxonomies (or reports). For example, "Address" in the model above is defined under Information Classification</w:t>
      </w:r>
      <w:proofErr w:type="gramStart"/>
      <w:r w:rsidRPr="00031EAA">
        <w:rPr>
          <w:rFonts w:ascii="Times New Roman" w:eastAsia="Times New Roman" w:hAnsi="Times New Roman" w:cs="Times New Roman"/>
          <w:sz w:val="24"/>
          <w:szCs w:val="24"/>
          <w:lang w:eastAsia="en-GB"/>
        </w:rPr>
        <w:t>  A</w:t>
      </w:r>
      <w:proofErr w:type="gramEnd"/>
      <w:r w:rsidRPr="00031EAA">
        <w:rPr>
          <w:rFonts w:ascii="Times New Roman" w:eastAsia="Times New Roman" w:hAnsi="Times New Roman" w:cs="Times New Roman"/>
          <w:sz w:val="24"/>
          <w:szCs w:val="24"/>
          <w:lang w:eastAsia="en-GB"/>
        </w:rPr>
        <w:t xml:space="preserve">, and "Wages and Salaries" under Information Classification B. In this example Address is reused in report X2 and report Y1. Wages and Salaries </w:t>
      </w:r>
      <w:proofErr w:type="gramStart"/>
      <w:r w:rsidRPr="00031EAA">
        <w:rPr>
          <w:rFonts w:ascii="Times New Roman" w:eastAsia="Times New Roman" w:hAnsi="Times New Roman" w:cs="Times New Roman"/>
          <w:sz w:val="24"/>
          <w:szCs w:val="24"/>
          <w:lang w:eastAsia="en-GB"/>
        </w:rPr>
        <w:t>is</w:t>
      </w:r>
      <w:proofErr w:type="gramEnd"/>
      <w:r w:rsidRPr="00031EAA">
        <w:rPr>
          <w:rFonts w:ascii="Times New Roman" w:eastAsia="Times New Roman" w:hAnsi="Times New Roman" w:cs="Times New Roman"/>
          <w:sz w:val="24"/>
          <w:szCs w:val="24"/>
          <w:lang w:eastAsia="en-GB"/>
        </w:rPr>
        <w:t xml:space="preserve"> reused in report X1 and report Y2. This distinction between where the element is defined (definitional taxonomy) and where it is reused multiple times (reporting taxonomies) is important when working with the SBR taxonomies.</w:t>
      </w:r>
    </w:p>
    <w:p w:rsidR="00031EAA" w:rsidRDefault="00031EAA" w:rsidP="00031EAA">
      <w:r>
        <w:rPr>
          <w:noProof/>
          <w:lang w:eastAsia="en-GB"/>
        </w:rPr>
        <w:lastRenderedPageBreak/>
        <w:drawing>
          <wp:inline distT="0" distB="0" distL="0" distR="0" wp14:anchorId="3BD83085" wp14:editId="3835D21B">
            <wp:extent cx="5731510" cy="3104568"/>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104568"/>
                    </a:xfrm>
                    <a:prstGeom prst="rect">
                      <a:avLst/>
                    </a:prstGeom>
                  </pic:spPr>
                </pic:pic>
              </a:graphicData>
            </a:graphic>
          </wp:inline>
        </w:drawing>
      </w:r>
    </w:p>
    <w:p w:rsidR="00CA7D61" w:rsidRDefault="00CA7D61" w:rsidP="00CA7D61">
      <w:pPr>
        <w:pStyle w:val="Heading1"/>
      </w:pPr>
      <w:r>
        <w:t>SBR Information Classification System (ICLS)</w:t>
      </w:r>
    </w:p>
    <w:p w:rsidR="00CA7D61" w:rsidRDefault="00CA7D61" w:rsidP="00CA7D61">
      <w:pPr>
        <w:pStyle w:val="NormalWeb"/>
      </w:pPr>
      <w:r>
        <w:t>Separating the definitional taxonomy from reporting taxonomies allows information to be structured differently in the definitional taxonomy from in the reporting taxonomies. The definitional taxonomy uses an information classification system based on the function of the data irrespective of the specific reporting context. The reporting taxonomies subsequently organise information according to the specific business collaborations (or reporting obligations) with agencies.</w:t>
      </w:r>
    </w:p>
    <w:p w:rsidR="00CA7D61" w:rsidRDefault="00CA7D61" w:rsidP="00CA7D61">
      <w:pPr>
        <w:pStyle w:val="instruction"/>
      </w:pPr>
      <w:r>
        <w:rPr>
          <w:b/>
          <w:bCs/>
        </w:rPr>
        <w:t>Figure 3</w:t>
      </w:r>
      <w:r>
        <w:t>: Sample snapshot of ICLS in definitional taxonomy</w:t>
      </w:r>
    </w:p>
    <w:p w:rsidR="00CA7D61" w:rsidRDefault="00CA7D61" w:rsidP="00CA7D61">
      <w:pPr>
        <w:pStyle w:val="NormalWeb"/>
      </w:pPr>
      <w:r>
        <w:rPr>
          <w:noProof/>
        </w:rPr>
        <w:drawing>
          <wp:inline distT="0" distB="0" distL="0" distR="0">
            <wp:extent cx="6675120" cy="2860675"/>
            <wp:effectExtent l="0" t="0" r="0" b="0"/>
            <wp:docPr id="10" name="Picture 10" descr="Figure 3 - Sample snapshot of ICLS in definitional tax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3 - Sample snapshot of ICLS in definitional taxonom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75120" cy="2860675"/>
                    </a:xfrm>
                    <a:prstGeom prst="rect">
                      <a:avLst/>
                    </a:prstGeom>
                    <a:noFill/>
                    <a:ln>
                      <a:noFill/>
                    </a:ln>
                  </pic:spPr>
                </pic:pic>
              </a:graphicData>
            </a:graphic>
          </wp:inline>
        </w:drawing>
      </w:r>
    </w:p>
    <w:p w:rsidR="00CA7D61" w:rsidRPr="00CA7D61" w:rsidRDefault="00CA7D61" w:rsidP="00CA7D61">
      <w:p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The SBR ICLS in the definitional taxonomy has eight key subject areas:</w:t>
      </w:r>
    </w:p>
    <w:p w:rsidR="00CA7D61" w:rsidRPr="00CA7D61" w:rsidRDefault="00CA7D61" w:rsidP="00CA7D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lastRenderedPageBreak/>
        <w:t xml:space="preserve">business accounting and financials </w:t>
      </w:r>
    </w:p>
    <w:p w:rsidR="00CA7D61" w:rsidRPr="00CA7D61" w:rsidRDefault="00CA7D61" w:rsidP="00CA7D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 xml:space="preserve">credit and insurance </w:t>
      </w:r>
    </w:p>
    <w:p w:rsidR="00CA7D61" w:rsidRPr="00CA7D61" w:rsidRDefault="00CA7D61" w:rsidP="00CA7D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 xml:space="preserve">education and training </w:t>
      </w:r>
    </w:p>
    <w:p w:rsidR="00CA7D61" w:rsidRPr="00CA7D61" w:rsidRDefault="00CA7D61" w:rsidP="00CA7D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 xml:space="preserve">economic management </w:t>
      </w:r>
    </w:p>
    <w:p w:rsidR="00CA7D61" w:rsidRPr="00CA7D61" w:rsidRDefault="00CA7D61" w:rsidP="00CA7D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 xml:space="preserve">government financial assistance </w:t>
      </w:r>
    </w:p>
    <w:p w:rsidR="00CA7D61" w:rsidRPr="00CA7D61" w:rsidRDefault="00CA7D61" w:rsidP="00CA7D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 xml:space="preserve">labour relations </w:t>
      </w:r>
    </w:p>
    <w:p w:rsidR="00CA7D61" w:rsidRPr="00CA7D61" w:rsidRDefault="00CA7D61" w:rsidP="00CA7D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 xml:space="preserve">party </w:t>
      </w:r>
    </w:p>
    <w:p w:rsidR="00CA7D61" w:rsidRPr="00CA7D61" w:rsidRDefault="00CA7D61" w:rsidP="00CA7D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 xml:space="preserve">revenue collection </w:t>
      </w:r>
    </w:p>
    <w:p w:rsidR="00CA7D61" w:rsidRPr="00CA7D61" w:rsidRDefault="00CA7D61" w:rsidP="00CA7D61">
      <w:p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For descriptions of these subject areas, please see the Taxonomy Architecture Document.</w:t>
      </w:r>
    </w:p>
    <w:p w:rsidR="00CA7D61" w:rsidRDefault="00CA7D61" w:rsidP="00CA7D61">
      <w:pPr>
        <w:pStyle w:val="Heading1"/>
      </w:pPr>
      <w:r>
        <w:t>Taxonomy structure</w:t>
      </w:r>
    </w:p>
    <w:p w:rsidR="00CA7D61" w:rsidRDefault="00CA7D61" w:rsidP="00CA7D61">
      <w:pPr>
        <w:pStyle w:val="NormalWeb"/>
      </w:pPr>
      <w:r>
        <w:t xml:space="preserve">The SBR taxonomy is broken up into 6 core components as shown in the following diagram. </w:t>
      </w:r>
      <w:r>
        <w:rPr>
          <w:b/>
          <w:bCs/>
        </w:rPr>
        <w:t>Roll over each Taxonomy component in the image below to learn more.</w:t>
      </w:r>
    </w:p>
    <w:p w:rsidR="00CA7D61" w:rsidRDefault="00CA7D61" w:rsidP="00CA7D61">
      <w:pPr>
        <w:pStyle w:val="instruction"/>
      </w:pPr>
      <w:r>
        <w:rPr>
          <w:b/>
          <w:bCs/>
        </w:rPr>
        <w:t>Figure 4</w:t>
      </w:r>
      <w:r>
        <w:t>: SBR Taxonomy Modularity</w:t>
      </w:r>
    </w:p>
    <w:p w:rsidR="00CA7D61" w:rsidRDefault="00CA7D61" w:rsidP="00CA7D61">
      <w:pPr>
        <w:pStyle w:val="instruction"/>
      </w:pPr>
      <w:r>
        <w:t>NOT SHOWN</w:t>
      </w:r>
    </w:p>
    <w:p w:rsidR="00CA7D61" w:rsidRDefault="00CA7D61" w:rsidP="00CA7D61">
      <w:pPr>
        <w:pStyle w:val="instruction"/>
      </w:pPr>
    </w:p>
    <w:p w:rsidR="00CA7D61" w:rsidRPr="00CA7D61" w:rsidRDefault="00CA7D61" w:rsidP="00CA7D61">
      <w:p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sz w:val="24"/>
          <w:szCs w:val="24"/>
          <w:lang w:eastAsia="en-GB"/>
        </w:rPr>
        <w:t>The SBR Reports contain a folder for each Government Agency report implemented via the SBR program. Each of these agency report folders contain subfolders that describe the business collaborations (reports) and corresponding messages implemented through the SBR channel.</w:t>
      </w:r>
    </w:p>
    <w:p w:rsidR="00CA7D61" w:rsidRPr="00CA7D61" w:rsidRDefault="00CA7D61" w:rsidP="00CA7D61">
      <w:pPr>
        <w:spacing w:before="100" w:beforeAutospacing="1" w:after="100" w:afterAutospacing="1" w:line="240" w:lineRule="auto"/>
        <w:rPr>
          <w:rFonts w:ascii="Times New Roman" w:eastAsia="Times New Roman" w:hAnsi="Times New Roman" w:cs="Times New Roman"/>
          <w:sz w:val="24"/>
          <w:szCs w:val="24"/>
          <w:lang w:eastAsia="en-GB"/>
        </w:rPr>
      </w:pPr>
      <w:r w:rsidRPr="00CA7D61">
        <w:rPr>
          <w:rFonts w:ascii="Times New Roman" w:eastAsia="Times New Roman" w:hAnsi="Times New Roman" w:cs="Times New Roman"/>
          <w:b/>
          <w:bCs/>
          <w:sz w:val="24"/>
          <w:szCs w:val="24"/>
          <w:lang w:eastAsia="en-GB"/>
        </w:rPr>
        <w:t>Figure 5</w:t>
      </w:r>
      <w:r w:rsidRPr="00CA7D61">
        <w:rPr>
          <w:rFonts w:ascii="Times New Roman" w:eastAsia="Times New Roman" w:hAnsi="Times New Roman" w:cs="Times New Roman"/>
          <w:sz w:val="24"/>
          <w:szCs w:val="24"/>
          <w:lang w:eastAsia="en-GB"/>
        </w:rPr>
        <w:t>: SBR Reports folder structure</w:t>
      </w:r>
    </w:p>
    <w:p w:rsidR="00CA7D61" w:rsidRPr="00CA7D61" w:rsidRDefault="00CA7D61" w:rsidP="00CA7D6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675120" cy="2377440"/>
            <wp:effectExtent l="0" t="0" r="0" b="3810"/>
            <wp:docPr id="11" name="Picture 11"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5120" cy="2377440"/>
                    </a:xfrm>
                    <a:prstGeom prst="rect">
                      <a:avLst/>
                    </a:prstGeom>
                    <a:noFill/>
                    <a:ln>
                      <a:noFill/>
                    </a:ln>
                  </pic:spPr>
                </pic:pic>
              </a:graphicData>
            </a:graphic>
          </wp:inline>
        </w:drawing>
      </w:r>
    </w:p>
    <w:p w:rsidR="00CA7D61" w:rsidRDefault="00CA7D61" w:rsidP="00CA7D61">
      <w:pPr>
        <w:pStyle w:val="Heading1"/>
      </w:pPr>
      <w:r>
        <w:lastRenderedPageBreak/>
        <w:t>Message Implementation Guides</w:t>
      </w:r>
    </w:p>
    <w:p w:rsidR="00CA7D61" w:rsidRDefault="00CA7D61" w:rsidP="00CA7D61">
      <w:r>
        <w:rPr>
          <w:noProof/>
          <w:lang w:eastAsia="en-GB"/>
        </w:rPr>
        <w:drawing>
          <wp:inline distT="0" distB="0" distL="0" distR="0">
            <wp:extent cx="3331210" cy="3331210"/>
            <wp:effectExtent l="0" t="0" r="2540" b="2540"/>
            <wp:docPr id="12" name="Picture 12" descr="MI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G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1210" cy="3331210"/>
                    </a:xfrm>
                    <a:prstGeom prst="rect">
                      <a:avLst/>
                    </a:prstGeom>
                    <a:noFill/>
                    <a:ln>
                      <a:noFill/>
                    </a:ln>
                  </pic:spPr>
                </pic:pic>
              </a:graphicData>
            </a:graphic>
          </wp:inline>
        </w:drawing>
      </w:r>
    </w:p>
    <w:p w:rsidR="00CA7D61" w:rsidRDefault="00CA7D61" w:rsidP="00CA7D61">
      <w:pPr>
        <w:pStyle w:val="NormalWeb"/>
      </w:pPr>
      <w:r>
        <w:t xml:space="preserve">A "Message Implementation Guide" (MIG) document supports each SBR report and is the entry point for a software developer who wants to implement </w:t>
      </w:r>
      <w:proofErr w:type="gramStart"/>
      <w:r>
        <w:t>a particular</w:t>
      </w:r>
      <w:proofErr w:type="gramEnd"/>
      <w:r>
        <w:t xml:space="preserve"> business collaboration. </w:t>
      </w:r>
    </w:p>
    <w:p w:rsidR="00CA7D61" w:rsidRDefault="00CA7D61" w:rsidP="00CA7D61">
      <w:pPr>
        <w:pStyle w:val="NormalWeb"/>
      </w:pPr>
      <w:r>
        <w:t xml:space="preserve">The MIG describes in detail how to use the XBRL taxonomy to create and exchange valid web service messages. It provides business context about the nature of the collaboration and information about the sequence of messages that must flow between the business and government in order to implement it. More specifically, the MIG </w:t>
      </w:r>
      <w:proofErr w:type="gramStart"/>
      <w:r>
        <w:t>for each business collaboration</w:t>
      </w:r>
      <w:proofErr w:type="gramEnd"/>
      <w:r>
        <w:t xml:space="preserve"> contains:</w:t>
      </w:r>
    </w:p>
    <w:p w:rsidR="00CA7D61" w:rsidRDefault="00CA7D61" w:rsidP="00CA7D61">
      <w:pPr>
        <w:numPr>
          <w:ilvl w:val="0"/>
          <w:numId w:val="15"/>
        </w:numPr>
        <w:spacing w:before="100" w:beforeAutospacing="1" w:after="100" w:afterAutospacing="1" w:line="240" w:lineRule="auto"/>
      </w:pPr>
      <w:r>
        <w:t>message sequence (e.g. list, prefill, lodge)</w:t>
      </w:r>
    </w:p>
    <w:p w:rsidR="00CA7D61" w:rsidRDefault="00CA7D61" w:rsidP="00CA7D61">
      <w:pPr>
        <w:numPr>
          <w:ilvl w:val="0"/>
          <w:numId w:val="15"/>
        </w:numPr>
        <w:spacing w:before="100" w:beforeAutospacing="1" w:after="100" w:afterAutospacing="1" w:line="240" w:lineRule="auto"/>
      </w:pPr>
      <w:r>
        <w:t>validation rules (</w:t>
      </w:r>
      <w:proofErr w:type="spellStart"/>
      <w:r>
        <w:t>schematron</w:t>
      </w:r>
      <w:proofErr w:type="spellEnd"/>
      <w:r>
        <w:t>)</w:t>
      </w:r>
    </w:p>
    <w:p w:rsidR="00CA7D61" w:rsidRDefault="00CA7D61" w:rsidP="00CA7D61">
      <w:pPr>
        <w:numPr>
          <w:ilvl w:val="0"/>
          <w:numId w:val="15"/>
        </w:numPr>
        <w:spacing w:before="100" w:beforeAutospacing="1" w:after="100" w:afterAutospacing="1" w:line="240" w:lineRule="auto"/>
      </w:pPr>
      <w:r>
        <w:t>SOAP message &amp; header constructs</w:t>
      </w:r>
    </w:p>
    <w:p w:rsidR="00CA7D61" w:rsidRDefault="00CA7D61" w:rsidP="00CA7D61">
      <w:pPr>
        <w:numPr>
          <w:ilvl w:val="0"/>
          <w:numId w:val="15"/>
        </w:numPr>
        <w:spacing w:before="100" w:beforeAutospacing="1" w:after="100" w:afterAutospacing="1" w:line="240" w:lineRule="auto"/>
      </w:pPr>
      <w:r>
        <w:t>XBRL context guidelines</w:t>
      </w:r>
    </w:p>
    <w:p w:rsidR="00CA7D61" w:rsidRDefault="00CA7D61" w:rsidP="00CA7D61">
      <w:pPr>
        <w:pStyle w:val="Heading1"/>
      </w:pPr>
      <w:r>
        <w:t>Taxonomy reference materials</w:t>
      </w:r>
    </w:p>
    <w:p w:rsidR="00CA7D61" w:rsidRDefault="00CA7D61" w:rsidP="00CA7D61">
      <w:pPr>
        <w:pStyle w:val="NormalWeb"/>
      </w:pPr>
      <w:r>
        <w:t xml:space="preserve">Additional information on XBRL and the SBR Taxonomy can be found via the following internet references: </w:t>
      </w:r>
    </w:p>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2123"/>
        <w:gridCol w:w="9127"/>
      </w:tblGrid>
      <w:tr w:rsidR="00CA7D61" w:rsidTr="00CA7D61">
        <w:trPr>
          <w:tblCellSpacing w:w="15" w:type="dxa"/>
        </w:trPr>
        <w:tc>
          <w:tcPr>
            <w:tcW w:w="2078" w:type="dxa"/>
            <w:vAlign w:val="center"/>
            <w:hideMark/>
          </w:tcPr>
          <w:p w:rsidR="00CA7D61" w:rsidRDefault="00CA7D61">
            <w:pPr>
              <w:jc w:val="center"/>
              <w:rPr>
                <w:b/>
                <w:bCs/>
                <w:sz w:val="24"/>
                <w:szCs w:val="24"/>
              </w:rPr>
            </w:pPr>
            <w:r>
              <w:rPr>
                <w:b/>
                <w:bCs/>
              </w:rPr>
              <w:t>XBRL Technology</w:t>
            </w:r>
          </w:p>
        </w:tc>
        <w:tc>
          <w:tcPr>
            <w:tcW w:w="9082" w:type="dxa"/>
            <w:vAlign w:val="center"/>
            <w:hideMark/>
          </w:tcPr>
          <w:p w:rsidR="00CA7D61" w:rsidRDefault="00CA7D61">
            <w:pPr>
              <w:jc w:val="center"/>
              <w:rPr>
                <w:b/>
                <w:bCs/>
                <w:sz w:val="24"/>
                <w:szCs w:val="24"/>
              </w:rPr>
            </w:pPr>
            <w:r>
              <w:rPr>
                <w:b/>
                <w:bCs/>
              </w:rPr>
              <w:t>Link</w:t>
            </w:r>
          </w:p>
        </w:tc>
      </w:tr>
      <w:tr w:rsidR="00CA7D61" w:rsidTr="00CA7D61">
        <w:trPr>
          <w:tblCellSpacing w:w="15" w:type="dxa"/>
        </w:trPr>
        <w:tc>
          <w:tcPr>
            <w:tcW w:w="2078" w:type="dxa"/>
            <w:vAlign w:val="center"/>
            <w:hideMark/>
          </w:tcPr>
          <w:p w:rsidR="00CA7D61" w:rsidRDefault="00CA7D61">
            <w:pPr>
              <w:rPr>
                <w:sz w:val="24"/>
                <w:szCs w:val="24"/>
              </w:rPr>
            </w:pPr>
            <w:r>
              <w:t>XBRL Specification (2.1)</w:t>
            </w:r>
          </w:p>
        </w:tc>
        <w:tc>
          <w:tcPr>
            <w:tcW w:w="9082" w:type="dxa"/>
            <w:vAlign w:val="center"/>
            <w:hideMark/>
          </w:tcPr>
          <w:p w:rsidR="00CA7D61" w:rsidRDefault="00CA7D61">
            <w:pPr>
              <w:rPr>
                <w:sz w:val="24"/>
                <w:szCs w:val="24"/>
              </w:rPr>
            </w:pPr>
            <w:hyperlink r:id="rId27" w:tgtFrame="_blank" w:history="1">
              <w:r>
                <w:rPr>
                  <w:rStyle w:val="Hyperlink"/>
                </w:rPr>
                <w:t>www.xbrl.org/Specification/XBRL-...2008-07-02.rtf</w:t>
              </w:r>
            </w:hyperlink>
          </w:p>
        </w:tc>
      </w:tr>
      <w:tr w:rsidR="00CA7D61" w:rsidTr="00CA7D61">
        <w:trPr>
          <w:tblCellSpacing w:w="15" w:type="dxa"/>
        </w:trPr>
        <w:tc>
          <w:tcPr>
            <w:tcW w:w="2078" w:type="dxa"/>
            <w:vAlign w:val="center"/>
            <w:hideMark/>
          </w:tcPr>
          <w:p w:rsidR="00CA7D61" w:rsidRDefault="00CA7D61">
            <w:pPr>
              <w:rPr>
                <w:sz w:val="24"/>
                <w:szCs w:val="24"/>
              </w:rPr>
            </w:pPr>
            <w:r>
              <w:t xml:space="preserve">SBR Taxonomy Architecture </w:t>
            </w:r>
            <w:r>
              <w:lastRenderedPageBreak/>
              <w:t>Document</w:t>
            </w:r>
          </w:p>
        </w:tc>
        <w:tc>
          <w:tcPr>
            <w:tcW w:w="9082" w:type="dxa"/>
            <w:vAlign w:val="center"/>
            <w:hideMark/>
          </w:tcPr>
          <w:p w:rsidR="00CA7D61" w:rsidRDefault="00CA7D61">
            <w:pPr>
              <w:rPr>
                <w:sz w:val="24"/>
                <w:szCs w:val="24"/>
              </w:rPr>
            </w:pPr>
            <w:hyperlink r:id="rId28" w:tgtFrame="_blank" w:history="1">
              <w:r>
                <w:rPr>
                  <w:rStyle w:val="Hyperlink"/>
                </w:rPr>
                <w:t>www.sbr.gov.au</w:t>
              </w:r>
            </w:hyperlink>
          </w:p>
        </w:tc>
      </w:tr>
      <w:tr w:rsidR="00CA7D61" w:rsidTr="00CA7D61">
        <w:trPr>
          <w:tblCellSpacing w:w="15" w:type="dxa"/>
        </w:trPr>
        <w:tc>
          <w:tcPr>
            <w:tcW w:w="2078" w:type="dxa"/>
            <w:vAlign w:val="center"/>
            <w:hideMark/>
          </w:tcPr>
          <w:p w:rsidR="00CA7D61" w:rsidRDefault="00CA7D61">
            <w:pPr>
              <w:rPr>
                <w:sz w:val="24"/>
                <w:szCs w:val="24"/>
              </w:rPr>
            </w:pPr>
            <w:r>
              <w:lastRenderedPageBreak/>
              <w:t>SBR Collaboration Environment</w:t>
            </w:r>
          </w:p>
        </w:tc>
        <w:tc>
          <w:tcPr>
            <w:tcW w:w="9082" w:type="dxa"/>
            <w:vAlign w:val="center"/>
            <w:hideMark/>
          </w:tcPr>
          <w:p w:rsidR="00CA7D61" w:rsidRDefault="00CA7D61">
            <w:pPr>
              <w:rPr>
                <w:sz w:val="24"/>
                <w:szCs w:val="24"/>
              </w:rPr>
            </w:pPr>
            <w:hyperlink r:id="rId29" w:tgtFrame="_blank" w:history="1">
              <w:r>
                <w:rPr>
                  <w:rStyle w:val="Hyperlink"/>
                </w:rPr>
                <w:t>http://www.sbr.gov.au/en/Developers/SBR_Taxonomy.aspx</w:t>
              </w:r>
            </w:hyperlink>
          </w:p>
        </w:tc>
      </w:tr>
    </w:tbl>
    <w:p w:rsidR="00CA7D61" w:rsidRDefault="00CA7D61" w:rsidP="00CA7D61">
      <w:pPr>
        <w:pStyle w:val="instruction"/>
      </w:pPr>
      <w:hyperlink r:id="rId30" w:history="1">
        <w:r w:rsidRPr="00FA0813">
          <w:rPr>
            <w:rStyle w:val="Hyperlink"/>
          </w:rPr>
          <w:t>https://www.sbr.gov.au/content/LearningModules/M07/index.htm</w:t>
        </w:r>
      </w:hyperlink>
    </w:p>
    <w:p w:rsidR="00CA7D61" w:rsidRDefault="00CA7D61" w:rsidP="00CA7D61">
      <w:pPr>
        <w:pStyle w:val="instruction"/>
      </w:pPr>
      <w:bookmarkStart w:id="0" w:name="_GoBack"/>
      <w:bookmarkEnd w:id="0"/>
    </w:p>
    <w:p w:rsidR="00CA7D61" w:rsidRPr="00031EAA" w:rsidRDefault="00CA7D61" w:rsidP="00031EAA"/>
    <w:sectPr w:rsidR="00CA7D61" w:rsidRPr="00031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700"/>
    <w:multiLevelType w:val="multilevel"/>
    <w:tmpl w:val="5CA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8438E"/>
    <w:multiLevelType w:val="multilevel"/>
    <w:tmpl w:val="D70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5538F"/>
    <w:multiLevelType w:val="multilevel"/>
    <w:tmpl w:val="C24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C5AAD"/>
    <w:multiLevelType w:val="multilevel"/>
    <w:tmpl w:val="D87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A30A1"/>
    <w:multiLevelType w:val="multilevel"/>
    <w:tmpl w:val="AFB0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508D1"/>
    <w:multiLevelType w:val="multilevel"/>
    <w:tmpl w:val="BD9E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94774"/>
    <w:multiLevelType w:val="multilevel"/>
    <w:tmpl w:val="0070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23CA0"/>
    <w:multiLevelType w:val="multilevel"/>
    <w:tmpl w:val="2F4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E66E2F"/>
    <w:multiLevelType w:val="multilevel"/>
    <w:tmpl w:val="B0D0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FA18A6"/>
    <w:multiLevelType w:val="multilevel"/>
    <w:tmpl w:val="A0F4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9B205C"/>
    <w:multiLevelType w:val="multilevel"/>
    <w:tmpl w:val="38A8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FD3246"/>
    <w:multiLevelType w:val="multilevel"/>
    <w:tmpl w:val="EE4C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E23B49"/>
    <w:multiLevelType w:val="multilevel"/>
    <w:tmpl w:val="3CD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F028CB"/>
    <w:multiLevelType w:val="multilevel"/>
    <w:tmpl w:val="3A76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645552"/>
    <w:multiLevelType w:val="multilevel"/>
    <w:tmpl w:val="FFC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8D346C"/>
    <w:multiLevelType w:val="multilevel"/>
    <w:tmpl w:val="BF90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4"/>
  </w:num>
  <w:num w:numId="4">
    <w:abstractNumId w:val="5"/>
  </w:num>
  <w:num w:numId="5">
    <w:abstractNumId w:val="13"/>
  </w:num>
  <w:num w:numId="6">
    <w:abstractNumId w:val="2"/>
  </w:num>
  <w:num w:numId="7">
    <w:abstractNumId w:val="8"/>
  </w:num>
  <w:num w:numId="8">
    <w:abstractNumId w:val="9"/>
  </w:num>
  <w:num w:numId="9">
    <w:abstractNumId w:val="14"/>
  </w:num>
  <w:num w:numId="10">
    <w:abstractNumId w:val="6"/>
  </w:num>
  <w:num w:numId="11">
    <w:abstractNumId w:val="11"/>
  </w:num>
  <w:num w:numId="12">
    <w:abstractNumId w:val="7"/>
  </w:num>
  <w:num w:numId="13">
    <w:abstractNumId w:val="3"/>
  </w:num>
  <w:num w:numId="14">
    <w:abstractNumId w:val="10"/>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EAA"/>
    <w:rsid w:val="00031EAA"/>
    <w:rsid w:val="004E2602"/>
    <w:rsid w:val="00CA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1E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031E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EA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031E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struction">
    <w:name w:val="instruction"/>
    <w:basedOn w:val="Normal"/>
    <w:rsid w:val="00031E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31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EAA"/>
    <w:rPr>
      <w:rFonts w:ascii="Tahoma" w:hAnsi="Tahoma" w:cs="Tahoma"/>
      <w:sz w:val="16"/>
      <w:szCs w:val="16"/>
    </w:rPr>
  </w:style>
  <w:style w:type="character" w:customStyle="1" w:styleId="Heading1Char">
    <w:name w:val="Heading 1 Char"/>
    <w:basedOn w:val="DefaultParagraphFont"/>
    <w:link w:val="Heading1"/>
    <w:uiPriority w:val="9"/>
    <w:rsid w:val="00031EA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1E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31EAA"/>
    <w:rPr>
      <w:color w:val="0000FF"/>
      <w:u w:val="single"/>
    </w:rPr>
  </w:style>
  <w:style w:type="character" w:customStyle="1" w:styleId="menutitle">
    <w:name w:val="menutitle"/>
    <w:basedOn w:val="DefaultParagraphFont"/>
    <w:rsid w:val="00031EAA"/>
  </w:style>
  <w:style w:type="paragraph" w:styleId="ListParagraph">
    <w:name w:val="List Paragraph"/>
    <w:basedOn w:val="Normal"/>
    <w:uiPriority w:val="34"/>
    <w:qFormat/>
    <w:rsid w:val="00031EAA"/>
    <w:pPr>
      <w:ind w:left="720"/>
      <w:contextualSpacing/>
    </w:pPr>
  </w:style>
  <w:style w:type="paragraph" w:styleId="Title">
    <w:name w:val="Title"/>
    <w:basedOn w:val="Normal"/>
    <w:next w:val="Normal"/>
    <w:link w:val="TitleChar"/>
    <w:uiPriority w:val="10"/>
    <w:qFormat/>
    <w:rsid w:val="00CA7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7D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1E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031E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EA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031E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struction">
    <w:name w:val="instruction"/>
    <w:basedOn w:val="Normal"/>
    <w:rsid w:val="00031E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31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EAA"/>
    <w:rPr>
      <w:rFonts w:ascii="Tahoma" w:hAnsi="Tahoma" w:cs="Tahoma"/>
      <w:sz w:val="16"/>
      <w:szCs w:val="16"/>
    </w:rPr>
  </w:style>
  <w:style w:type="character" w:customStyle="1" w:styleId="Heading1Char">
    <w:name w:val="Heading 1 Char"/>
    <w:basedOn w:val="DefaultParagraphFont"/>
    <w:link w:val="Heading1"/>
    <w:uiPriority w:val="9"/>
    <w:rsid w:val="00031EA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1E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31EAA"/>
    <w:rPr>
      <w:color w:val="0000FF"/>
      <w:u w:val="single"/>
    </w:rPr>
  </w:style>
  <w:style w:type="character" w:customStyle="1" w:styleId="menutitle">
    <w:name w:val="menutitle"/>
    <w:basedOn w:val="DefaultParagraphFont"/>
    <w:rsid w:val="00031EAA"/>
  </w:style>
  <w:style w:type="paragraph" w:styleId="ListParagraph">
    <w:name w:val="List Paragraph"/>
    <w:basedOn w:val="Normal"/>
    <w:uiPriority w:val="34"/>
    <w:qFormat/>
    <w:rsid w:val="00031EAA"/>
    <w:pPr>
      <w:ind w:left="720"/>
      <w:contextualSpacing/>
    </w:pPr>
  </w:style>
  <w:style w:type="paragraph" w:styleId="Title">
    <w:name w:val="Title"/>
    <w:basedOn w:val="Normal"/>
    <w:next w:val="Normal"/>
    <w:link w:val="TitleChar"/>
    <w:uiPriority w:val="10"/>
    <w:qFormat/>
    <w:rsid w:val="00CA7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7D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1202">
      <w:bodyDiv w:val="1"/>
      <w:marLeft w:val="0"/>
      <w:marRight w:val="0"/>
      <w:marTop w:val="0"/>
      <w:marBottom w:val="0"/>
      <w:divBdr>
        <w:top w:val="none" w:sz="0" w:space="0" w:color="auto"/>
        <w:left w:val="none" w:sz="0" w:space="0" w:color="auto"/>
        <w:bottom w:val="none" w:sz="0" w:space="0" w:color="auto"/>
        <w:right w:val="none" w:sz="0" w:space="0" w:color="auto"/>
      </w:divBdr>
      <w:divsChild>
        <w:div w:id="367727057">
          <w:marLeft w:val="0"/>
          <w:marRight w:val="0"/>
          <w:marTop w:val="0"/>
          <w:marBottom w:val="0"/>
          <w:divBdr>
            <w:top w:val="none" w:sz="0" w:space="0" w:color="auto"/>
            <w:left w:val="none" w:sz="0" w:space="0" w:color="auto"/>
            <w:bottom w:val="none" w:sz="0" w:space="0" w:color="auto"/>
            <w:right w:val="none" w:sz="0" w:space="0" w:color="auto"/>
          </w:divBdr>
          <w:divsChild>
            <w:div w:id="171798987">
              <w:marLeft w:val="0"/>
              <w:marRight w:val="0"/>
              <w:marTop w:val="0"/>
              <w:marBottom w:val="0"/>
              <w:divBdr>
                <w:top w:val="none" w:sz="0" w:space="0" w:color="auto"/>
                <w:left w:val="none" w:sz="0" w:space="0" w:color="auto"/>
                <w:bottom w:val="none" w:sz="0" w:space="0" w:color="auto"/>
                <w:right w:val="none" w:sz="0" w:space="0" w:color="auto"/>
              </w:divBdr>
              <w:divsChild>
                <w:div w:id="5726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0315">
          <w:marLeft w:val="0"/>
          <w:marRight w:val="0"/>
          <w:marTop w:val="0"/>
          <w:marBottom w:val="0"/>
          <w:divBdr>
            <w:top w:val="none" w:sz="0" w:space="0" w:color="auto"/>
            <w:left w:val="none" w:sz="0" w:space="0" w:color="auto"/>
            <w:bottom w:val="none" w:sz="0" w:space="0" w:color="auto"/>
            <w:right w:val="none" w:sz="0" w:space="0" w:color="auto"/>
          </w:divBdr>
          <w:divsChild>
            <w:div w:id="505438291">
              <w:marLeft w:val="0"/>
              <w:marRight w:val="0"/>
              <w:marTop w:val="0"/>
              <w:marBottom w:val="0"/>
              <w:divBdr>
                <w:top w:val="none" w:sz="0" w:space="0" w:color="auto"/>
                <w:left w:val="none" w:sz="0" w:space="0" w:color="auto"/>
                <w:bottom w:val="none" w:sz="0" w:space="0" w:color="auto"/>
                <w:right w:val="none" w:sz="0" w:space="0" w:color="auto"/>
              </w:divBdr>
              <w:divsChild>
                <w:div w:id="2120028052">
                  <w:marLeft w:val="0"/>
                  <w:marRight w:val="0"/>
                  <w:marTop w:val="0"/>
                  <w:marBottom w:val="0"/>
                  <w:divBdr>
                    <w:top w:val="none" w:sz="0" w:space="0" w:color="auto"/>
                    <w:left w:val="none" w:sz="0" w:space="0" w:color="auto"/>
                    <w:bottom w:val="none" w:sz="0" w:space="0" w:color="auto"/>
                    <w:right w:val="none" w:sz="0" w:space="0" w:color="auto"/>
                  </w:divBdr>
                </w:div>
              </w:divsChild>
            </w:div>
            <w:div w:id="652832099">
              <w:marLeft w:val="0"/>
              <w:marRight w:val="0"/>
              <w:marTop w:val="0"/>
              <w:marBottom w:val="0"/>
              <w:divBdr>
                <w:top w:val="none" w:sz="0" w:space="0" w:color="auto"/>
                <w:left w:val="none" w:sz="0" w:space="0" w:color="auto"/>
                <w:bottom w:val="none" w:sz="0" w:space="0" w:color="auto"/>
                <w:right w:val="none" w:sz="0" w:space="0" w:color="auto"/>
              </w:divBdr>
              <w:divsChild>
                <w:div w:id="1790128088">
                  <w:marLeft w:val="0"/>
                  <w:marRight w:val="0"/>
                  <w:marTop w:val="0"/>
                  <w:marBottom w:val="0"/>
                  <w:divBdr>
                    <w:top w:val="none" w:sz="0" w:space="0" w:color="auto"/>
                    <w:left w:val="none" w:sz="0" w:space="0" w:color="auto"/>
                    <w:bottom w:val="none" w:sz="0" w:space="0" w:color="auto"/>
                    <w:right w:val="none" w:sz="0" w:space="0" w:color="auto"/>
                  </w:divBdr>
                </w:div>
                <w:div w:id="211844603">
                  <w:marLeft w:val="0"/>
                  <w:marRight w:val="0"/>
                  <w:marTop w:val="0"/>
                  <w:marBottom w:val="0"/>
                  <w:divBdr>
                    <w:top w:val="none" w:sz="0" w:space="0" w:color="auto"/>
                    <w:left w:val="none" w:sz="0" w:space="0" w:color="auto"/>
                    <w:bottom w:val="none" w:sz="0" w:space="0" w:color="auto"/>
                    <w:right w:val="none" w:sz="0" w:space="0" w:color="auto"/>
                  </w:divBdr>
                  <w:divsChild>
                    <w:div w:id="1221550387">
                      <w:marLeft w:val="0"/>
                      <w:marRight w:val="0"/>
                      <w:marTop w:val="0"/>
                      <w:marBottom w:val="0"/>
                      <w:divBdr>
                        <w:top w:val="none" w:sz="0" w:space="0" w:color="auto"/>
                        <w:left w:val="none" w:sz="0" w:space="0" w:color="auto"/>
                        <w:bottom w:val="none" w:sz="0" w:space="0" w:color="auto"/>
                        <w:right w:val="none" w:sz="0" w:space="0" w:color="auto"/>
                      </w:divBdr>
                      <w:divsChild>
                        <w:div w:id="19888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27741">
      <w:bodyDiv w:val="1"/>
      <w:marLeft w:val="0"/>
      <w:marRight w:val="0"/>
      <w:marTop w:val="0"/>
      <w:marBottom w:val="0"/>
      <w:divBdr>
        <w:top w:val="none" w:sz="0" w:space="0" w:color="auto"/>
        <w:left w:val="none" w:sz="0" w:space="0" w:color="auto"/>
        <w:bottom w:val="none" w:sz="0" w:space="0" w:color="auto"/>
        <w:right w:val="none" w:sz="0" w:space="0" w:color="auto"/>
      </w:divBdr>
      <w:divsChild>
        <w:div w:id="1557467941">
          <w:marLeft w:val="0"/>
          <w:marRight w:val="0"/>
          <w:marTop w:val="0"/>
          <w:marBottom w:val="0"/>
          <w:divBdr>
            <w:top w:val="none" w:sz="0" w:space="0" w:color="auto"/>
            <w:left w:val="none" w:sz="0" w:space="0" w:color="auto"/>
            <w:bottom w:val="none" w:sz="0" w:space="0" w:color="auto"/>
            <w:right w:val="none" w:sz="0" w:space="0" w:color="auto"/>
          </w:divBdr>
          <w:divsChild>
            <w:div w:id="475295267">
              <w:marLeft w:val="0"/>
              <w:marRight w:val="0"/>
              <w:marTop w:val="0"/>
              <w:marBottom w:val="0"/>
              <w:divBdr>
                <w:top w:val="none" w:sz="0" w:space="0" w:color="auto"/>
                <w:left w:val="none" w:sz="0" w:space="0" w:color="auto"/>
                <w:bottom w:val="none" w:sz="0" w:space="0" w:color="auto"/>
                <w:right w:val="none" w:sz="0" w:space="0" w:color="auto"/>
              </w:divBdr>
              <w:divsChild>
                <w:div w:id="11436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82075">
      <w:bodyDiv w:val="1"/>
      <w:marLeft w:val="0"/>
      <w:marRight w:val="0"/>
      <w:marTop w:val="0"/>
      <w:marBottom w:val="0"/>
      <w:divBdr>
        <w:top w:val="none" w:sz="0" w:space="0" w:color="auto"/>
        <w:left w:val="none" w:sz="0" w:space="0" w:color="auto"/>
        <w:bottom w:val="none" w:sz="0" w:space="0" w:color="auto"/>
        <w:right w:val="none" w:sz="0" w:space="0" w:color="auto"/>
      </w:divBdr>
      <w:divsChild>
        <w:div w:id="726490436">
          <w:marLeft w:val="0"/>
          <w:marRight w:val="0"/>
          <w:marTop w:val="0"/>
          <w:marBottom w:val="0"/>
          <w:divBdr>
            <w:top w:val="none" w:sz="0" w:space="0" w:color="auto"/>
            <w:left w:val="none" w:sz="0" w:space="0" w:color="auto"/>
            <w:bottom w:val="none" w:sz="0" w:space="0" w:color="auto"/>
            <w:right w:val="none" w:sz="0" w:space="0" w:color="auto"/>
          </w:divBdr>
          <w:divsChild>
            <w:div w:id="1013844610">
              <w:marLeft w:val="0"/>
              <w:marRight w:val="0"/>
              <w:marTop w:val="0"/>
              <w:marBottom w:val="0"/>
              <w:divBdr>
                <w:top w:val="none" w:sz="0" w:space="0" w:color="auto"/>
                <w:left w:val="none" w:sz="0" w:space="0" w:color="auto"/>
                <w:bottom w:val="none" w:sz="0" w:space="0" w:color="auto"/>
                <w:right w:val="none" w:sz="0" w:space="0" w:color="auto"/>
              </w:divBdr>
            </w:div>
          </w:divsChild>
        </w:div>
        <w:div w:id="1221017685">
          <w:marLeft w:val="0"/>
          <w:marRight w:val="0"/>
          <w:marTop w:val="0"/>
          <w:marBottom w:val="0"/>
          <w:divBdr>
            <w:top w:val="none" w:sz="0" w:space="0" w:color="auto"/>
            <w:left w:val="none" w:sz="0" w:space="0" w:color="auto"/>
            <w:bottom w:val="none" w:sz="0" w:space="0" w:color="auto"/>
            <w:right w:val="none" w:sz="0" w:space="0" w:color="auto"/>
          </w:divBdr>
          <w:divsChild>
            <w:div w:id="735398261">
              <w:marLeft w:val="0"/>
              <w:marRight w:val="0"/>
              <w:marTop w:val="0"/>
              <w:marBottom w:val="0"/>
              <w:divBdr>
                <w:top w:val="none" w:sz="0" w:space="0" w:color="auto"/>
                <w:left w:val="none" w:sz="0" w:space="0" w:color="auto"/>
                <w:bottom w:val="none" w:sz="0" w:space="0" w:color="auto"/>
                <w:right w:val="none" w:sz="0" w:space="0" w:color="auto"/>
              </w:divBdr>
            </w:div>
            <w:div w:id="212810564">
              <w:marLeft w:val="0"/>
              <w:marRight w:val="0"/>
              <w:marTop w:val="0"/>
              <w:marBottom w:val="0"/>
              <w:divBdr>
                <w:top w:val="none" w:sz="0" w:space="0" w:color="auto"/>
                <w:left w:val="none" w:sz="0" w:space="0" w:color="auto"/>
                <w:bottom w:val="none" w:sz="0" w:space="0" w:color="auto"/>
                <w:right w:val="none" w:sz="0" w:space="0" w:color="auto"/>
              </w:divBdr>
              <w:divsChild>
                <w:div w:id="192309142">
                  <w:marLeft w:val="0"/>
                  <w:marRight w:val="0"/>
                  <w:marTop w:val="0"/>
                  <w:marBottom w:val="0"/>
                  <w:divBdr>
                    <w:top w:val="none" w:sz="0" w:space="0" w:color="auto"/>
                    <w:left w:val="none" w:sz="0" w:space="0" w:color="auto"/>
                    <w:bottom w:val="none" w:sz="0" w:space="0" w:color="auto"/>
                    <w:right w:val="none" w:sz="0" w:space="0" w:color="auto"/>
                  </w:divBdr>
                  <w:divsChild>
                    <w:div w:id="13861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87417">
      <w:bodyDiv w:val="1"/>
      <w:marLeft w:val="0"/>
      <w:marRight w:val="0"/>
      <w:marTop w:val="0"/>
      <w:marBottom w:val="0"/>
      <w:divBdr>
        <w:top w:val="none" w:sz="0" w:space="0" w:color="auto"/>
        <w:left w:val="none" w:sz="0" w:space="0" w:color="auto"/>
        <w:bottom w:val="none" w:sz="0" w:space="0" w:color="auto"/>
        <w:right w:val="none" w:sz="0" w:space="0" w:color="auto"/>
      </w:divBdr>
      <w:divsChild>
        <w:div w:id="331566743">
          <w:marLeft w:val="0"/>
          <w:marRight w:val="0"/>
          <w:marTop w:val="0"/>
          <w:marBottom w:val="0"/>
          <w:divBdr>
            <w:top w:val="none" w:sz="0" w:space="0" w:color="auto"/>
            <w:left w:val="none" w:sz="0" w:space="0" w:color="auto"/>
            <w:bottom w:val="none" w:sz="0" w:space="0" w:color="auto"/>
            <w:right w:val="none" w:sz="0" w:space="0" w:color="auto"/>
          </w:divBdr>
          <w:divsChild>
            <w:div w:id="1042171372">
              <w:marLeft w:val="0"/>
              <w:marRight w:val="0"/>
              <w:marTop w:val="0"/>
              <w:marBottom w:val="0"/>
              <w:divBdr>
                <w:top w:val="none" w:sz="0" w:space="0" w:color="auto"/>
                <w:left w:val="none" w:sz="0" w:space="0" w:color="auto"/>
                <w:bottom w:val="none" w:sz="0" w:space="0" w:color="auto"/>
                <w:right w:val="none" w:sz="0" w:space="0" w:color="auto"/>
              </w:divBdr>
              <w:divsChild>
                <w:div w:id="13871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69974">
      <w:bodyDiv w:val="1"/>
      <w:marLeft w:val="0"/>
      <w:marRight w:val="0"/>
      <w:marTop w:val="0"/>
      <w:marBottom w:val="0"/>
      <w:divBdr>
        <w:top w:val="none" w:sz="0" w:space="0" w:color="auto"/>
        <w:left w:val="none" w:sz="0" w:space="0" w:color="auto"/>
        <w:bottom w:val="none" w:sz="0" w:space="0" w:color="auto"/>
        <w:right w:val="none" w:sz="0" w:space="0" w:color="auto"/>
      </w:divBdr>
      <w:divsChild>
        <w:div w:id="1414164586">
          <w:marLeft w:val="0"/>
          <w:marRight w:val="0"/>
          <w:marTop w:val="0"/>
          <w:marBottom w:val="0"/>
          <w:divBdr>
            <w:top w:val="none" w:sz="0" w:space="0" w:color="auto"/>
            <w:left w:val="none" w:sz="0" w:space="0" w:color="auto"/>
            <w:bottom w:val="none" w:sz="0" w:space="0" w:color="auto"/>
            <w:right w:val="none" w:sz="0" w:space="0" w:color="auto"/>
          </w:divBdr>
          <w:divsChild>
            <w:div w:id="1491407639">
              <w:marLeft w:val="0"/>
              <w:marRight w:val="0"/>
              <w:marTop w:val="0"/>
              <w:marBottom w:val="0"/>
              <w:divBdr>
                <w:top w:val="none" w:sz="0" w:space="0" w:color="auto"/>
                <w:left w:val="none" w:sz="0" w:space="0" w:color="auto"/>
                <w:bottom w:val="none" w:sz="0" w:space="0" w:color="auto"/>
                <w:right w:val="none" w:sz="0" w:space="0" w:color="auto"/>
              </w:divBdr>
              <w:divsChild>
                <w:div w:id="720907753">
                  <w:marLeft w:val="0"/>
                  <w:marRight w:val="0"/>
                  <w:marTop w:val="0"/>
                  <w:marBottom w:val="0"/>
                  <w:divBdr>
                    <w:top w:val="none" w:sz="0" w:space="0" w:color="auto"/>
                    <w:left w:val="none" w:sz="0" w:space="0" w:color="auto"/>
                    <w:bottom w:val="none" w:sz="0" w:space="0" w:color="auto"/>
                    <w:right w:val="none" w:sz="0" w:space="0" w:color="auto"/>
                  </w:divBdr>
                  <w:divsChild>
                    <w:div w:id="1090659114">
                      <w:marLeft w:val="0"/>
                      <w:marRight w:val="0"/>
                      <w:marTop w:val="0"/>
                      <w:marBottom w:val="0"/>
                      <w:divBdr>
                        <w:top w:val="none" w:sz="0" w:space="0" w:color="auto"/>
                        <w:left w:val="none" w:sz="0" w:space="0" w:color="auto"/>
                        <w:bottom w:val="none" w:sz="0" w:space="0" w:color="auto"/>
                        <w:right w:val="none" w:sz="0" w:space="0" w:color="auto"/>
                      </w:divBdr>
                    </w:div>
                    <w:div w:id="620190214">
                      <w:marLeft w:val="0"/>
                      <w:marRight w:val="0"/>
                      <w:marTop w:val="0"/>
                      <w:marBottom w:val="0"/>
                      <w:divBdr>
                        <w:top w:val="none" w:sz="0" w:space="0" w:color="auto"/>
                        <w:left w:val="none" w:sz="0" w:space="0" w:color="auto"/>
                        <w:bottom w:val="none" w:sz="0" w:space="0" w:color="auto"/>
                        <w:right w:val="none" w:sz="0" w:space="0" w:color="auto"/>
                      </w:divBdr>
                      <w:divsChild>
                        <w:div w:id="818808710">
                          <w:marLeft w:val="0"/>
                          <w:marRight w:val="0"/>
                          <w:marTop w:val="0"/>
                          <w:marBottom w:val="0"/>
                          <w:divBdr>
                            <w:top w:val="none" w:sz="0" w:space="0" w:color="auto"/>
                            <w:left w:val="none" w:sz="0" w:space="0" w:color="auto"/>
                            <w:bottom w:val="none" w:sz="0" w:space="0" w:color="auto"/>
                            <w:right w:val="none" w:sz="0" w:space="0" w:color="auto"/>
                          </w:divBdr>
                          <w:divsChild>
                            <w:div w:id="2019313061">
                              <w:marLeft w:val="0"/>
                              <w:marRight w:val="0"/>
                              <w:marTop w:val="0"/>
                              <w:marBottom w:val="0"/>
                              <w:divBdr>
                                <w:top w:val="none" w:sz="0" w:space="0" w:color="auto"/>
                                <w:left w:val="none" w:sz="0" w:space="0" w:color="auto"/>
                                <w:bottom w:val="none" w:sz="0" w:space="0" w:color="auto"/>
                                <w:right w:val="none" w:sz="0" w:space="0" w:color="auto"/>
                              </w:divBdr>
                            </w:div>
                            <w:div w:id="1951813475">
                              <w:marLeft w:val="0"/>
                              <w:marRight w:val="0"/>
                              <w:marTop w:val="0"/>
                              <w:marBottom w:val="0"/>
                              <w:divBdr>
                                <w:top w:val="none" w:sz="0" w:space="0" w:color="auto"/>
                                <w:left w:val="none" w:sz="0" w:space="0" w:color="auto"/>
                                <w:bottom w:val="none" w:sz="0" w:space="0" w:color="auto"/>
                                <w:right w:val="none" w:sz="0" w:space="0" w:color="auto"/>
                              </w:divBdr>
                              <w:divsChild>
                                <w:div w:id="1689599203">
                                  <w:marLeft w:val="0"/>
                                  <w:marRight w:val="0"/>
                                  <w:marTop w:val="0"/>
                                  <w:marBottom w:val="0"/>
                                  <w:divBdr>
                                    <w:top w:val="none" w:sz="0" w:space="0" w:color="auto"/>
                                    <w:left w:val="none" w:sz="0" w:space="0" w:color="auto"/>
                                    <w:bottom w:val="none" w:sz="0" w:space="0" w:color="auto"/>
                                    <w:right w:val="none" w:sz="0" w:space="0" w:color="auto"/>
                                  </w:divBdr>
                                </w:div>
                                <w:div w:id="6737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598">
                          <w:marLeft w:val="0"/>
                          <w:marRight w:val="0"/>
                          <w:marTop w:val="0"/>
                          <w:marBottom w:val="0"/>
                          <w:divBdr>
                            <w:top w:val="none" w:sz="0" w:space="0" w:color="auto"/>
                            <w:left w:val="none" w:sz="0" w:space="0" w:color="auto"/>
                            <w:bottom w:val="none" w:sz="0" w:space="0" w:color="auto"/>
                            <w:right w:val="none" w:sz="0" w:space="0" w:color="auto"/>
                          </w:divBdr>
                          <w:divsChild>
                            <w:div w:id="5895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95023">
              <w:marLeft w:val="0"/>
              <w:marRight w:val="0"/>
              <w:marTop w:val="0"/>
              <w:marBottom w:val="0"/>
              <w:divBdr>
                <w:top w:val="none" w:sz="0" w:space="0" w:color="auto"/>
                <w:left w:val="none" w:sz="0" w:space="0" w:color="auto"/>
                <w:bottom w:val="none" w:sz="0" w:space="0" w:color="auto"/>
                <w:right w:val="none" w:sz="0" w:space="0" w:color="auto"/>
              </w:divBdr>
            </w:div>
          </w:divsChild>
        </w:div>
        <w:div w:id="1126702162">
          <w:marLeft w:val="0"/>
          <w:marRight w:val="0"/>
          <w:marTop w:val="0"/>
          <w:marBottom w:val="0"/>
          <w:divBdr>
            <w:top w:val="none" w:sz="0" w:space="0" w:color="auto"/>
            <w:left w:val="none" w:sz="0" w:space="0" w:color="auto"/>
            <w:bottom w:val="none" w:sz="0" w:space="0" w:color="auto"/>
            <w:right w:val="none" w:sz="0" w:space="0" w:color="auto"/>
          </w:divBdr>
        </w:div>
      </w:divsChild>
    </w:div>
    <w:div w:id="548033122">
      <w:bodyDiv w:val="1"/>
      <w:marLeft w:val="0"/>
      <w:marRight w:val="0"/>
      <w:marTop w:val="0"/>
      <w:marBottom w:val="0"/>
      <w:divBdr>
        <w:top w:val="none" w:sz="0" w:space="0" w:color="auto"/>
        <w:left w:val="none" w:sz="0" w:space="0" w:color="auto"/>
        <w:bottom w:val="none" w:sz="0" w:space="0" w:color="auto"/>
        <w:right w:val="none" w:sz="0" w:space="0" w:color="auto"/>
      </w:divBdr>
      <w:divsChild>
        <w:div w:id="245891974">
          <w:marLeft w:val="0"/>
          <w:marRight w:val="0"/>
          <w:marTop w:val="0"/>
          <w:marBottom w:val="0"/>
          <w:divBdr>
            <w:top w:val="none" w:sz="0" w:space="0" w:color="auto"/>
            <w:left w:val="none" w:sz="0" w:space="0" w:color="auto"/>
            <w:bottom w:val="none" w:sz="0" w:space="0" w:color="auto"/>
            <w:right w:val="none" w:sz="0" w:space="0" w:color="auto"/>
          </w:divBdr>
          <w:divsChild>
            <w:div w:id="758529636">
              <w:marLeft w:val="0"/>
              <w:marRight w:val="0"/>
              <w:marTop w:val="0"/>
              <w:marBottom w:val="0"/>
              <w:divBdr>
                <w:top w:val="none" w:sz="0" w:space="0" w:color="auto"/>
                <w:left w:val="none" w:sz="0" w:space="0" w:color="auto"/>
                <w:bottom w:val="none" w:sz="0" w:space="0" w:color="auto"/>
                <w:right w:val="none" w:sz="0" w:space="0" w:color="auto"/>
              </w:divBdr>
            </w:div>
          </w:divsChild>
        </w:div>
        <w:div w:id="213347593">
          <w:marLeft w:val="0"/>
          <w:marRight w:val="0"/>
          <w:marTop w:val="0"/>
          <w:marBottom w:val="0"/>
          <w:divBdr>
            <w:top w:val="none" w:sz="0" w:space="0" w:color="auto"/>
            <w:left w:val="none" w:sz="0" w:space="0" w:color="auto"/>
            <w:bottom w:val="none" w:sz="0" w:space="0" w:color="auto"/>
            <w:right w:val="none" w:sz="0" w:space="0" w:color="auto"/>
          </w:divBdr>
          <w:divsChild>
            <w:div w:id="1098285010">
              <w:marLeft w:val="0"/>
              <w:marRight w:val="0"/>
              <w:marTop w:val="0"/>
              <w:marBottom w:val="0"/>
              <w:divBdr>
                <w:top w:val="none" w:sz="0" w:space="0" w:color="auto"/>
                <w:left w:val="none" w:sz="0" w:space="0" w:color="auto"/>
                <w:bottom w:val="none" w:sz="0" w:space="0" w:color="auto"/>
                <w:right w:val="none" w:sz="0" w:space="0" w:color="auto"/>
              </w:divBdr>
            </w:div>
            <w:div w:id="632759923">
              <w:marLeft w:val="0"/>
              <w:marRight w:val="0"/>
              <w:marTop w:val="0"/>
              <w:marBottom w:val="0"/>
              <w:divBdr>
                <w:top w:val="none" w:sz="0" w:space="0" w:color="auto"/>
                <w:left w:val="none" w:sz="0" w:space="0" w:color="auto"/>
                <w:bottom w:val="none" w:sz="0" w:space="0" w:color="auto"/>
                <w:right w:val="none" w:sz="0" w:space="0" w:color="auto"/>
              </w:divBdr>
              <w:divsChild>
                <w:div w:id="2139106762">
                  <w:marLeft w:val="0"/>
                  <w:marRight w:val="0"/>
                  <w:marTop w:val="0"/>
                  <w:marBottom w:val="0"/>
                  <w:divBdr>
                    <w:top w:val="none" w:sz="0" w:space="0" w:color="auto"/>
                    <w:left w:val="none" w:sz="0" w:space="0" w:color="auto"/>
                    <w:bottom w:val="none" w:sz="0" w:space="0" w:color="auto"/>
                    <w:right w:val="none" w:sz="0" w:space="0" w:color="auto"/>
                  </w:divBdr>
                  <w:divsChild>
                    <w:div w:id="617218418">
                      <w:marLeft w:val="0"/>
                      <w:marRight w:val="0"/>
                      <w:marTop w:val="0"/>
                      <w:marBottom w:val="0"/>
                      <w:divBdr>
                        <w:top w:val="none" w:sz="0" w:space="0" w:color="auto"/>
                        <w:left w:val="none" w:sz="0" w:space="0" w:color="auto"/>
                        <w:bottom w:val="none" w:sz="0" w:space="0" w:color="auto"/>
                        <w:right w:val="none" w:sz="0" w:space="0" w:color="auto"/>
                      </w:divBdr>
                      <w:divsChild>
                        <w:div w:id="15192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034233">
      <w:bodyDiv w:val="1"/>
      <w:marLeft w:val="0"/>
      <w:marRight w:val="0"/>
      <w:marTop w:val="0"/>
      <w:marBottom w:val="0"/>
      <w:divBdr>
        <w:top w:val="none" w:sz="0" w:space="0" w:color="auto"/>
        <w:left w:val="none" w:sz="0" w:space="0" w:color="auto"/>
        <w:bottom w:val="none" w:sz="0" w:space="0" w:color="auto"/>
        <w:right w:val="none" w:sz="0" w:space="0" w:color="auto"/>
      </w:divBdr>
      <w:divsChild>
        <w:div w:id="1922372733">
          <w:marLeft w:val="0"/>
          <w:marRight w:val="0"/>
          <w:marTop w:val="0"/>
          <w:marBottom w:val="0"/>
          <w:divBdr>
            <w:top w:val="none" w:sz="0" w:space="0" w:color="auto"/>
            <w:left w:val="none" w:sz="0" w:space="0" w:color="auto"/>
            <w:bottom w:val="none" w:sz="0" w:space="0" w:color="auto"/>
            <w:right w:val="none" w:sz="0" w:space="0" w:color="auto"/>
          </w:divBdr>
          <w:divsChild>
            <w:div w:id="509877403">
              <w:marLeft w:val="0"/>
              <w:marRight w:val="0"/>
              <w:marTop w:val="0"/>
              <w:marBottom w:val="0"/>
              <w:divBdr>
                <w:top w:val="none" w:sz="0" w:space="0" w:color="auto"/>
                <w:left w:val="none" w:sz="0" w:space="0" w:color="auto"/>
                <w:bottom w:val="none" w:sz="0" w:space="0" w:color="auto"/>
                <w:right w:val="none" w:sz="0" w:space="0" w:color="auto"/>
              </w:divBdr>
            </w:div>
          </w:divsChild>
        </w:div>
        <w:div w:id="1741710494">
          <w:marLeft w:val="0"/>
          <w:marRight w:val="0"/>
          <w:marTop w:val="0"/>
          <w:marBottom w:val="0"/>
          <w:divBdr>
            <w:top w:val="none" w:sz="0" w:space="0" w:color="auto"/>
            <w:left w:val="none" w:sz="0" w:space="0" w:color="auto"/>
            <w:bottom w:val="none" w:sz="0" w:space="0" w:color="auto"/>
            <w:right w:val="none" w:sz="0" w:space="0" w:color="auto"/>
          </w:divBdr>
          <w:divsChild>
            <w:div w:id="572391534">
              <w:marLeft w:val="0"/>
              <w:marRight w:val="0"/>
              <w:marTop w:val="0"/>
              <w:marBottom w:val="0"/>
              <w:divBdr>
                <w:top w:val="none" w:sz="0" w:space="0" w:color="auto"/>
                <w:left w:val="none" w:sz="0" w:space="0" w:color="auto"/>
                <w:bottom w:val="none" w:sz="0" w:space="0" w:color="auto"/>
                <w:right w:val="none" w:sz="0" w:space="0" w:color="auto"/>
              </w:divBdr>
            </w:div>
            <w:div w:id="1464544722">
              <w:marLeft w:val="0"/>
              <w:marRight w:val="0"/>
              <w:marTop w:val="0"/>
              <w:marBottom w:val="0"/>
              <w:divBdr>
                <w:top w:val="none" w:sz="0" w:space="0" w:color="auto"/>
                <w:left w:val="none" w:sz="0" w:space="0" w:color="auto"/>
                <w:bottom w:val="none" w:sz="0" w:space="0" w:color="auto"/>
                <w:right w:val="none" w:sz="0" w:space="0" w:color="auto"/>
              </w:divBdr>
              <w:divsChild>
                <w:div w:id="1904683834">
                  <w:marLeft w:val="0"/>
                  <w:marRight w:val="0"/>
                  <w:marTop w:val="0"/>
                  <w:marBottom w:val="0"/>
                  <w:divBdr>
                    <w:top w:val="none" w:sz="0" w:space="0" w:color="auto"/>
                    <w:left w:val="none" w:sz="0" w:space="0" w:color="auto"/>
                    <w:bottom w:val="none" w:sz="0" w:space="0" w:color="auto"/>
                    <w:right w:val="none" w:sz="0" w:space="0" w:color="auto"/>
                  </w:divBdr>
                  <w:divsChild>
                    <w:div w:id="1753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2898">
      <w:bodyDiv w:val="1"/>
      <w:marLeft w:val="0"/>
      <w:marRight w:val="0"/>
      <w:marTop w:val="0"/>
      <w:marBottom w:val="0"/>
      <w:divBdr>
        <w:top w:val="none" w:sz="0" w:space="0" w:color="auto"/>
        <w:left w:val="none" w:sz="0" w:space="0" w:color="auto"/>
        <w:bottom w:val="none" w:sz="0" w:space="0" w:color="auto"/>
        <w:right w:val="none" w:sz="0" w:space="0" w:color="auto"/>
      </w:divBdr>
      <w:divsChild>
        <w:div w:id="1446074128">
          <w:marLeft w:val="0"/>
          <w:marRight w:val="0"/>
          <w:marTop w:val="0"/>
          <w:marBottom w:val="0"/>
          <w:divBdr>
            <w:top w:val="none" w:sz="0" w:space="0" w:color="auto"/>
            <w:left w:val="none" w:sz="0" w:space="0" w:color="auto"/>
            <w:bottom w:val="none" w:sz="0" w:space="0" w:color="auto"/>
            <w:right w:val="none" w:sz="0" w:space="0" w:color="auto"/>
          </w:divBdr>
          <w:divsChild>
            <w:div w:id="234315645">
              <w:marLeft w:val="0"/>
              <w:marRight w:val="0"/>
              <w:marTop w:val="0"/>
              <w:marBottom w:val="0"/>
              <w:divBdr>
                <w:top w:val="none" w:sz="0" w:space="0" w:color="auto"/>
                <w:left w:val="none" w:sz="0" w:space="0" w:color="auto"/>
                <w:bottom w:val="none" w:sz="0" w:space="0" w:color="auto"/>
                <w:right w:val="none" w:sz="0" w:space="0" w:color="auto"/>
              </w:divBdr>
              <w:divsChild>
                <w:div w:id="19639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1981">
      <w:bodyDiv w:val="1"/>
      <w:marLeft w:val="0"/>
      <w:marRight w:val="0"/>
      <w:marTop w:val="0"/>
      <w:marBottom w:val="0"/>
      <w:divBdr>
        <w:top w:val="none" w:sz="0" w:space="0" w:color="auto"/>
        <w:left w:val="none" w:sz="0" w:space="0" w:color="auto"/>
        <w:bottom w:val="none" w:sz="0" w:space="0" w:color="auto"/>
        <w:right w:val="none" w:sz="0" w:space="0" w:color="auto"/>
      </w:divBdr>
      <w:divsChild>
        <w:div w:id="1763839111">
          <w:marLeft w:val="0"/>
          <w:marRight w:val="0"/>
          <w:marTop w:val="0"/>
          <w:marBottom w:val="0"/>
          <w:divBdr>
            <w:top w:val="none" w:sz="0" w:space="0" w:color="auto"/>
            <w:left w:val="none" w:sz="0" w:space="0" w:color="auto"/>
            <w:bottom w:val="none" w:sz="0" w:space="0" w:color="auto"/>
            <w:right w:val="none" w:sz="0" w:space="0" w:color="auto"/>
          </w:divBdr>
          <w:divsChild>
            <w:div w:id="734081864">
              <w:marLeft w:val="0"/>
              <w:marRight w:val="0"/>
              <w:marTop w:val="0"/>
              <w:marBottom w:val="0"/>
              <w:divBdr>
                <w:top w:val="none" w:sz="0" w:space="0" w:color="auto"/>
                <w:left w:val="none" w:sz="0" w:space="0" w:color="auto"/>
                <w:bottom w:val="none" w:sz="0" w:space="0" w:color="auto"/>
                <w:right w:val="none" w:sz="0" w:space="0" w:color="auto"/>
              </w:divBdr>
              <w:divsChild>
                <w:div w:id="17367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47256">
      <w:bodyDiv w:val="1"/>
      <w:marLeft w:val="0"/>
      <w:marRight w:val="0"/>
      <w:marTop w:val="0"/>
      <w:marBottom w:val="0"/>
      <w:divBdr>
        <w:top w:val="none" w:sz="0" w:space="0" w:color="auto"/>
        <w:left w:val="none" w:sz="0" w:space="0" w:color="auto"/>
        <w:bottom w:val="none" w:sz="0" w:space="0" w:color="auto"/>
        <w:right w:val="none" w:sz="0" w:space="0" w:color="auto"/>
      </w:divBdr>
      <w:divsChild>
        <w:div w:id="234357395">
          <w:marLeft w:val="0"/>
          <w:marRight w:val="0"/>
          <w:marTop w:val="0"/>
          <w:marBottom w:val="0"/>
          <w:divBdr>
            <w:top w:val="none" w:sz="0" w:space="0" w:color="auto"/>
            <w:left w:val="none" w:sz="0" w:space="0" w:color="auto"/>
            <w:bottom w:val="none" w:sz="0" w:space="0" w:color="auto"/>
            <w:right w:val="none" w:sz="0" w:space="0" w:color="auto"/>
          </w:divBdr>
          <w:divsChild>
            <w:div w:id="1219898351">
              <w:marLeft w:val="0"/>
              <w:marRight w:val="0"/>
              <w:marTop w:val="0"/>
              <w:marBottom w:val="0"/>
              <w:divBdr>
                <w:top w:val="none" w:sz="0" w:space="0" w:color="auto"/>
                <w:left w:val="none" w:sz="0" w:space="0" w:color="auto"/>
                <w:bottom w:val="none" w:sz="0" w:space="0" w:color="auto"/>
                <w:right w:val="none" w:sz="0" w:space="0" w:color="auto"/>
              </w:divBdr>
              <w:divsChild>
                <w:div w:id="4374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49916">
      <w:bodyDiv w:val="1"/>
      <w:marLeft w:val="0"/>
      <w:marRight w:val="0"/>
      <w:marTop w:val="0"/>
      <w:marBottom w:val="0"/>
      <w:divBdr>
        <w:top w:val="none" w:sz="0" w:space="0" w:color="auto"/>
        <w:left w:val="none" w:sz="0" w:space="0" w:color="auto"/>
        <w:bottom w:val="none" w:sz="0" w:space="0" w:color="auto"/>
        <w:right w:val="none" w:sz="0" w:space="0" w:color="auto"/>
      </w:divBdr>
      <w:divsChild>
        <w:div w:id="645017314">
          <w:marLeft w:val="0"/>
          <w:marRight w:val="0"/>
          <w:marTop w:val="0"/>
          <w:marBottom w:val="0"/>
          <w:divBdr>
            <w:top w:val="none" w:sz="0" w:space="0" w:color="auto"/>
            <w:left w:val="none" w:sz="0" w:space="0" w:color="auto"/>
            <w:bottom w:val="none" w:sz="0" w:space="0" w:color="auto"/>
            <w:right w:val="none" w:sz="0" w:space="0" w:color="auto"/>
          </w:divBdr>
          <w:divsChild>
            <w:div w:id="179785711">
              <w:marLeft w:val="0"/>
              <w:marRight w:val="0"/>
              <w:marTop w:val="0"/>
              <w:marBottom w:val="0"/>
              <w:divBdr>
                <w:top w:val="none" w:sz="0" w:space="0" w:color="auto"/>
                <w:left w:val="none" w:sz="0" w:space="0" w:color="auto"/>
                <w:bottom w:val="none" w:sz="0" w:space="0" w:color="auto"/>
                <w:right w:val="none" w:sz="0" w:space="0" w:color="auto"/>
              </w:divBdr>
              <w:divsChild>
                <w:div w:id="11738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6702">
      <w:bodyDiv w:val="1"/>
      <w:marLeft w:val="0"/>
      <w:marRight w:val="0"/>
      <w:marTop w:val="0"/>
      <w:marBottom w:val="0"/>
      <w:divBdr>
        <w:top w:val="none" w:sz="0" w:space="0" w:color="auto"/>
        <w:left w:val="none" w:sz="0" w:space="0" w:color="auto"/>
        <w:bottom w:val="none" w:sz="0" w:space="0" w:color="auto"/>
        <w:right w:val="none" w:sz="0" w:space="0" w:color="auto"/>
      </w:divBdr>
      <w:divsChild>
        <w:div w:id="1748457707">
          <w:marLeft w:val="0"/>
          <w:marRight w:val="0"/>
          <w:marTop w:val="0"/>
          <w:marBottom w:val="0"/>
          <w:divBdr>
            <w:top w:val="none" w:sz="0" w:space="0" w:color="auto"/>
            <w:left w:val="none" w:sz="0" w:space="0" w:color="auto"/>
            <w:bottom w:val="none" w:sz="0" w:space="0" w:color="auto"/>
            <w:right w:val="none" w:sz="0" w:space="0" w:color="auto"/>
          </w:divBdr>
          <w:divsChild>
            <w:div w:id="2095273632">
              <w:marLeft w:val="0"/>
              <w:marRight w:val="0"/>
              <w:marTop w:val="0"/>
              <w:marBottom w:val="0"/>
              <w:divBdr>
                <w:top w:val="none" w:sz="0" w:space="0" w:color="auto"/>
                <w:left w:val="none" w:sz="0" w:space="0" w:color="auto"/>
                <w:bottom w:val="none" w:sz="0" w:space="0" w:color="auto"/>
                <w:right w:val="none" w:sz="0" w:space="0" w:color="auto"/>
              </w:divBdr>
              <w:divsChild>
                <w:div w:id="409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81161">
      <w:bodyDiv w:val="1"/>
      <w:marLeft w:val="0"/>
      <w:marRight w:val="0"/>
      <w:marTop w:val="0"/>
      <w:marBottom w:val="0"/>
      <w:divBdr>
        <w:top w:val="none" w:sz="0" w:space="0" w:color="auto"/>
        <w:left w:val="none" w:sz="0" w:space="0" w:color="auto"/>
        <w:bottom w:val="none" w:sz="0" w:space="0" w:color="auto"/>
        <w:right w:val="none" w:sz="0" w:space="0" w:color="auto"/>
      </w:divBdr>
      <w:divsChild>
        <w:div w:id="1960139304">
          <w:marLeft w:val="0"/>
          <w:marRight w:val="0"/>
          <w:marTop w:val="0"/>
          <w:marBottom w:val="0"/>
          <w:divBdr>
            <w:top w:val="none" w:sz="0" w:space="0" w:color="auto"/>
            <w:left w:val="none" w:sz="0" w:space="0" w:color="auto"/>
            <w:bottom w:val="none" w:sz="0" w:space="0" w:color="auto"/>
            <w:right w:val="none" w:sz="0" w:space="0" w:color="auto"/>
          </w:divBdr>
          <w:divsChild>
            <w:div w:id="1767654668">
              <w:marLeft w:val="0"/>
              <w:marRight w:val="0"/>
              <w:marTop w:val="0"/>
              <w:marBottom w:val="0"/>
              <w:divBdr>
                <w:top w:val="none" w:sz="0" w:space="0" w:color="auto"/>
                <w:left w:val="none" w:sz="0" w:space="0" w:color="auto"/>
                <w:bottom w:val="none" w:sz="0" w:space="0" w:color="auto"/>
                <w:right w:val="none" w:sz="0" w:space="0" w:color="auto"/>
              </w:divBdr>
              <w:divsChild>
                <w:div w:id="14644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59356">
      <w:bodyDiv w:val="1"/>
      <w:marLeft w:val="0"/>
      <w:marRight w:val="0"/>
      <w:marTop w:val="0"/>
      <w:marBottom w:val="0"/>
      <w:divBdr>
        <w:top w:val="none" w:sz="0" w:space="0" w:color="auto"/>
        <w:left w:val="none" w:sz="0" w:space="0" w:color="auto"/>
        <w:bottom w:val="none" w:sz="0" w:space="0" w:color="auto"/>
        <w:right w:val="none" w:sz="0" w:space="0" w:color="auto"/>
      </w:divBdr>
      <w:divsChild>
        <w:div w:id="751388255">
          <w:marLeft w:val="0"/>
          <w:marRight w:val="0"/>
          <w:marTop w:val="0"/>
          <w:marBottom w:val="0"/>
          <w:divBdr>
            <w:top w:val="none" w:sz="0" w:space="0" w:color="auto"/>
            <w:left w:val="none" w:sz="0" w:space="0" w:color="auto"/>
            <w:bottom w:val="none" w:sz="0" w:space="0" w:color="auto"/>
            <w:right w:val="none" w:sz="0" w:space="0" w:color="auto"/>
          </w:divBdr>
          <w:divsChild>
            <w:div w:id="2104953288">
              <w:marLeft w:val="0"/>
              <w:marRight w:val="0"/>
              <w:marTop w:val="0"/>
              <w:marBottom w:val="0"/>
              <w:divBdr>
                <w:top w:val="none" w:sz="0" w:space="0" w:color="auto"/>
                <w:left w:val="none" w:sz="0" w:space="0" w:color="auto"/>
                <w:bottom w:val="none" w:sz="0" w:space="0" w:color="auto"/>
                <w:right w:val="none" w:sz="0" w:space="0" w:color="auto"/>
              </w:divBdr>
            </w:div>
            <w:div w:id="75135015">
              <w:marLeft w:val="0"/>
              <w:marRight w:val="0"/>
              <w:marTop w:val="0"/>
              <w:marBottom w:val="0"/>
              <w:divBdr>
                <w:top w:val="none" w:sz="0" w:space="0" w:color="auto"/>
                <w:left w:val="none" w:sz="0" w:space="0" w:color="auto"/>
                <w:bottom w:val="none" w:sz="0" w:space="0" w:color="auto"/>
                <w:right w:val="none" w:sz="0" w:space="0" w:color="auto"/>
              </w:divBdr>
              <w:divsChild>
                <w:div w:id="1020011954">
                  <w:marLeft w:val="0"/>
                  <w:marRight w:val="0"/>
                  <w:marTop w:val="0"/>
                  <w:marBottom w:val="0"/>
                  <w:divBdr>
                    <w:top w:val="none" w:sz="0" w:space="0" w:color="auto"/>
                    <w:left w:val="none" w:sz="0" w:space="0" w:color="auto"/>
                    <w:bottom w:val="none" w:sz="0" w:space="0" w:color="auto"/>
                    <w:right w:val="none" w:sz="0" w:space="0" w:color="auto"/>
                  </w:divBdr>
                </w:div>
                <w:div w:id="453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59896">
      <w:bodyDiv w:val="1"/>
      <w:marLeft w:val="0"/>
      <w:marRight w:val="0"/>
      <w:marTop w:val="0"/>
      <w:marBottom w:val="0"/>
      <w:divBdr>
        <w:top w:val="none" w:sz="0" w:space="0" w:color="auto"/>
        <w:left w:val="none" w:sz="0" w:space="0" w:color="auto"/>
        <w:bottom w:val="none" w:sz="0" w:space="0" w:color="auto"/>
        <w:right w:val="none" w:sz="0" w:space="0" w:color="auto"/>
      </w:divBdr>
      <w:divsChild>
        <w:div w:id="1302343464">
          <w:marLeft w:val="0"/>
          <w:marRight w:val="0"/>
          <w:marTop w:val="0"/>
          <w:marBottom w:val="0"/>
          <w:divBdr>
            <w:top w:val="none" w:sz="0" w:space="0" w:color="auto"/>
            <w:left w:val="none" w:sz="0" w:space="0" w:color="auto"/>
            <w:bottom w:val="none" w:sz="0" w:space="0" w:color="auto"/>
            <w:right w:val="none" w:sz="0" w:space="0" w:color="auto"/>
          </w:divBdr>
          <w:divsChild>
            <w:div w:id="1078556469">
              <w:marLeft w:val="0"/>
              <w:marRight w:val="0"/>
              <w:marTop w:val="0"/>
              <w:marBottom w:val="0"/>
              <w:divBdr>
                <w:top w:val="none" w:sz="0" w:space="0" w:color="auto"/>
                <w:left w:val="none" w:sz="0" w:space="0" w:color="auto"/>
                <w:bottom w:val="none" w:sz="0" w:space="0" w:color="auto"/>
                <w:right w:val="none" w:sz="0" w:space="0" w:color="auto"/>
              </w:divBdr>
            </w:div>
          </w:divsChild>
        </w:div>
        <w:div w:id="1899901487">
          <w:marLeft w:val="0"/>
          <w:marRight w:val="0"/>
          <w:marTop w:val="0"/>
          <w:marBottom w:val="0"/>
          <w:divBdr>
            <w:top w:val="none" w:sz="0" w:space="0" w:color="auto"/>
            <w:left w:val="none" w:sz="0" w:space="0" w:color="auto"/>
            <w:bottom w:val="none" w:sz="0" w:space="0" w:color="auto"/>
            <w:right w:val="none" w:sz="0" w:space="0" w:color="auto"/>
          </w:divBdr>
          <w:divsChild>
            <w:div w:id="1644890170">
              <w:marLeft w:val="0"/>
              <w:marRight w:val="0"/>
              <w:marTop w:val="0"/>
              <w:marBottom w:val="0"/>
              <w:divBdr>
                <w:top w:val="none" w:sz="0" w:space="0" w:color="auto"/>
                <w:left w:val="none" w:sz="0" w:space="0" w:color="auto"/>
                <w:bottom w:val="none" w:sz="0" w:space="0" w:color="auto"/>
                <w:right w:val="none" w:sz="0" w:space="0" w:color="auto"/>
              </w:divBdr>
            </w:div>
            <w:div w:id="234628832">
              <w:marLeft w:val="0"/>
              <w:marRight w:val="0"/>
              <w:marTop w:val="0"/>
              <w:marBottom w:val="0"/>
              <w:divBdr>
                <w:top w:val="none" w:sz="0" w:space="0" w:color="auto"/>
                <w:left w:val="none" w:sz="0" w:space="0" w:color="auto"/>
                <w:bottom w:val="none" w:sz="0" w:space="0" w:color="auto"/>
                <w:right w:val="none" w:sz="0" w:space="0" w:color="auto"/>
              </w:divBdr>
              <w:divsChild>
                <w:div w:id="863939">
                  <w:marLeft w:val="0"/>
                  <w:marRight w:val="0"/>
                  <w:marTop w:val="0"/>
                  <w:marBottom w:val="0"/>
                  <w:divBdr>
                    <w:top w:val="none" w:sz="0" w:space="0" w:color="auto"/>
                    <w:left w:val="none" w:sz="0" w:space="0" w:color="auto"/>
                    <w:bottom w:val="none" w:sz="0" w:space="0" w:color="auto"/>
                    <w:right w:val="none" w:sz="0" w:space="0" w:color="auto"/>
                  </w:divBdr>
                  <w:divsChild>
                    <w:div w:id="6451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4386">
      <w:bodyDiv w:val="1"/>
      <w:marLeft w:val="0"/>
      <w:marRight w:val="0"/>
      <w:marTop w:val="0"/>
      <w:marBottom w:val="0"/>
      <w:divBdr>
        <w:top w:val="none" w:sz="0" w:space="0" w:color="auto"/>
        <w:left w:val="none" w:sz="0" w:space="0" w:color="auto"/>
        <w:bottom w:val="none" w:sz="0" w:space="0" w:color="auto"/>
        <w:right w:val="none" w:sz="0" w:space="0" w:color="auto"/>
      </w:divBdr>
      <w:divsChild>
        <w:div w:id="1595624209">
          <w:marLeft w:val="0"/>
          <w:marRight w:val="0"/>
          <w:marTop w:val="0"/>
          <w:marBottom w:val="0"/>
          <w:divBdr>
            <w:top w:val="none" w:sz="0" w:space="0" w:color="auto"/>
            <w:left w:val="none" w:sz="0" w:space="0" w:color="auto"/>
            <w:bottom w:val="none" w:sz="0" w:space="0" w:color="auto"/>
            <w:right w:val="none" w:sz="0" w:space="0" w:color="auto"/>
          </w:divBdr>
          <w:divsChild>
            <w:div w:id="827329362">
              <w:marLeft w:val="0"/>
              <w:marRight w:val="0"/>
              <w:marTop w:val="0"/>
              <w:marBottom w:val="0"/>
              <w:divBdr>
                <w:top w:val="none" w:sz="0" w:space="0" w:color="auto"/>
                <w:left w:val="none" w:sz="0" w:space="0" w:color="auto"/>
                <w:bottom w:val="none" w:sz="0" w:space="0" w:color="auto"/>
                <w:right w:val="none" w:sz="0" w:space="0" w:color="auto"/>
              </w:divBdr>
              <w:divsChild>
                <w:div w:id="14456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2131">
      <w:bodyDiv w:val="1"/>
      <w:marLeft w:val="0"/>
      <w:marRight w:val="0"/>
      <w:marTop w:val="0"/>
      <w:marBottom w:val="0"/>
      <w:divBdr>
        <w:top w:val="none" w:sz="0" w:space="0" w:color="auto"/>
        <w:left w:val="none" w:sz="0" w:space="0" w:color="auto"/>
        <w:bottom w:val="none" w:sz="0" w:space="0" w:color="auto"/>
        <w:right w:val="none" w:sz="0" w:space="0" w:color="auto"/>
      </w:divBdr>
      <w:divsChild>
        <w:div w:id="1914925864">
          <w:marLeft w:val="0"/>
          <w:marRight w:val="0"/>
          <w:marTop w:val="0"/>
          <w:marBottom w:val="0"/>
          <w:divBdr>
            <w:top w:val="none" w:sz="0" w:space="0" w:color="auto"/>
            <w:left w:val="none" w:sz="0" w:space="0" w:color="auto"/>
            <w:bottom w:val="none" w:sz="0" w:space="0" w:color="auto"/>
            <w:right w:val="none" w:sz="0" w:space="0" w:color="auto"/>
          </w:divBdr>
          <w:divsChild>
            <w:div w:id="708066311">
              <w:marLeft w:val="0"/>
              <w:marRight w:val="0"/>
              <w:marTop w:val="0"/>
              <w:marBottom w:val="0"/>
              <w:divBdr>
                <w:top w:val="none" w:sz="0" w:space="0" w:color="auto"/>
                <w:left w:val="none" w:sz="0" w:space="0" w:color="auto"/>
                <w:bottom w:val="none" w:sz="0" w:space="0" w:color="auto"/>
                <w:right w:val="none" w:sz="0" w:space="0" w:color="auto"/>
              </w:divBdr>
              <w:divsChild>
                <w:div w:id="11164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2260">
      <w:bodyDiv w:val="1"/>
      <w:marLeft w:val="0"/>
      <w:marRight w:val="0"/>
      <w:marTop w:val="0"/>
      <w:marBottom w:val="0"/>
      <w:divBdr>
        <w:top w:val="none" w:sz="0" w:space="0" w:color="auto"/>
        <w:left w:val="none" w:sz="0" w:space="0" w:color="auto"/>
        <w:bottom w:val="none" w:sz="0" w:space="0" w:color="auto"/>
        <w:right w:val="none" w:sz="0" w:space="0" w:color="auto"/>
      </w:divBdr>
      <w:divsChild>
        <w:div w:id="731927721">
          <w:marLeft w:val="0"/>
          <w:marRight w:val="0"/>
          <w:marTop w:val="0"/>
          <w:marBottom w:val="0"/>
          <w:divBdr>
            <w:top w:val="none" w:sz="0" w:space="0" w:color="auto"/>
            <w:left w:val="none" w:sz="0" w:space="0" w:color="auto"/>
            <w:bottom w:val="none" w:sz="0" w:space="0" w:color="auto"/>
            <w:right w:val="none" w:sz="0" w:space="0" w:color="auto"/>
          </w:divBdr>
          <w:divsChild>
            <w:div w:id="601257426">
              <w:marLeft w:val="0"/>
              <w:marRight w:val="0"/>
              <w:marTop w:val="0"/>
              <w:marBottom w:val="0"/>
              <w:divBdr>
                <w:top w:val="none" w:sz="0" w:space="0" w:color="auto"/>
                <w:left w:val="none" w:sz="0" w:space="0" w:color="auto"/>
                <w:bottom w:val="none" w:sz="0" w:space="0" w:color="auto"/>
                <w:right w:val="none" w:sz="0" w:space="0" w:color="auto"/>
              </w:divBdr>
            </w:div>
          </w:divsChild>
        </w:div>
        <w:div w:id="414672482">
          <w:marLeft w:val="0"/>
          <w:marRight w:val="0"/>
          <w:marTop w:val="0"/>
          <w:marBottom w:val="0"/>
          <w:divBdr>
            <w:top w:val="none" w:sz="0" w:space="0" w:color="auto"/>
            <w:left w:val="none" w:sz="0" w:space="0" w:color="auto"/>
            <w:bottom w:val="none" w:sz="0" w:space="0" w:color="auto"/>
            <w:right w:val="none" w:sz="0" w:space="0" w:color="auto"/>
          </w:divBdr>
          <w:divsChild>
            <w:div w:id="2140219166">
              <w:marLeft w:val="0"/>
              <w:marRight w:val="0"/>
              <w:marTop w:val="0"/>
              <w:marBottom w:val="0"/>
              <w:divBdr>
                <w:top w:val="none" w:sz="0" w:space="0" w:color="auto"/>
                <w:left w:val="none" w:sz="0" w:space="0" w:color="auto"/>
                <w:bottom w:val="none" w:sz="0" w:space="0" w:color="auto"/>
                <w:right w:val="none" w:sz="0" w:space="0" w:color="auto"/>
              </w:divBdr>
            </w:div>
            <w:div w:id="1525167525">
              <w:marLeft w:val="0"/>
              <w:marRight w:val="0"/>
              <w:marTop w:val="0"/>
              <w:marBottom w:val="0"/>
              <w:divBdr>
                <w:top w:val="none" w:sz="0" w:space="0" w:color="auto"/>
                <w:left w:val="none" w:sz="0" w:space="0" w:color="auto"/>
                <w:bottom w:val="none" w:sz="0" w:space="0" w:color="auto"/>
                <w:right w:val="none" w:sz="0" w:space="0" w:color="auto"/>
              </w:divBdr>
              <w:divsChild>
                <w:div w:id="867917242">
                  <w:marLeft w:val="0"/>
                  <w:marRight w:val="0"/>
                  <w:marTop w:val="0"/>
                  <w:marBottom w:val="0"/>
                  <w:divBdr>
                    <w:top w:val="none" w:sz="0" w:space="0" w:color="auto"/>
                    <w:left w:val="none" w:sz="0" w:space="0" w:color="auto"/>
                    <w:bottom w:val="none" w:sz="0" w:space="0" w:color="auto"/>
                    <w:right w:val="none" w:sz="0" w:space="0" w:color="auto"/>
                  </w:divBdr>
                  <w:divsChild>
                    <w:div w:id="194118541">
                      <w:marLeft w:val="0"/>
                      <w:marRight w:val="0"/>
                      <w:marTop w:val="0"/>
                      <w:marBottom w:val="0"/>
                      <w:divBdr>
                        <w:top w:val="none" w:sz="0" w:space="0" w:color="auto"/>
                        <w:left w:val="none" w:sz="0" w:space="0" w:color="auto"/>
                        <w:bottom w:val="none" w:sz="0" w:space="0" w:color="auto"/>
                        <w:right w:val="none" w:sz="0" w:space="0" w:color="auto"/>
                      </w:divBdr>
                      <w:divsChild>
                        <w:div w:id="11162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47802">
      <w:bodyDiv w:val="1"/>
      <w:marLeft w:val="0"/>
      <w:marRight w:val="0"/>
      <w:marTop w:val="0"/>
      <w:marBottom w:val="0"/>
      <w:divBdr>
        <w:top w:val="none" w:sz="0" w:space="0" w:color="auto"/>
        <w:left w:val="none" w:sz="0" w:space="0" w:color="auto"/>
        <w:bottom w:val="none" w:sz="0" w:space="0" w:color="auto"/>
        <w:right w:val="none" w:sz="0" w:space="0" w:color="auto"/>
      </w:divBdr>
    </w:div>
    <w:div w:id="1844053583">
      <w:bodyDiv w:val="1"/>
      <w:marLeft w:val="0"/>
      <w:marRight w:val="0"/>
      <w:marTop w:val="0"/>
      <w:marBottom w:val="0"/>
      <w:divBdr>
        <w:top w:val="none" w:sz="0" w:space="0" w:color="auto"/>
        <w:left w:val="none" w:sz="0" w:space="0" w:color="auto"/>
        <w:bottom w:val="none" w:sz="0" w:space="0" w:color="auto"/>
        <w:right w:val="none" w:sz="0" w:space="0" w:color="auto"/>
      </w:divBdr>
      <w:divsChild>
        <w:div w:id="1014919731">
          <w:marLeft w:val="0"/>
          <w:marRight w:val="0"/>
          <w:marTop w:val="0"/>
          <w:marBottom w:val="0"/>
          <w:divBdr>
            <w:top w:val="none" w:sz="0" w:space="0" w:color="auto"/>
            <w:left w:val="none" w:sz="0" w:space="0" w:color="auto"/>
            <w:bottom w:val="none" w:sz="0" w:space="0" w:color="auto"/>
            <w:right w:val="none" w:sz="0" w:space="0" w:color="auto"/>
          </w:divBdr>
          <w:divsChild>
            <w:div w:id="1668744514">
              <w:marLeft w:val="0"/>
              <w:marRight w:val="0"/>
              <w:marTop w:val="0"/>
              <w:marBottom w:val="0"/>
              <w:divBdr>
                <w:top w:val="none" w:sz="0" w:space="0" w:color="auto"/>
                <w:left w:val="none" w:sz="0" w:space="0" w:color="auto"/>
                <w:bottom w:val="none" w:sz="0" w:space="0" w:color="auto"/>
                <w:right w:val="none" w:sz="0" w:space="0" w:color="auto"/>
              </w:divBdr>
            </w:div>
          </w:divsChild>
        </w:div>
        <w:div w:id="820776163">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none" w:sz="0" w:space="0" w:color="auto"/>
                <w:right w:val="none" w:sz="0" w:space="0" w:color="auto"/>
              </w:divBdr>
            </w:div>
            <w:div w:id="1139034338">
              <w:marLeft w:val="0"/>
              <w:marRight w:val="0"/>
              <w:marTop w:val="0"/>
              <w:marBottom w:val="0"/>
              <w:divBdr>
                <w:top w:val="none" w:sz="0" w:space="0" w:color="auto"/>
                <w:left w:val="none" w:sz="0" w:space="0" w:color="auto"/>
                <w:bottom w:val="none" w:sz="0" w:space="0" w:color="auto"/>
                <w:right w:val="none" w:sz="0" w:space="0" w:color="auto"/>
              </w:divBdr>
              <w:divsChild>
                <w:div w:id="2138138126">
                  <w:marLeft w:val="0"/>
                  <w:marRight w:val="0"/>
                  <w:marTop w:val="0"/>
                  <w:marBottom w:val="0"/>
                  <w:divBdr>
                    <w:top w:val="none" w:sz="0" w:space="0" w:color="auto"/>
                    <w:left w:val="none" w:sz="0" w:space="0" w:color="auto"/>
                    <w:bottom w:val="none" w:sz="0" w:space="0" w:color="auto"/>
                    <w:right w:val="none" w:sz="0" w:space="0" w:color="auto"/>
                  </w:divBdr>
                  <w:divsChild>
                    <w:div w:id="16036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15976">
      <w:bodyDiv w:val="1"/>
      <w:marLeft w:val="0"/>
      <w:marRight w:val="0"/>
      <w:marTop w:val="0"/>
      <w:marBottom w:val="0"/>
      <w:divBdr>
        <w:top w:val="none" w:sz="0" w:space="0" w:color="auto"/>
        <w:left w:val="none" w:sz="0" w:space="0" w:color="auto"/>
        <w:bottom w:val="none" w:sz="0" w:space="0" w:color="auto"/>
        <w:right w:val="none" w:sz="0" w:space="0" w:color="auto"/>
      </w:divBdr>
      <w:divsChild>
        <w:div w:id="1148322459">
          <w:marLeft w:val="0"/>
          <w:marRight w:val="0"/>
          <w:marTop w:val="0"/>
          <w:marBottom w:val="0"/>
          <w:divBdr>
            <w:top w:val="none" w:sz="0" w:space="0" w:color="auto"/>
            <w:left w:val="none" w:sz="0" w:space="0" w:color="auto"/>
            <w:bottom w:val="none" w:sz="0" w:space="0" w:color="auto"/>
            <w:right w:val="none" w:sz="0" w:space="0" w:color="auto"/>
          </w:divBdr>
          <w:divsChild>
            <w:div w:id="971406707">
              <w:marLeft w:val="0"/>
              <w:marRight w:val="0"/>
              <w:marTop w:val="0"/>
              <w:marBottom w:val="0"/>
              <w:divBdr>
                <w:top w:val="none" w:sz="0" w:space="0" w:color="auto"/>
                <w:left w:val="none" w:sz="0" w:space="0" w:color="auto"/>
                <w:bottom w:val="none" w:sz="0" w:space="0" w:color="auto"/>
                <w:right w:val="none" w:sz="0" w:space="0" w:color="auto"/>
              </w:divBdr>
              <w:divsChild>
                <w:div w:id="4687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72628">
      <w:bodyDiv w:val="1"/>
      <w:marLeft w:val="0"/>
      <w:marRight w:val="0"/>
      <w:marTop w:val="0"/>
      <w:marBottom w:val="0"/>
      <w:divBdr>
        <w:top w:val="none" w:sz="0" w:space="0" w:color="auto"/>
        <w:left w:val="none" w:sz="0" w:space="0" w:color="auto"/>
        <w:bottom w:val="none" w:sz="0" w:space="0" w:color="auto"/>
        <w:right w:val="none" w:sz="0" w:space="0" w:color="auto"/>
      </w:divBdr>
      <w:divsChild>
        <w:div w:id="958487112">
          <w:marLeft w:val="0"/>
          <w:marRight w:val="0"/>
          <w:marTop w:val="0"/>
          <w:marBottom w:val="0"/>
          <w:divBdr>
            <w:top w:val="none" w:sz="0" w:space="0" w:color="auto"/>
            <w:left w:val="none" w:sz="0" w:space="0" w:color="auto"/>
            <w:bottom w:val="none" w:sz="0" w:space="0" w:color="auto"/>
            <w:right w:val="none" w:sz="0" w:space="0" w:color="auto"/>
          </w:divBdr>
          <w:divsChild>
            <w:div w:id="605886847">
              <w:marLeft w:val="0"/>
              <w:marRight w:val="0"/>
              <w:marTop w:val="0"/>
              <w:marBottom w:val="0"/>
              <w:divBdr>
                <w:top w:val="none" w:sz="0" w:space="0" w:color="auto"/>
                <w:left w:val="none" w:sz="0" w:space="0" w:color="auto"/>
                <w:bottom w:val="none" w:sz="0" w:space="0" w:color="auto"/>
                <w:right w:val="none" w:sz="0" w:space="0" w:color="auto"/>
              </w:divBdr>
            </w:div>
          </w:divsChild>
        </w:div>
        <w:div w:id="342784275">
          <w:marLeft w:val="0"/>
          <w:marRight w:val="0"/>
          <w:marTop w:val="0"/>
          <w:marBottom w:val="0"/>
          <w:divBdr>
            <w:top w:val="none" w:sz="0" w:space="0" w:color="auto"/>
            <w:left w:val="none" w:sz="0" w:space="0" w:color="auto"/>
            <w:bottom w:val="none" w:sz="0" w:space="0" w:color="auto"/>
            <w:right w:val="none" w:sz="0" w:space="0" w:color="auto"/>
          </w:divBdr>
          <w:divsChild>
            <w:div w:id="1877348798">
              <w:marLeft w:val="0"/>
              <w:marRight w:val="0"/>
              <w:marTop w:val="0"/>
              <w:marBottom w:val="0"/>
              <w:divBdr>
                <w:top w:val="none" w:sz="0" w:space="0" w:color="auto"/>
                <w:left w:val="none" w:sz="0" w:space="0" w:color="auto"/>
                <w:bottom w:val="none" w:sz="0" w:space="0" w:color="auto"/>
                <w:right w:val="none" w:sz="0" w:space="0" w:color="auto"/>
              </w:divBdr>
            </w:div>
            <w:div w:id="396709997">
              <w:marLeft w:val="0"/>
              <w:marRight w:val="0"/>
              <w:marTop w:val="0"/>
              <w:marBottom w:val="0"/>
              <w:divBdr>
                <w:top w:val="none" w:sz="0" w:space="0" w:color="auto"/>
                <w:left w:val="none" w:sz="0" w:space="0" w:color="auto"/>
                <w:bottom w:val="none" w:sz="0" w:space="0" w:color="auto"/>
                <w:right w:val="none" w:sz="0" w:space="0" w:color="auto"/>
              </w:divBdr>
              <w:divsChild>
                <w:div w:id="302387512">
                  <w:marLeft w:val="0"/>
                  <w:marRight w:val="0"/>
                  <w:marTop w:val="0"/>
                  <w:marBottom w:val="0"/>
                  <w:divBdr>
                    <w:top w:val="none" w:sz="0" w:space="0" w:color="auto"/>
                    <w:left w:val="none" w:sz="0" w:space="0" w:color="auto"/>
                    <w:bottom w:val="none" w:sz="0" w:space="0" w:color="auto"/>
                    <w:right w:val="none" w:sz="0" w:space="0" w:color="auto"/>
                  </w:divBdr>
                  <w:divsChild>
                    <w:div w:id="279606634">
                      <w:marLeft w:val="0"/>
                      <w:marRight w:val="0"/>
                      <w:marTop w:val="0"/>
                      <w:marBottom w:val="0"/>
                      <w:divBdr>
                        <w:top w:val="none" w:sz="0" w:space="0" w:color="auto"/>
                        <w:left w:val="none" w:sz="0" w:space="0" w:color="auto"/>
                        <w:bottom w:val="none" w:sz="0" w:space="0" w:color="auto"/>
                        <w:right w:val="none" w:sz="0" w:space="0" w:color="auto"/>
                      </w:divBdr>
                      <w:divsChild>
                        <w:div w:id="1141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arent.LoadPage('2');" TargetMode="External"/><Relationship Id="rId13" Type="http://schemas.openxmlformats.org/officeDocument/2006/relationships/hyperlink" Target="javascript:parent.LoadPage('18');" TargetMode="External"/><Relationship Id="rId18" Type="http://schemas.openxmlformats.org/officeDocument/2006/relationships/hyperlink" Target="https://www.sbr.gov.au/content/LearningModules/M07/media/figure2.pdf" TargetMode="External"/><Relationship Id="rId26"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hyperlink" Target="javascript:parent.LoadPage('1');" TargetMode="External"/><Relationship Id="rId12" Type="http://schemas.openxmlformats.org/officeDocument/2006/relationships/hyperlink" Target="javascript:parent.LoadPage('16');" TargetMode="External"/><Relationship Id="rId17" Type="http://schemas.openxmlformats.org/officeDocument/2006/relationships/image" Target="media/image2.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s://www.sbr.gov.au/content/LearningModules/M07/media/figure2a.pdf" TargetMode="External"/><Relationship Id="rId29" Type="http://schemas.openxmlformats.org/officeDocument/2006/relationships/hyperlink" Target="http://www.sbr.gov.au/en/Developers/SBR_Taxonomy.aspx" TargetMode="External"/><Relationship Id="rId1" Type="http://schemas.openxmlformats.org/officeDocument/2006/relationships/numbering" Target="numbering.xml"/><Relationship Id="rId6" Type="http://schemas.openxmlformats.org/officeDocument/2006/relationships/hyperlink" Target="javascript:parent.LoadPage('0');" TargetMode="External"/><Relationship Id="rId11" Type="http://schemas.openxmlformats.org/officeDocument/2006/relationships/hyperlink" Target="javascript:parent.LoadPage('10');" TargetMode="External"/><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parent.LoadPage('20');" TargetMode="External"/><Relationship Id="rId23" Type="http://schemas.openxmlformats.org/officeDocument/2006/relationships/image" Target="media/image6.png"/><Relationship Id="rId28" Type="http://schemas.openxmlformats.org/officeDocument/2006/relationships/hyperlink" Target="http://www.sbr.gov.au" TargetMode="External"/><Relationship Id="rId10" Type="http://schemas.openxmlformats.org/officeDocument/2006/relationships/hyperlink" Target="javascript:parent.LoadPage('7');"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parent.LoadPage('6');" TargetMode="External"/><Relationship Id="rId14" Type="http://schemas.openxmlformats.org/officeDocument/2006/relationships/hyperlink" Target="javascript:parent.LoadPage('19');" TargetMode="External"/><Relationship Id="rId22" Type="http://schemas.openxmlformats.org/officeDocument/2006/relationships/image" Target="media/image5.jpeg"/><Relationship Id="rId27" Type="http://schemas.openxmlformats.org/officeDocument/2006/relationships/hyperlink" Target="http://www.xbrl.org/Specification/XBRL-RECOMMENDATION-2003-12-31+Corrected-Errata-2008-07-02.rtf" TargetMode="External"/><Relationship Id="rId30" Type="http://schemas.openxmlformats.org/officeDocument/2006/relationships/hyperlink" Target="https://www.sbr.gov.au/content/LearningModules/M07/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1</cp:revision>
  <dcterms:created xsi:type="dcterms:W3CDTF">2012-04-13T16:17:00Z</dcterms:created>
  <dcterms:modified xsi:type="dcterms:W3CDTF">2012-04-13T16:41:00Z</dcterms:modified>
</cp:coreProperties>
</file>