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D304" w14:textId="77777777" w:rsidR="00EF303A" w:rsidRDefault="00D24483">
      <w:pPr>
        <w:spacing w:line="288" w:lineRule="auto"/>
        <w:jc w:val="center"/>
      </w:pPr>
      <w:r>
        <w:rPr>
          <w:noProof/>
        </w:rPr>
        <w:drawing>
          <wp:inline distT="0" distB="0" distL="0" distR="0" wp14:anchorId="35261CF3" wp14:editId="1231676E">
            <wp:extent cx="2546350" cy="238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2546350" cy="2387600"/>
                    </a:xfrm>
                    <a:prstGeom prst="rect">
                      <a:avLst/>
                    </a:prstGeom>
                  </pic:spPr>
                </pic:pic>
              </a:graphicData>
            </a:graphic>
          </wp:inline>
        </w:drawing>
      </w:r>
    </w:p>
    <w:p w14:paraId="7D3EFDE4" w14:textId="77777777" w:rsidR="00EF303A" w:rsidRDefault="00EF303A">
      <w:pPr>
        <w:spacing w:line="288" w:lineRule="auto"/>
        <w:jc w:val="both"/>
      </w:pPr>
    </w:p>
    <w:p w14:paraId="749F11EE" w14:textId="77777777" w:rsidR="00EF303A" w:rsidRDefault="00EF303A">
      <w:pPr>
        <w:spacing w:line="288" w:lineRule="auto"/>
        <w:jc w:val="both"/>
        <w:rPr>
          <w:sz w:val="28"/>
          <w:szCs w:val="28"/>
        </w:rPr>
      </w:pPr>
    </w:p>
    <w:p w14:paraId="157FCC47" w14:textId="77777777" w:rsidR="00EF303A" w:rsidRDefault="00D24483">
      <w:pPr>
        <w:spacing w:after="100" w:line="288" w:lineRule="auto"/>
        <w:jc w:val="center"/>
        <w:rPr>
          <w:sz w:val="28"/>
          <w:szCs w:val="28"/>
        </w:rPr>
      </w:pPr>
      <w:r>
        <w:rPr>
          <w:b/>
          <w:bCs/>
          <w:sz w:val="32"/>
          <w:szCs w:val="32"/>
        </w:rPr>
        <w:t>ESCUELA INTERNACIONAL DE DOCTORADO</w:t>
      </w:r>
    </w:p>
    <w:p w14:paraId="62CC7A29" w14:textId="77777777" w:rsidR="00EF303A" w:rsidRDefault="00D24483">
      <w:pPr>
        <w:spacing w:after="400" w:line="288" w:lineRule="auto"/>
        <w:jc w:val="center"/>
        <w:rPr>
          <w:sz w:val="28"/>
          <w:szCs w:val="28"/>
        </w:rPr>
      </w:pPr>
      <w:r>
        <w:rPr>
          <w:sz w:val="28"/>
          <w:szCs w:val="28"/>
        </w:rPr>
        <w:t>Programa de Doctorado Tecnologías de la Computación e Ingeniería Ambiental</w:t>
      </w:r>
    </w:p>
    <w:p w14:paraId="597763D7" w14:textId="77777777" w:rsidR="00EF303A" w:rsidRDefault="00EF303A">
      <w:pPr>
        <w:spacing w:line="288" w:lineRule="auto"/>
        <w:jc w:val="both"/>
        <w:rPr>
          <w:sz w:val="28"/>
          <w:szCs w:val="28"/>
        </w:rPr>
      </w:pPr>
    </w:p>
    <w:p w14:paraId="543E0CFD" w14:textId="77777777" w:rsidR="00EF303A" w:rsidRDefault="00426BFA">
      <w:pPr>
        <w:spacing w:after="500" w:line="288" w:lineRule="auto"/>
        <w:jc w:val="center"/>
        <w:rPr>
          <w:sz w:val="28"/>
          <w:szCs w:val="28"/>
        </w:rPr>
      </w:pPr>
      <w:r>
        <w:rPr>
          <w:b/>
          <w:bCs/>
          <w:sz w:val="36"/>
          <w:szCs w:val="36"/>
        </w:rPr>
        <w:t>Contribuciones a la detección de anomalías en sistemas de control industrial de infraestructuras hídricas mediante técnicas de Inteligencia Artificial</w:t>
      </w:r>
    </w:p>
    <w:p w14:paraId="6B85369A" w14:textId="77777777" w:rsidR="00EF303A" w:rsidRDefault="00EF303A">
      <w:pPr>
        <w:spacing w:line="288" w:lineRule="auto"/>
        <w:jc w:val="both"/>
        <w:rPr>
          <w:sz w:val="28"/>
          <w:szCs w:val="28"/>
        </w:rPr>
      </w:pPr>
    </w:p>
    <w:p w14:paraId="708C92FA" w14:textId="77777777" w:rsidR="00EF303A" w:rsidRDefault="00D24483">
      <w:pPr>
        <w:spacing w:after="50" w:line="288" w:lineRule="auto"/>
        <w:jc w:val="center"/>
        <w:rPr>
          <w:sz w:val="28"/>
          <w:szCs w:val="28"/>
        </w:rPr>
      </w:pPr>
      <w:r>
        <w:rPr>
          <w:b/>
          <w:bCs/>
          <w:sz w:val="28"/>
          <w:szCs w:val="28"/>
        </w:rPr>
        <w:t>Autor:</w:t>
      </w:r>
    </w:p>
    <w:p w14:paraId="5BEF635A" w14:textId="77777777" w:rsidR="00EF303A" w:rsidRDefault="00D24483">
      <w:pPr>
        <w:spacing w:after="300" w:line="288" w:lineRule="auto"/>
        <w:jc w:val="center"/>
        <w:rPr>
          <w:sz w:val="28"/>
          <w:szCs w:val="28"/>
        </w:rPr>
      </w:pPr>
      <w:r>
        <w:rPr>
          <w:sz w:val="28"/>
          <w:szCs w:val="28"/>
        </w:rPr>
        <w:t>David Palazón Palau</w:t>
      </w:r>
    </w:p>
    <w:p w14:paraId="09C34825" w14:textId="77777777" w:rsidR="00EF303A" w:rsidRDefault="00D24483">
      <w:pPr>
        <w:spacing w:after="50" w:line="288" w:lineRule="auto"/>
        <w:jc w:val="center"/>
        <w:rPr>
          <w:sz w:val="28"/>
          <w:szCs w:val="28"/>
        </w:rPr>
      </w:pPr>
      <w:r>
        <w:rPr>
          <w:b/>
          <w:bCs/>
          <w:sz w:val="28"/>
          <w:szCs w:val="28"/>
        </w:rPr>
        <w:t>Directores:</w:t>
      </w:r>
    </w:p>
    <w:p w14:paraId="23B35BC1" w14:textId="77777777" w:rsidR="00EF303A" w:rsidRDefault="00D24483" w:rsidP="00415FD0">
      <w:pPr>
        <w:spacing w:after="400"/>
        <w:jc w:val="center"/>
        <w:rPr>
          <w:sz w:val="28"/>
          <w:szCs w:val="28"/>
        </w:rPr>
      </w:pPr>
      <w:r>
        <w:rPr>
          <w:sz w:val="28"/>
          <w:szCs w:val="28"/>
        </w:rPr>
        <w:t>Dr. D. Juan Miguel Navarro Ruiz</w:t>
      </w:r>
    </w:p>
    <w:p w14:paraId="32D3CA50" w14:textId="77777777" w:rsidR="00415FD0" w:rsidRDefault="00415FD0" w:rsidP="00415FD0">
      <w:pPr>
        <w:spacing w:after="400"/>
        <w:jc w:val="center"/>
        <w:rPr>
          <w:sz w:val="28"/>
          <w:szCs w:val="28"/>
        </w:rPr>
      </w:pPr>
      <w:r>
        <w:rPr>
          <w:sz w:val="28"/>
          <w:szCs w:val="28"/>
        </w:rPr>
        <w:t>Dr. D. Antonio Pita Lozano</w:t>
      </w:r>
    </w:p>
    <w:p w14:paraId="020538AE" w14:textId="77777777" w:rsidR="00EF303A" w:rsidRDefault="00EF303A">
      <w:pPr>
        <w:spacing w:line="288" w:lineRule="auto"/>
        <w:jc w:val="both"/>
      </w:pPr>
    </w:p>
    <w:p w14:paraId="1D5C27FB" w14:textId="770E9ED4" w:rsidR="00EF303A" w:rsidRDefault="00D24483">
      <w:pPr>
        <w:spacing w:after="200" w:line="288" w:lineRule="auto"/>
        <w:jc w:val="center"/>
        <w:sectPr w:rsidR="00EF303A">
          <w:pgSz w:w="11906" w:h="16838"/>
          <w:pgMar w:top="1440" w:right="1440" w:bottom="1440" w:left="1440" w:header="0" w:footer="0" w:gutter="0"/>
          <w:cols w:space="720"/>
          <w:formProt w:val="0"/>
          <w:docGrid w:linePitch="360"/>
        </w:sectPr>
      </w:pPr>
      <w:r>
        <w:rPr>
          <w:sz w:val="28"/>
          <w:szCs w:val="28"/>
        </w:rPr>
        <w:t>Murcia, Junio de 2026</w:t>
      </w:r>
    </w:p>
    <w:p w14:paraId="73768793" w14:textId="77777777" w:rsidR="00EF303A" w:rsidRDefault="00D24483">
      <w:pPr>
        <w:pStyle w:val="Ttulo1"/>
        <w:spacing w:line="288" w:lineRule="auto"/>
      </w:pPr>
      <w:r>
        <w:lastRenderedPageBreak/>
        <w:t>Índice de contenidos</w:t>
      </w:r>
    </w:p>
    <w:p w14:paraId="253BF682" w14:textId="77777777" w:rsidR="00EF303A" w:rsidRDefault="00D24483">
      <w:pPr>
        <w:spacing w:after="80" w:line="288" w:lineRule="auto"/>
      </w:pPr>
      <w:r>
        <w:rPr>
          <w:b/>
        </w:rPr>
        <w:t>1. Resumen del proyecto de tesis</w:t>
      </w:r>
    </w:p>
    <w:p w14:paraId="086CA67B" w14:textId="77777777" w:rsidR="00EF303A" w:rsidRDefault="00D24483">
      <w:pPr>
        <w:spacing w:after="80" w:line="288" w:lineRule="auto"/>
      </w:pPr>
      <w:r>
        <w:rPr>
          <w:b/>
        </w:rPr>
        <w:t>2. Objetivos científicos que se persiguen</w:t>
      </w:r>
    </w:p>
    <w:p w14:paraId="4B3B7A93" w14:textId="77777777" w:rsidR="00EF303A" w:rsidRDefault="00D24483">
      <w:pPr>
        <w:spacing w:after="80" w:line="288" w:lineRule="auto"/>
      </w:pPr>
      <w:r>
        <w:rPr>
          <w:b/>
        </w:rPr>
        <w:t>3. Introducción y estado del tema</w:t>
      </w:r>
    </w:p>
    <w:p w14:paraId="43DA3497" w14:textId="77777777" w:rsidR="00EF303A" w:rsidRDefault="00D24483">
      <w:pPr>
        <w:spacing w:after="80" w:line="288" w:lineRule="auto"/>
        <w:ind w:left="440"/>
      </w:pPr>
      <w:r>
        <w:t>3.1. Justificación</w:t>
      </w:r>
    </w:p>
    <w:p w14:paraId="252060DF" w14:textId="77777777" w:rsidR="00506561" w:rsidRDefault="00D24483">
      <w:pPr>
        <w:spacing w:after="80" w:line="288" w:lineRule="auto"/>
        <w:ind w:left="440"/>
      </w:pPr>
      <w:r>
        <w:t>3.2. Infraestructuras hídricas críticas y su ciberseguridad</w:t>
      </w:r>
    </w:p>
    <w:p w14:paraId="66310095" w14:textId="77777777" w:rsidR="00506561" w:rsidRDefault="00D24483">
      <w:pPr>
        <w:spacing w:after="80" w:line="288" w:lineRule="auto"/>
        <w:ind w:left="440"/>
      </w:pPr>
      <w:r>
        <w:t>3.3. Técnicas de Inteligencia Artificial para la detección de anomalías en ICS</w:t>
      </w:r>
    </w:p>
    <w:p w14:paraId="00F04F77" w14:textId="77777777" w:rsidR="00506561" w:rsidRDefault="00D24483">
      <w:pPr>
        <w:spacing w:after="80" w:line="288" w:lineRule="auto"/>
        <w:ind w:left="440"/>
      </w:pPr>
      <w:r>
        <w:t>3.4. Detección fiable y evaluación rigurosa</w:t>
      </w:r>
    </w:p>
    <w:p w14:paraId="1E253AF6" w14:textId="77777777" w:rsidR="00506561" w:rsidRDefault="00D24483">
      <w:pPr>
        <w:spacing w:after="80" w:line="288" w:lineRule="auto"/>
        <w:ind w:left="440"/>
      </w:pPr>
      <w:r>
        <w:t>3.5. Deriva, contexto operativo y robustez</w:t>
      </w:r>
    </w:p>
    <w:p w14:paraId="1553A1B9" w14:textId="77777777" w:rsidR="00506561" w:rsidRDefault="00D24483">
      <w:pPr>
        <w:spacing w:after="80" w:line="288" w:lineRule="auto"/>
        <w:ind w:left="440"/>
      </w:pPr>
      <w:r>
        <w:t>3.6. Explicabilidad de las alarmas</w:t>
      </w:r>
    </w:p>
    <w:p w14:paraId="446FF795" w14:textId="77777777" w:rsidR="00506561" w:rsidRDefault="00D24483">
      <w:pPr>
        <w:spacing w:after="80" w:line="288" w:lineRule="auto"/>
        <w:ind w:left="440"/>
      </w:pPr>
      <w:r>
        <w:t>3.7. Estructuración del contexto y viabilidad de despliegue</w:t>
      </w:r>
    </w:p>
    <w:p w14:paraId="1679E842" w14:textId="77777777" w:rsidR="00EF303A" w:rsidRDefault="00D24483">
      <w:pPr>
        <w:spacing w:after="80" w:line="288" w:lineRule="auto"/>
      </w:pPr>
      <w:r>
        <w:rPr>
          <w:b/>
        </w:rPr>
        <w:t>4. Metodología y plan de trabajo previsto</w:t>
      </w:r>
    </w:p>
    <w:p w14:paraId="5DCFF4F5" w14:textId="77777777" w:rsidR="00EF303A" w:rsidRDefault="00D24483">
      <w:pPr>
        <w:spacing w:after="80" w:line="288" w:lineRule="auto"/>
        <w:ind w:left="440"/>
      </w:pPr>
      <w:r>
        <w:t>4.1. Marco metodológico</w:t>
      </w:r>
    </w:p>
    <w:p w14:paraId="0DF531B3" w14:textId="77777777" w:rsidR="00EF303A" w:rsidRDefault="00D24483">
      <w:pPr>
        <w:spacing w:after="80" w:line="288" w:lineRule="auto"/>
        <w:ind w:left="440"/>
      </w:pPr>
      <w:r>
        <w:t>4.2. Diseño experimental</w:t>
      </w:r>
    </w:p>
    <w:p w14:paraId="12805993" w14:textId="77777777" w:rsidR="00EF303A" w:rsidRDefault="00D24483">
      <w:pPr>
        <w:spacing w:after="80" w:line="288" w:lineRule="auto"/>
        <w:ind w:left="440"/>
      </w:pPr>
      <w:r>
        <w:t>4.3. Organización del trabajo: corrientes continuas y líneas de experimentación</w:t>
      </w:r>
    </w:p>
    <w:p w14:paraId="1D9F8260" w14:textId="77777777" w:rsidR="00EF303A" w:rsidRDefault="00D24483">
      <w:pPr>
        <w:spacing w:after="80" w:line="288" w:lineRule="auto"/>
        <w:ind w:left="440"/>
      </w:pPr>
      <w:r>
        <w:t>4.4. Cronograma y duración prevista</w:t>
      </w:r>
    </w:p>
    <w:p w14:paraId="0B5958D2" w14:textId="77777777" w:rsidR="00EF303A" w:rsidRDefault="00D24483">
      <w:pPr>
        <w:spacing w:after="80" w:line="288" w:lineRule="auto"/>
        <w:ind w:left="440"/>
      </w:pPr>
      <w:r>
        <w:t>4.5. Instalaciones, instrumentos y técnicas disponibles</w:t>
      </w:r>
    </w:p>
    <w:p w14:paraId="60F9230F" w14:textId="77777777" w:rsidR="00EF303A" w:rsidRDefault="00D24483">
      <w:pPr>
        <w:spacing w:after="80" w:line="288" w:lineRule="auto"/>
      </w:pPr>
      <w:r>
        <w:rPr>
          <w:b/>
        </w:rPr>
        <w:t>5. Interés científico del proyecto</w:t>
      </w:r>
    </w:p>
    <w:p w14:paraId="50C2DB4D" w14:textId="77777777" w:rsidR="00EF303A" w:rsidRDefault="00D24483">
      <w:pPr>
        <w:spacing w:after="80" w:line="288" w:lineRule="auto"/>
      </w:pPr>
      <w:r>
        <w:rPr>
          <w:b/>
        </w:rPr>
        <w:t>6. Bibliografía consultada</w:t>
      </w:r>
    </w:p>
    <w:p w14:paraId="5E64058B" w14:textId="77777777" w:rsidR="00EF303A" w:rsidRDefault="00D24483">
      <w:r>
        <w:br w:type="page"/>
      </w:r>
    </w:p>
    <w:p w14:paraId="3E3586E7" w14:textId="77777777" w:rsidR="00506561" w:rsidRDefault="00D24483">
      <w:pPr>
        <w:pStyle w:val="Ttulo1"/>
        <w:spacing w:line="288" w:lineRule="auto"/>
      </w:pPr>
      <w:r>
        <w:lastRenderedPageBreak/>
        <w:t>1. Resumen del proyecto de tesis</w:t>
      </w:r>
    </w:p>
    <w:p w14:paraId="26852ADB" w14:textId="45C3D55E" w:rsidR="00506561" w:rsidRDefault="00D24483">
      <w:pPr>
        <w:spacing w:after="200" w:line="288" w:lineRule="auto"/>
        <w:ind w:firstLine="720"/>
        <w:jc w:val="both"/>
      </w:pPr>
      <w:r>
        <w:t>Esta propuesta investiga qué factores explican la brecha entre el rendimiento que la detección de anomalías alcanza en bancos de pruebas y su utilidad en condiciones operativas, en infraestructuras hídricas entendidas como sistemas de control industrial (ICS, del inglés Industrial Control Systems) o, más en general, como sistemas ciberfísicos (CPS, del inglés Cyber-Physical Systems). El punto de partida es una observación contrastada: existen modelos con buen rendimiento publicado cuya transferencia a la operación sigue siendo escasa y difícil. La investigación no se organiza alrededor de un modelo ni de una lista de obstáculos, sino de una pregunta, qué explica esa brecha, y de un programa experimental que la responde.</w:t>
      </w:r>
    </w:p>
    <w:p w14:paraId="5DC9CC5A" w14:textId="46011F85" w:rsidR="00506561" w:rsidRDefault="00D24483">
      <w:pPr>
        <w:spacing w:after="200" w:line="288" w:lineRule="auto"/>
        <w:ind w:firstLine="720"/>
        <w:jc w:val="both"/>
      </w:pPr>
      <w:r>
        <w:t>Se contrastan tres hipótesis competidoras. La hipótesis nula sostiene que aumentar la capacidad predictiva del modelo basta para cerrar la brecha. Las alternativas plantean que la representación explícita del contexto operativo y la operacionalización de la decisión aportan información adicional. El objetivo no es demostrar que una de ellas es correcta, sino estimar la contribución marginal de cada factor, y su interacción, mediante un protocolo de ablación factorial declarado y condicional al pipeline fijado.</w:t>
      </w:r>
    </w:p>
    <w:p w14:paraId="3371D62E" w14:textId="4CF04E27" w:rsidR="006403ED" w:rsidRDefault="00D24483">
      <w:pPr>
        <w:spacing w:after="200" w:line="288" w:lineRule="auto"/>
        <w:ind w:firstLine="720"/>
        <w:jc w:val="both"/>
      </w:pPr>
      <w:r>
        <w:t>Como sustrato conceptual, la investigación adopta una lectura ampliamente aceptada en el campo: la planta como un sistema dinámico parcialmente observado. Sus variables exógenas (no controladas, como la demanda o la calidad del agua de entrada) introducen la estocasticidad, mientras que su estado endógeno evoluciona de forma reproducible por diseño, gobernado por la física y por la lógica de control; los sensores solo captan una proyección ruidosa de ese estado latente, que incluye el régimen de operación. La validación se realiza sobre testbeds públicos etiquetados (SWaT, WADI, HAI); en consecuencia se demuestra eficacia bajo condiciones operativas simuladas, no efectividad en operación real, que se reconoce como trabajo futuro.</w:t>
      </w:r>
    </w:p>
    <w:p w14:paraId="21B18CC3" w14:textId="29A911C5" w:rsidR="00506561" w:rsidRDefault="00D24483">
      <w:pPr>
        <w:spacing w:after="200" w:line="288" w:lineRule="auto"/>
        <w:ind w:firstLine="720"/>
        <w:jc w:val="both"/>
      </w:pPr>
      <w:r>
        <w:t>El trabajo se nutre del contexto aplicado del proyecto TrueData, en el que ha participado el grupo de investigación GRITA de la Universidad Católica de Murcia (UCAM), y mantiene una línea propia: una metodología de atribución y un conjunto de principios de diseño para acercar la detección a la operación.</w:t>
      </w:r>
    </w:p>
    <w:p>
      <w:pPr>
        <w:spacing w:after="200" w:line="288" w:lineRule="auto"/>
        <w:jc w:val="both"/>
      </w:pPr>
      <w:r>
        <w:rPr>
          <w:b/>
          <w:i/>
        </w:rPr>
        <w:t xml:space="preserve">Palabras clave: </w:t>
      </w:r>
      <w:r>
        <w:t xml:space="preserve">detección de anomalías; sistemas de control industrial (ICS); infraestructuras hídricas; ciberseguridad de infraestructuras críticas; aprendizaje profundo; evaluación rigurosa; deriva de concepto; explicabilidad; despliegue en hardware de borde.</w:t>
      </w:r>
    </w:p>
    <w:p w14:paraId="3AF74CDE" w14:textId="77777777" w:rsidR="00F21730" w:rsidRDefault="00F21730">
      <w:pPr>
        <w:spacing w:after="200" w:line="288" w:lineRule="auto"/>
        <w:ind w:firstLine="720"/>
        <w:jc w:val="both"/>
      </w:pPr>
    </w:p>
    <w:p w14:paraId="39C56AC0" w14:textId="77777777" w:rsidR="00506561" w:rsidRDefault="00D24483">
      <w:pPr>
        <w:pStyle w:val="Ttulo1"/>
        <w:spacing w:line="288" w:lineRule="auto"/>
      </w:pPr>
      <w:r>
        <w:t>2. Objetivos científicos que se persiguen</w:t>
      </w:r>
    </w:p>
    <w:p w14:paraId="659D2569" w14:textId="77777777" w:rsidR="00506561" w:rsidRDefault="00D24483">
      <w:pPr>
        <w:spacing w:after="200" w:line="288" w:lineRule="auto"/>
        <w:ind w:firstLine="720"/>
        <w:jc w:val="both"/>
      </w:pPr>
      <w:r>
        <w:t>La investigación se encuadra en la línea de Tecnologías Multimedia del programa de Doctorado en Tecnologías de la Computación e Ingeniería Ambiental, en el ámbito del Internet Industrial de las Cosas (IIoT, del inglés Industrial Internet of Things), la Inteligencia Artificial y la protección de infraestructuras críticas.</w:t>
      </w:r>
    </w:p>
    <w:p w14:paraId="58B108EE" w14:textId="77777777" w:rsidR="00506561" w:rsidRDefault="00D24483">
      <w:pPr>
        <w:spacing w:after="200" w:line="288" w:lineRule="auto"/>
        <w:ind w:firstLine="720"/>
        <w:jc w:val="both"/>
      </w:pPr>
      <w:r>
        <w:t>El objetivo general es determinar qué factores explican la brecha entre el rendimiento en banco de pruebas y la utilidad operacional de la detección de anomalías en infraestructuras hídricas, y estimar la contribución marginal de cada uno, condicional al pipeline, mediante un protocolo de ablación factorial.</w:t>
      </w:r>
    </w:p>
    <w:p w14:paraId="1AB07FDC" w14:textId="77777777" w:rsidR="00506561" w:rsidRDefault="00D24483">
      <w:pPr>
        <w:spacing w:after="200" w:line="288" w:lineRule="auto"/>
        <w:ind w:firstLine="720"/>
        <w:jc w:val="both"/>
      </w:pPr>
      <w:r>
        <w:t>Como objetivos específicos se plantean los siguientes:</w:t>
      </w:r>
    </w:p>
    <w:p w14:paraId="0025D5E5" w14:textId="77777777" w:rsidR="00506561" w:rsidRDefault="00D24483">
      <w:pPr>
        <w:spacing w:after="200" w:line="288" w:lineRule="auto"/>
        <w:ind w:firstLine="720"/>
        <w:jc w:val="both"/>
      </w:pPr>
      <w:r>
        <w:t>1. Construir un protocolo de evaluación riguroso e insesgado que permita medir la brecha de forma fiable y comparar familias de detección en igualdad de condiciones. Constituye el suelo metodológico y la primera sonda del programa.</w:t>
      </w:r>
    </w:p>
    <w:p w14:paraId="468B63CB" w14:textId="77777777" w:rsidR="00506561" w:rsidRDefault="00D24483">
      <w:pPr>
        <w:spacing w:after="200" w:line="288" w:lineRule="auto"/>
        <w:ind w:firstLine="720"/>
        <w:jc w:val="both"/>
      </w:pPr>
      <w:r>
        <w:t>2. Cuantificar la contribución de la operacionalización de la detección (criterio de decisión, puntuación consciente del tipo de señal y umbral) al rendimiento operativo.</w:t>
      </w:r>
    </w:p>
    <w:p w14:paraId="6C804606" w14:textId="77777777" w:rsidR="00506561" w:rsidRDefault="00D24483">
      <w:pPr>
        <w:spacing w:after="200" w:line="288" w:lineRule="auto"/>
        <w:ind w:firstLine="720"/>
        <w:jc w:val="both"/>
      </w:pPr>
      <w:r>
        <w:t>3. Cuantificar la contribución de la representación explícita del contexto y del régimen operativo a la robustez de la detección.</w:t>
      </w:r>
    </w:p>
    <w:p w14:paraId="100B5642" w14:textId="77777777" w:rsidR="00506561" w:rsidRDefault="00D24483">
      <w:pPr>
        <w:spacing w:after="200" w:line="288" w:lineRule="auto"/>
        <w:ind w:firstLine="720"/>
        <w:jc w:val="both"/>
      </w:pPr>
      <w:r>
        <w:t>4. Desarrollar un método de atribución que estime la contribución marginal de cada factor y su interacción mediante ablación factorial, condicional al pipeline fijado, y destilar de él principios de diseño transferibles.</w:t>
      </w:r>
    </w:p>
    <w:p w14:paraId="1DF8E20B" w14:textId="77777777" w:rsidR="00506561" w:rsidRDefault="00D24483">
      <w:pPr>
        <w:spacing w:after="200" w:line="288" w:lineRule="auto"/>
        <w:ind w:firstLine="720"/>
        <w:jc w:val="both"/>
      </w:pPr>
      <w:r>
        <w:t>5. Caracterizar la viabilidad de despliegue en hardware de borde de las configuraciones resultantes, como consecuencia operativa del trabajo.</w:t>
      </w:r>
    </w:p>
    <w:p>
      <w:pPr>
        <w:spacing w:after="200" w:line="288" w:lineRule="auto"/>
        <w:ind w:firstLine="720"/>
        <w:jc w:val="both"/>
      </w:pPr>
      <w:r>
        <w:rPr>
          <w:b/>
        </w:rPr>
        <w:t xml:space="preserve">Hipótesis general. </w:t>
      </w:r>
      <w:r>
        <w:t xml:space="preserve">Una fracción sustancial de la brecha entre el rendimiento en banco de pruebas y la utilidad operativa de la detección de anomalías no se explica por la capacidad predictiva del modelo, sino por dos factores habitualmente implícitos: la representación del contexto y del régimen operativo, y la operacionalización de la decisión (criterio, puntuación y umbral).</w:t>
      </w:r>
    </w:p>
    <w:p>
      <w:pPr>
        <w:spacing w:after="200" w:line="288" w:lineRule="auto"/>
        <w:ind w:firstLine="720"/>
        <w:jc w:val="both"/>
      </w:pPr>
      <w:r>
        <w:t xml:space="preserve">Sobre el origen de esa brecha se contrastan tres hipótesis competidoras, mediante un protocolo de ablación factorial condicional al pipeline fijado:</w:t>
      </w:r>
    </w:p>
    <w:p>
      <w:pPr>
        <w:spacing w:after="120" w:line="288" w:lineRule="auto"/>
        <w:jc w:val="both"/>
      </w:pPr>
      <w:r>
        <w:rPr>
          <w:b/>
        </w:rPr>
        <w:t xml:space="preserve">H0 (nula). </w:t>
      </w:r>
      <w:r>
        <w:t xml:space="preserve">Fijada la capacidad del modelo, ni la representación del contexto ni la operacionalización producen una mejora marginal estadísticamente significativa sobre las métricas operativas. Funciona como referencia experimental del programa de atribución, no como una creencia del estado del arte que deba combatirse retóricamente.</w:t>
      </w:r>
    </w:p>
    <w:p>
      <w:pPr>
        <w:spacing w:after="120" w:line="288" w:lineRule="auto"/>
        <w:jc w:val="both"/>
      </w:pPr>
      <w:r>
        <w:rPr>
          <w:b/>
        </w:rPr>
        <w:t xml:space="preserve">H1. </w:t>
      </w:r>
      <w:r>
        <w:t xml:space="preserve">La representación explícita del contexto y del régimen operativo aporta una contribución marginal significativa, no capturada por la sola capacidad del modelo </w:t>
      </w:r>
      <w:r>
        <w:rPr>
          <w:i/>
        </w:rPr>
        <w:t xml:space="preserve">(objetivo específico 3)</w:t>
      </w:r>
      <w:r>
        <w:t xml:space="preserve">.</w:t>
      </w:r>
    </w:p>
    <w:p>
      <w:pPr>
        <w:spacing w:after="120" w:line="288" w:lineRule="auto"/>
        <w:jc w:val="both"/>
      </w:pPr>
      <w:r>
        <w:rPr>
          <w:b/>
        </w:rPr>
        <w:t xml:space="preserve">H2. </w:t>
      </w:r>
      <w:r>
        <w:t xml:space="preserve">La operacionalización consciente del tipo de señal —criterio de decisión, puntuación y umbral— aporta una contribución marginal significativa, no capturada por la sola capacidad del modelo </w:t>
      </w:r>
      <w:r>
        <w:rPr>
          <w:i/>
        </w:rPr>
        <w:t xml:space="preserve">(objetivo específico 2)</w:t>
      </w:r>
      <w:r>
        <w:t xml:space="preserve">.</w:t>
      </w:r>
    </w:p>
    <w:p>
      <w:pPr>
        <w:spacing w:after="120" w:line="288" w:lineRule="auto"/>
        <w:jc w:val="both"/>
      </w:pPr>
      <w:r>
        <w:rPr>
          <w:b/>
        </w:rPr>
        <w:t xml:space="preserve">Interacción y criterio de contraste. </w:t>
      </w:r>
      <w:r>
        <w:t xml:space="preserve">El diseño factorial estima además si el efecto conjunto de H1 y H2 supera la suma de sus efectos aislados. Cada hipótesis se da por corroborada si, bajo el protocolo de evaluación insesgado, el factor correspondiente produce un efecto medible y estadísticamente significativo sobre las métricas operativas; en caso contrario, no se rechaza H0 para ese factor.</w:t>
      </w:r>
    </w:p>
    <w:p w14:paraId="7DB12FC0" w14:textId="77777777" w:rsidR="00506561" w:rsidRDefault="00D24483">
      <w:pPr>
        <w:pStyle w:val="Ttulo1"/>
        <w:spacing w:line="288" w:lineRule="auto"/>
      </w:pPr>
      <w:r>
        <w:t>3. Introducción y estado del tema</w:t>
      </w:r>
    </w:p>
    <w:p w14:paraId="3132652C" w14:textId="77777777" w:rsidR="00506561" w:rsidRDefault="00D24483">
      <w:pPr>
        <w:pStyle w:val="Ttulo2"/>
        <w:spacing w:line="288" w:lineRule="auto"/>
      </w:pPr>
      <w:r>
        <w:t>3.1. Justificación</w:t>
      </w:r>
    </w:p>
    <w:p w14:paraId="7560273E" w14:textId="77777777" w:rsidR="00506561" w:rsidRDefault="00D24483">
      <w:pPr>
        <w:spacing w:after="200" w:line="288" w:lineRule="auto"/>
        <w:ind w:firstLine="720"/>
        <w:jc w:val="both"/>
      </w:pPr>
      <w:r>
        <w:t>La gestión eficiente y segura del agua potable es una de las grandes preocupaciones del desarrollo sostenible de las ciudades. Las estaciones de tratamiento de agua potable (ETAP) y las redes de distribución son infraestructuras críticas: su funcionamiento continuo resulta esencial para la salud pública. En España, el Real Decreto-ley 12/2018, de 7 de septiembre, transpone la Directiva NIS y establece obligaciones de seguridad para los operadores de servicios esenciales, entre ellos el sector del agua (Real Decreto-ley 12/2018).</w:t>
      </w:r>
    </w:p>
    <w:p w14:paraId="04CE62B3" w14:textId="77777777" w:rsidR="00506561" w:rsidRDefault="00D24483">
      <w:pPr>
        <w:spacing w:after="200" w:line="288" w:lineRule="auto"/>
        <w:ind w:firstLine="720"/>
        <w:jc w:val="both"/>
      </w:pPr>
      <w:r>
        <w:t xml:space="preserve">La digitalización de estas infraestructuras ha transformado su gestión. La proliferación de sensores del Internet de las Cosas (IoT, del inglés </w:t>
      </w:r>
      <w:r>
        <w:rPr>
          <w:i/>
          <w:iCs/>
        </w:rPr>
        <w:t>Internet of Things</w:t>
      </w:r>
      <w:r>
        <w:t xml:space="preserve">), la adopción de sistemas de supervisión, control y adquisición de datos (SCADA, del inglés </w:t>
      </w:r>
      <w:r>
        <w:rPr>
          <w:i/>
          <w:iCs/>
        </w:rPr>
        <w:t xml:space="preserve">Supervisory </w:t>
        <w:lastRenderedPageBreak/>
        <w:t>Control and Data Acquisition</w:t>
      </w:r>
      <w:r>
        <w:t xml:space="preserve">) cada vez más conectados, y la convergencia de las redes de tecnología de operación (OT, del inglés </w:t>
      </w:r>
      <w:r>
        <w:rPr>
          <w:i/>
          <w:iCs/>
        </w:rPr>
        <w:t>Operational Technology</w:t>
      </w:r>
      <w:r>
        <w:t xml:space="preserve">) con las de tecnología de la información (IT, del inglés </w:t>
      </w:r>
      <w:r>
        <w:rPr>
          <w:i/>
          <w:iCs/>
        </w:rPr>
        <w:t>Information Technology</w:t>
      </w:r>
      <w:r>
        <w:t>) han mejorado la eficiencia, pero también han ampliado la superficie de ataque que los sistemas de protección tradicionales no fueron diseñados para afrontar (Stouffer et al., 2023; Giraldo et al., 2018).</w:t>
      </w:r>
    </w:p>
    <w:p w14:paraId="7CAD132A" w14:textId="77777777" w:rsidR="00506561" w:rsidRDefault="00D24483">
      <w:pPr>
        <w:spacing w:after="200" w:line="288" w:lineRule="auto"/>
        <w:ind w:firstLine="720"/>
        <w:jc w:val="both"/>
      </w:pPr>
      <w:r>
        <w:t xml:space="preserve">La amenaza ha pasado de un riesgo puntual a una campaña sostenida y respaldada por estados. El ataque a la planta de Oldsmar (Florida, 2021) ilustró su gravedad; en abril de 2020, operadores afiliados a la Guardia Revolucionaria Iraní atacaron seis instalaciones de la Autoridad del Agua de Israel para elevar el cloro a concentraciones peligrosas, primer intento documentado de causar daño físico masivo a civiles mediante un ciberataque a sistemas hídricos (Unna, 2020). Entre 2023 y 2024, el grupo CyberAv3ngers comprometió al menos 75 controladores lógicos programables (PLC, del inglés </w:t>
      </w:r>
      <w:r>
        <w:rPr>
          <w:i/>
          <w:iCs/>
        </w:rPr>
        <w:t>Programmable Logic Controllers</w:t>
      </w:r>
      <w:r>
        <w:t>) en varios países, incluidos 34 sistemas de agua en Estados Unidos (CISA, 2023). Según la Agencia de Protección Ambiental estadounidense (EPA), más del 70 % de los sistemas de agua inspeccionados incumple los requisitos básicos de evaluación de riesgos y resiliencia que exige la normativa sectorial (U.S. GAO, 2024).</w:t>
      </w:r>
    </w:p>
    <w:p w14:paraId="16C51D8F" w14:textId="2B86526E" w:rsidR="00506561" w:rsidRDefault="00D24483">
      <w:pPr>
        <w:spacing w:after="200" w:line="288" w:lineRule="auto"/>
        <w:ind w:firstLine="720"/>
        <w:jc w:val="both"/>
      </w:pPr>
      <w:r>
        <w:t>Frente a esta situación, la respuesta regulatoria europea ha dejado de ser una recomendación para convertirse en una obligación exigible. La Directiva (UE) 2022/2555 (NIS2), que deroga y refuerza la Directiva NIS, clasifica el suministro de agua potable y las aguas residuales como sectores esenciales (Directiva NIS2, 2022). A las entidades esenciales les impone medidas de gestión de riesgos, entre ellas la detección y el tratamiento de incidentes (art. 21), y, sobre todo, la notificación obligatoria de todo incidente significativo en plazos estrictos: alerta temprana en 24 horas, notificación en 72 horas e informe final en un mes (art. 23). Estas obligaciones presuponen una capacidad de detección fiable y casi en tiempo real: no puede notificarse en 24 horas lo que no se ha detectado. Su incumplimiento se respalda con la responsabilidad de los órganos de dirección y con sanciones de hasta 10 millones de euros o el 2 % de la facturación mundial anual (Directiva NIS2, 2022).</w:t>
      </w:r>
    </w:p>
    <w:p w14:paraId="1181D330" w14:textId="77777777" w:rsidR="00506561" w:rsidRDefault="00D24483">
      <w:pPr>
        <w:spacing w:after="200" w:line="288" w:lineRule="auto"/>
        <w:ind w:firstLine="720"/>
        <w:jc w:val="both"/>
      </w:pPr>
      <w:r>
        <w:t>En España, la transposición de la NIS2 se tramita mediante la Ley de Coordinación y Gobernanza de la Ciberseguridad. El Consejo de Ministros aprobó su anteproyecto en enero de 2025, una vez superado el plazo de octubre de 2024 y tras la apertura de un procedimiento de infracción por parte de la Comisión Europea (Consejo de Ministros, 2025). Aun en tránsito normativo, el marco europeo convierte la detección fiable de anomalías en una exigencia regulatoria, y no solo técnica, para los operadores del agua: detectar con fiabilidad y a la cadencia real de la planta (periodos de muestreo de segundos a un minuto en los sistemas SCADA) es la condición que esta tesis aborda para que la obligación de notificación pueda cumplirse.</w:t>
      </w:r>
    </w:p>
    <w:p w14:paraId="230BAE9F" w14:textId="77777777" w:rsidR="00506561" w:rsidRDefault="00D24483">
      <w:pPr>
        <w:spacing w:after="200" w:line="288" w:lineRule="auto"/>
        <w:ind w:firstLine="720"/>
        <w:jc w:val="both"/>
      </w:pPr>
      <w:r>
        <w:t>Una revisión del estado del arte, en el contexto aplicado del proyecto TrueData, precisa dónde residen hoy las dificultades reales para llevar estos sistemas a la operación.</w:t>
      </w:r>
    </w:p>
    <w:p w14:paraId="1236E208" w14:textId="6032037A" w:rsidR="00506561" w:rsidRDefault="00D24483">
      <w:pPr>
        <w:spacing w:after="200" w:line="288" w:lineRule="auto"/>
        <w:ind w:firstLine="720"/>
        <w:jc w:val="both"/>
      </w:pPr>
      <w:r>
        <w:t xml:space="preserve">La mayoría de estas dificultades son operativas, ligadas al despliegue en planta. También hay dos de fondo, conceptuales: no existe una definición de anomalía independiente </w:t>
        <w:lastRenderedPageBreak/>
        <w:t>del contexto operativo (lo anómalo en un régimen puede ser normal en otro), y distinguir, solo a partir de las señales, un fallo de un ataque deliberado es difícil. La primera dificultad operativa es la detección fiable en tiempo real. Los sistemas SCADA y otros clientes tipo OPC-UA muestrean con periodos que van de varios segundos a cerca de un minuto, según la planta y la configuración, lo que impone límites de latencia y, sobre todo, un control estricto de los falsos positivos que pocas veces se reporta junto a la exactitud. A ello se suma un problema metodológico documentado: fijar el umbral de detección con las etiquetas del propio conjunto de prueba (una filtración de datos de prueba) y aplicar el ajuste por puntos eleva e iguala de forma artificial los resultados publicados y oculta las diferencias reales entre métodos (Wu &amp; Keogh, 2021; Kim et al., 2022; Garg et al., 2021); ambas prácticas se detallan en la sección 3.4. Una evaluación que controle estos factores precede, por tanto, a cualquier afirmación de fiabilidad. Este sesgo nace de unos bancos de pruebas muy bien etiquetados sobre los que la literatura persigue rendimiento técnico, no operativo: este umbral óptimo a posteriori muestra el potencial del modelo, pero no es aplicable en producción, donde no se dispone de las etiquetas para calibrarlo; falta un marco válido e iterativo para fijar el umbral sin la verdad de referencia.</w:t>
      </w:r>
    </w:p>
    <w:p w14:paraId="5E89FF55" w14:textId="77777777" w:rsidR="00506561" w:rsidRDefault="00D24483">
      <w:pPr>
        <w:spacing w:after="200" w:line="288" w:lineRule="auto"/>
        <w:ind w:firstLine="720"/>
        <w:jc w:val="both"/>
      </w:pPr>
      <w:r>
        <w:t xml:space="preserve">La segunda dificultad es la robustez frente a la deriva (del inglés </w:t>
      </w:r>
      <w:r>
        <w:rPr>
          <w:i/>
          <w:iCs/>
        </w:rPr>
        <w:t>drift</w:t>
      </w:r>
      <w:r>
        <w:t>): las infraestructuras hídricas son no estacionarias (varían con la estación, la demanda y el modo de operación), de modo que un modelo entrenado en datos de un rango temporal u operativo determinado se degrada cuando la distribución se desplaza entre la validación y la operación (Lv et al., 2023; Zamanzadeh Darban et al., 2024). La tercera es la explicabilidad de las alarmas: frente a los detectores de caja negra, la literatura reciente reclama explicar qué variable y qué evento disparan cada anomalía, dato imprescindible para que un operador responda y para tener información accionable (Zamanzadeh Darban et al., 2024). La cuarta, transversal, es la adquisición y estructuración del contexto operativo (estado del proceso, relaciones físicas y semántica de la planta), sustrato que permite condicionar el criterio de alarma al régimen, ganar robustez frente a la deriva y construir explicaciones útiles.</w:t>
      </w:r>
    </w:p>
    <w:p w14:paraId="6F154315" w14:textId="77777777" w:rsidR="006403ED" w:rsidRDefault="00D24483">
      <w:pPr>
        <w:spacing w:after="200" w:line="288" w:lineRule="auto"/>
        <w:ind w:firstLine="720"/>
        <w:jc w:val="both"/>
      </w:pPr>
      <w:r>
        <w:t xml:space="preserve">Estas dificultades comparten, además, un mismo sustrato conceptual ampliamente asumido en la literatura. La planta puede entenderse como un sistema dinámico parcialmente observado, descrito en un espacio de estados: las entradas de control (los actuadores, como bombas y válvulas) y las perturbaciones exógenas (no controladas, como la demanda o la calidad del agua de entrada) gobiernan la evolución de un estado interno latente, del que los sensores solo captan una proyección ruidosa (Kalman, 1960). Conviene distinguir las variables exógenas, que se determinan fuera del proceso y aportan la estocasticidad, de las endógenas (el estado y sus relaciones físicas), que evolucionan de forma reproducible por diseño: bajo operación normal, dados el estado y la consigna, la respuesta es casi determinista, gobernada por la física y por la lógica de control, no por grados de libertad arbitrarios. Esta regularidad de baja entropía es la que habilita una detección entrenada solo sobre operación normal. Detectar de forma fiable equivale entonces a estimar ese estado y a vigilar las desviaciones respecto a su dinámica esperada, principio de la detección de fallos basada en modelo (Gao et al., 2015). La particularidad de este dominio es que ese modelo, u observador, se aprende de los datos cuando no se dispone de ecuaciones de primeros principios (Li et al., 2023; Wei et al., 2024; Billings, 2013). Esta lectura no es propia de un método concreto: las revisiones recientes coinciden en que las distintas familias de detección modelan, con </w:t>
        <w:lastRenderedPageBreak/>
        <w:t>distinto sesgo inductivo, la misma normalidad del proceso (Zamanzadeh Darban et al., 2024; Alves et al., 2026). Desde esta perspectiva común, la deriva es la aparición de estados o transiciones no representados en el entrenamiento; la explicabilidad nace de señalar el estado y la transición que se quiebran; y la estructuración del contexto es el conocimiento previo que delimita ese espacio de estados, cuya versión discreta e interpretable son los regímenes de operación.</w:t>
      </w:r>
    </w:p>
    <w:p w14:paraId="1DBB695A" w14:textId="77777777" w:rsidR="00506561" w:rsidRDefault="00D24483">
      <w:pPr>
        <w:spacing w:after="200" w:line="288" w:lineRule="auto"/>
        <w:ind w:firstLine="720"/>
        <w:jc w:val="both"/>
      </w:pPr>
      <w:r>
        <w:t>Estas dificultades, documentadas en la literatura, no son cuatro problemas independientes sino manifestaciones de una misma brecha entre el rendimiento en banco de pruebas y la utilidad operacional de la detección. La pregunta que organiza esta investigación es qué factores explican esa brecha y en qué medida. Dos candidatos, no excluyentes, estructuran el estudio: la representación del contexto y del régimen operativo, y la operacionalización de la decisión. La deriva, la explicabilidad y la estructuración del contexto pasan a ser dimensiones donde puede residir la brecha, no líneas a ejecutar en paralelo, mientras que el modelado consciente del tipo de señal y la viabilidad de despliegue en hardware de borde se abordan como instrumentos y como consecuencia operativa.</w:t>
      </w:r>
    </w:p>
    <w:p w14:paraId="5B7CA901" w14:textId="77777777" w:rsidR="00506561" w:rsidRDefault="00D24483">
      <w:pPr>
        <w:spacing w:after="200" w:line="288" w:lineRule="auto"/>
        <w:ind w:firstLine="720"/>
        <w:jc w:val="both"/>
      </w:pPr>
      <w:r>
        <w:t>El estado del tema se organiza en seis bloques: el dominio hídrico y su ciberseguridad (3.2); las familias de técnicas de IA para la detección de anomalías en ICS (3.3); la detección fiable y su evaluación rigurosa (3.4); la deriva, el contexto operativo y la robustez (3.5); la explicabilidad de las alarmas (3.6); y la estructuración del contexto y la viabilidad de despliegue (3.7).</w:t>
      </w:r>
    </w:p>
    <w:p w14:paraId="586C7456" w14:textId="77777777" w:rsidR="00506561" w:rsidRDefault="00D24483">
      <w:pPr>
        <w:pStyle w:val="Ttulo2"/>
        <w:spacing w:line="288" w:lineRule="auto"/>
      </w:pPr>
      <w:r>
        <w:t>3.2. Infraestructuras hídricas críticas y su ciberseguridad</w:t>
      </w:r>
    </w:p>
    <w:p w14:paraId="53B7F370" w14:textId="77777777" w:rsidR="00506561" w:rsidRDefault="00D24483">
      <w:pPr>
        <w:spacing w:after="200" w:line="288" w:lineRule="auto"/>
        <w:ind w:firstLine="720"/>
        <w:jc w:val="both"/>
      </w:pPr>
      <w:r>
        <w:t>Las infraestructuras de tratamiento y distribución de agua potable son uno de los sectores esenciales de la Directiva NIS2 (Directiva NIS2, 2022). Dependen de sistemas de control industrial compuestos por los PLC, sistemas SCADA, unidades terminales remotas (RTU, del inglés Remote Terminal Units), interfaces hombre-máquina (HMI, del inglés Human-Machine Interface), redes de sensores y actuadores, y protocolos industriales como OPC-UA, Modbus o Profinet, que supervisan y controlan el proceso físico en tiempo real (Stouffer et al., 2023).</w:t>
      </w:r>
    </w:p>
    <w:p w14:paraId="5302F49D" w14:textId="77777777" w:rsidR="00506561" w:rsidRDefault="00D24483">
      <w:pPr>
        <w:spacing w:after="200" w:line="288" w:lineRule="auto"/>
        <w:ind w:firstLine="720"/>
        <w:jc w:val="both"/>
      </w:pPr>
      <w:r>
        <w:t>La convergencia de las redes OT con las de IT ha ampliado la superficie de ataque de unos sistemas concebidos para operar aislados (Giraldo et al., 2018). El ataque ya citado a la planta de Oldsmar y los escenarios reproducidos en los bancos de pruebas SWaT (del inglés Secure Water Treatment) y WADI (del inglés Water Distribution) del iTrust Centre de la Universidad de Tecnología y Diseño de Singapur (SUTD) (Lemos, 2021; Goh et al., 2017) muestran la necesidad de sistemas de detección que complementen la seguridad perimetral.</w:t>
      </w:r>
    </w:p>
    <w:p w14:paraId="336F1E93" w14:textId="77777777" w:rsidR="00506561" w:rsidRDefault="00D24483">
      <w:pPr>
        <w:spacing w:after="200" w:line="288" w:lineRule="auto"/>
        <w:ind w:firstLine="720"/>
        <w:jc w:val="both"/>
      </w:pPr>
      <w:r>
        <w:t xml:space="preserve">La ciberseguridad hídrica adquiere una dimensión estratégica en regiones dependientes de la desalación. La región de Oriente Medio y Norte de África (MENA, del inglés Middle East and North Africa) produce el 41,8 % del agua desalada mundial en unas 5.000 plantas, y países como Kuwait, Qatar o Bahréin obtienen más del 90 % de su agua potable por desalación, con reservas de apenas 24 horas a 5 días (Anadolu Agency, 2025). El impacto de un misil sobre la desaladora Doha West de Kuwait en marzo de 2026, que afectó a cerca del 38,5 % de la capacidad de agua dulce del país (The National, 2026), confirma que la infraestructura hídrica es ya un objetivo físico y cibernético. El </w:t>
        <w:lastRenderedPageBreak/>
        <w:t>programa malicioso IOCONTROL, descubierto en 2024 para comprometer dispositivos IoT y OT en infraestructuras críticas (Claroty Team82, 2024), evidencia que estos ataques son sistemáticos.</w:t>
      </w:r>
    </w:p>
    <w:p w14:paraId="48F4CAB0" w14:textId="77777777" w:rsidR="00506561" w:rsidRDefault="00D24483">
      <w:pPr>
        <w:pStyle w:val="Ttulo2"/>
        <w:spacing w:line="288" w:lineRule="auto"/>
      </w:pPr>
      <w:r>
        <w:t>3.3. Técnicas de Inteligencia Artificial para la detección de anomalías en ICS</w:t>
      </w:r>
    </w:p>
    <w:p w14:paraId="7210A13E" w14:textId="77777777" w:rsidR="00506561" w:rsidRDefault="00D24483">
      <w:pPr>
        <w:spacing w:after="200" w:line="288" w:lineRule="auto"/>
        <w:ind w:firstLine="720"/>
        <w:jc w:val="both"/>
      </w:pPr>
      <w:r>
        <w:t>La detección de anomalías en ICS plantea desafíos propios: los procesos físicos son deterministas, pero esa determinación depende del régimen operativo, de modo que las relaciones entre variables cambian según el modo de funcionamiento de la planta (Goh et al., 2017). El marco de partida es la detección de anomalías en series temporales multivariantes (MTSAD, del inglés Multivariate Time-Series Anomaly Detection). La heterogeneidad de los tipos de señal (variables continuas, discretas multinivel y binarias) cuenta con detectores conscientes del tipo de señal que la abordan con eficacia (Zhan et al., 2024; Alnegheimish et al., 2025; Li et al., 2025); más que un reto abierto, es una palanca de mejora que esta investigación incorpora de forma transversal, no como objeto central. Esta revisión se centra, pues, en las familias de técnicas y en sus implicaciones para el despliegue operativo. En el dominio, esta palanca se concreta en el tratamiento diferenciado de las variables discretas y los actuadores: modelar por separado los patrones de los sensores y las reglas de los actuadores reduce la proporción de ataques no detectados (Cai et al., 2024).</w:t>
      </w:r>
    </w:p>
    <w:p w14:paraId="0306C987" w14:textId="77777777" w:rsidR="00506561" w:rsidRDefault="00D24483">
      <w:pPr>
        <w:spacing w:after="200" w:line="288" w:lineRule="auto"/>
        <w:ind w:firstLine="720"/>
        <w:jc w:val="both"/>
      </w:pPr>
      <w:r>
        <w:rPr>
          <w:b/>
          <w:bCs/>
        </w:rPr>
        <w:t xml:space="preserve">Métodos basados en reglas invariantes. </w:t>
      </w:r>
      <w:r>
        <w:t>Aprenden restricciones físicas, lógicas o temporales propias de la operación normal (por ejemplo, «si la bomba está activa, el caudal supera un mínimo») y señalan anomalía cuando se incumplen. La literatura distingue invariantes derivadas del diseño del proceso (Feng et al., 2019; Adepu &amp; Mathur, 2018), enfoques centrados en datos mediante minería de reglas de asociación (Pal et al., 2017) e híbridos que combinan ambos (Umer et al., 2020; Raman &amp; Mathur, 2022). Aportan alta interpretabilidad y bajo coste de inferencia (aptos para despliegue embebido), pero pasan por alto anomalías de baja magnitud que no violan reglas explícitas.</w:t>
      </w:r>
    </w:p>
    <w:p w14:paraId="366DF937" w14:textId="77777777" w:rsidR="00506561" w:rsidRDefault="00D24483">
      <w:pPr>
        <w:spacing w:after="200" w:line="288" w:lineRule="auto"/>
        <w:ind w:firstLine="720"/>
        <w:jc w:val="both"/>
      </w:pPr>
      <w:r>
        <w:rPr>
          <w:b/>
          <w:bCs/>
        </w:rPr>
        <w:t xml:space="preserve">Modelos de predicción de series temporales. </w:t>
      </w:r>
      <w:r>
        <w:t>Aprenden el comportamiento esperado de cada variable y señalan anomalía cuando la desviación respecto a la predicción supera un umbral. Las arquitecturas van de las redes de memoria a corto y largo plazo (LSTM, del inglés Long Short-Term Memory) y sus variantes codificador-decodificador con atención (Sutskever et al., 2014; Vaswani et al., 2017) a los modelos basados en Transformers. En la frontera clásica, métodos como Isolation Forest (Liu et al., 2008) ofrecen líneas base competitivas a un coste muy inferior; de hecho, bancos de pruebas recientes muestran que los detectores clásicos bien ajustados igualan o superan a los modelos profundos en muchos escenarios (Wu &amp; Keogh, 2021). El coste de inferencia varía con la arquitectura, factor decisivo para la operación en tiempo real.</w:t>
      </w:r>
    </w:p>
    <w:p w14:paraId="33FE7D2A" w14:textId="4F06177F" w:rsidR="00506561" w:rsidRDefault="00D24483">
      <w:pPr>
        <w:spacing w:after="200" w:line="288" w:lineRule="auto"/>
        <w:ind w:firstLine="720"/>
        <w:jc w:val="both"/>
      </w:pPr>
      <w:r>
        <w:rPr>
          <w:b/>
          <w:bCs/>
        </w:rPr>
        <w:t xml:space="preserve">Métodos basados en reconstrucción. </w:t>
      </w:r>
      <w:r>
        <w:t xml:space="preserve">Los autocodificadores (AE, del inglés AutoEncoders) y sus variantes variacionales (VAE, del inglés VariationalAutoEncoders) y adversariales (AAE, del inglés Adversarial Autoencoders) aprenden una representación compacta de los datos normales y usan el error de reconstrucción como puntuación de anomalía. Las arquitecturas de reconstrucción no lineal, entre las que destacan los enfoques adversariales y de atención (Audibert et al., 2020; Su et al., 2019; Tuli et al., 2022), comparten dos limitaciones operativas: la puntuación depende de la hipótesis sobre la distribución del error de reconstrucción (típicamente </w:t>
        <w:lastRenderedPageBreak/>
        <w:t>gaussiana) y su alcance queda acotado por la ventana temporal que observan, de modo que pierden anomalías cuya huella sea muy pequeña en comparación a la ventana. Además, pueden reconstruir bien las propias anomalías y dejarlas pasar desapercibidas.</w:t>
      </w:r>
    </w:p>
    <w:p w14:paraId="451477FE" w14:textId="77777777" w:rsidR="00506561" w:rsidRDefault="00D24483">
      <w:pPr>
        <w:spacing w:after="200" w:line="288" w:lineRule="auto"/>
        <w:ind w:firstLine="720"/>
        <w:jc w:val="both"/>
      </w:pPr>
      <w:r>
        <w:rPr>
          <w:b/>
          <w:bCs/>
        </w:rPr>
        <w:t xml:space="preserve">Modelos de regresión transversal. </w:t>
      </w:r>
      <w:r>
        <w:t>Predicen cada variable a partir del estado del resto en el mismo instante y capturan relaciones entre sensores sin una estructura de grafo explícita (Chen et al., 2021). Su entrenamiento es más simple que el de las redes de grafos, pero no representan la topología funcional conocida del proceso.</w:t>
      </w:r>
    </w:p>
    <w:p w14:paraId="3D4C2CE8" w14:textId="77777777" w:rsidR="00506561" w:rsidRDefault="00D24483">
      <w:pPr>
        <w:spacing w:after="200" w:line="288" w:lineRule="auto"/>
        <w:ind w:firstLine="720"/>
        <w:jc w:val="both"/>
      </w:pPr>
      <w:r>
        <w:rPr>
          <w:b/>
          <w:bCs/>
        </w:rPr>
        <w:t>Modelos basados en grafos. Las redes neuronales de grafos (GNN, del inglés Graph Neural Networks) representan de forma explícita las relaciones entre sensores como aristas de un grafo (Deng &amp; Hooi, 2021; Wu et al., 2020; Zhao et al., 2020). La definición de la adyacencia sigue abierta: puede predefinirse a partir del proceso (diagramas de tuberías e instrumentación, P&amp;ID), aprenderse de extremo a extremo o inferirse externamente. Ganan expresividad para las anomalías entre variables, a costa de un mayor coste de inferencia en hardware embebido (Zhou et al., 2024), lo que motiva las técnicas de optimización de 3.7. Una línea reciente y muy activa enriquece estos grafos con estructura causal, inferida mediante descubrimiento causal o conocimiento del proceso, para ganar robustez frente a los cambios de distribución e interpretabilidad de las alarmas (Koutroulis et al., 2022; Malarkkan et al., 2025); este trabajo dialoga con esa dirección desde la especificidad del dominio hídrico y las restricciones de despliegue.</w:t>
      </w:r>
    </w:p>
    <w:p w14:paraId="2E638DC2" w14:textId="77777777" w:rsidR="00506561" w:rsidRDefault="00D24483">
      <w:pPr>
        <w:spacing w:after="200" w:line="288" w:lineRule="auto"/>
        <w:ind w:firstLine="720"/>
        <w:jc w:val="both"/>
      </w:pPr>
      <w:r>
        <w:rPr>
          <w:b/>
          <w:bCs/>
        </w:rPr>
        <w:t xml:space="preserve">Fusión de resultados. </w:t>
      </w:r>
      <w:r>
        <w:t>Combinar las puntuaciones de anomalía de varias familias, sensores y niveles en una medida unificada es un problema abierto. Las estrategias van de reglas simples (máximo, media o votación) a agregaciones que modelan la dependencia entre residuos, como la distancia de Mahalanobis (De Maesschalck et al., 2000), o que aprenden su distribución conjunta, como los flujos normalizados (NF, del inglés Normalizing Flows) (Rezende &amp; Mohamed, 2015), a cambio de más datos. La regla de fusión condiciona la sensibilidad y la tasa de falsos positivos del sistema integrado.</w:t>
      </w:r>
    </w:p>
    <w:p w14:paraId="3C421E46" w14:textId="77777777" w:rsidR="006403ED" w:rsidRDefault="00D24483">
      <w:pPr>
        <w:spacing w:after="200" w:line="288" w:lineRule="auto"/>
        <w:ind w:firstLine="720"/>
        <w:jc w:val="both"/>
      </w:pPr>
      <w:r>
        <w:t>En el fondo, todas estas familias persiguen lo mismo, aprender la normalidad del funcionamiento de la planta, y se diferencian en el sesgo inductivo con que la aproximan: dependencias temporales (predicción, LSTM), una estructura de grafo de influencias (modelos basados en grafos), restricciones mecanicistas por estado (reglas invariantes) o la reconstrucción de lo normal (autocodificadores). Son, por tanto, lecturas parciales del mismo sistema dinámico parcialmente observado (Zamanzadeh Darban et al., 2024; Alves et al., 2026).</w:t>
      </w:r>
    </w:p>
    <w:p w14:paraId="4F903241" w14:textId="77777777" w:rsidR="00506561" w:rsidRDefault="00D24483">
      <w:pPr>
        <w:pStyle w:val="Ttulo2"/>
        <w:spacing w:line="288" w:lineRule="auto"/>
      </w:pPr>
      <w:r>
        <w:t>3.4. Detección fiable y evaluación rigurosa</w:t>
      </w:r>
    </w:p>
    <w:p w14:paraId="69E4C4BF" w14:textId="77777777" w:rsidR="00506561" w:rsidRDefault="00D24483">
      <w:pPr>
        <w:spacing w:after="200" w:line="288" w:lineRule="auto"/>
        <w:ind w:firstLine="720"/>
        <w:jc w:val="both"/>
      </w:pPr>
      <w:r>
        <w:t xml:space="preserve">La adopción en planta exige no solo precisión, sino fiabilidad demostrable. La literatura del dominio denuncia ya sesgos metodológicos sistemáticos en los bancos de pruebas dominantes (SWaT, WADI y BATADAL, del inglés Battle of the Attack Detection Algorithms). Fijar el umbral con las etiquetas del conjunto de prueba para maximizar la métrica (best-F1), una forma de filtración de datos de prueba (del inglés data leakage) no replicable en producción, y aplicar el ajuste por puntos (dar por detectado un intervalo entero porque un único punto cae cerca de la anomalía) infla las métricas: como casi cualquier método acierta al </w:t>
        <w:lastRenderedPageBreak/>
        <w:t>menos un punto de cada intervalo, las puntuaciones se saturan y dejan de distinguir los métodos buenos de los mediocres (Wu &amp; Keogh, 2021; Kim et al., 2022; Garg et al., 2021). A ello se añade la no generalización del umbral por el desplazamiento temporal de la distribución entre validación y prueba (Lv et al., 2023). Esta crítica metodológica, hoy consolidada, ha impulsado métricas sensibles a la estructura temporal (volumen bajo la superficie (Paparrizos et al., 2022), métricas de afiliación (Huet et al., 2022)) y marcos de evaluación unificados (Qiu et al., 2025); algunos trabajos la llevan ya al terreno operativo del propio dominio, evaluando los detectores bajo un presupuesto de alarmas y reportando la proporción de incidentes no detectados y el retardo de detección sobre SWaT y WADI (Heydari &amp; Nyarko, 2026).</w:t>
      </w:r>
    </w:p>
    <w:p w14:paraId="085CCB20" w14:textId="77777777" w:rsidR="00506561" w:rsidRDefault="00D24483">
      <w:pPr>
        <w:spacing w:after="200" w:line="288" w:lineRule="auto"/>
        <w:ind w:firstLine="720"/>
        <w:jc w:val="both"/>
      </w:pPr>
      <w:r>
        <w:t>La operación en tiempo real refuerza esta exigencia. Los bancos de pruebas como SWaT muestrean a 1 Hz (Mathur &amp; Tippenhauer, 2016), mientras que las plantas reales presentan periodos mayores y variables, lo que fija una latencia admisible de segundos, y una tasa alta de falsos positivos resulta inasumible para un centro de control. Por tanto, una evaluación que controle estos factores y reporte métricas operativas, además de la exactitud, precede a cualquier comparación entre métodos. Esta preocupación coincide con el interés de revistas de referencia del área. Entre las primeras actividades de la investigación se contempla una revisión sistemática de los métodos de detección en tiempo real y de sus limitaciones, que oriente las decisiones de diseño posteriores.</w:t>
      </w:r>
    </w:p>
    <w:p w14:paraId="6AE94824" w14:textId="77777777" w:rsidR="00506561" w:rsidRDefault="00D24483">
      <w:pPr>
        <w:pStyle w:val="Ttulo2"/>
        <w:spacing w:line="288" w:lineRule="auto"/>
      </w:pPr>
      <w:r>
        <w:t>3.5. Deriva, contexto operativo y robustez</w:t>
      </w:r>
    </w:p>
    <w:p w14:paraId="12816BCA" w14:textId="77777777" w:rsidR="00506561" w:rsidRDefault="00D24483">
      <w:pPr>
        <w:spacing w:after="200" w:line="288" w:lineRule="auto"/>
        <w:ind w:firstLine="720"/>
        <w:jc w:val="both"/>
      </w:pPr>
      <w:r>
        <w:t>La detección en ICS exige una noción de anomalía que las taxonomías genéricas suelen pasar por alto: la anomalía no es absoluta, sino dependiente del contexto operativo. Una misma presión puede ser normal en régimen de llenado y anómala en mantenimiento, sin que cambie el valor instantáneo. La revisión de Zamanzadeh Darban et al. (2024) distinguen, por comportamiento, anomalías globales, contextuales, estacionales y entre variables; en infraestructuras hídricas predominan las contextuales y las estacionales, lo que desaconseja los detectores que umbralizan de forma global una única puntuación agregada.</w:t>
      </w:r>
    </w:p>
    <w:p w14:paraId="0A10EEA4" w14:textId="77777777" w:rsidR="008C2822" w:rsidRDefault="00D24483">
      <w:pPr>
        <w:spacing w:after="200" w:line="288" w:lineRule="auto"/>
        <w:ind w:firstLine="720"/>
        <w:jc w:val="both"/>
      </w:pPr>
      <w:r>
        <w:t>La taxonomía anterior describe la forma observable de la anomalía, pero no su causa, por lo que conviene añadir un segundo eje: la intención. La mayoría de las anomalías estudiadas históricamente eran fallos o eventos no intencionados, sin un agente que los dirigiera; los ciberataques introducen una anomalía adversarial, provocada por una inteligencia que elige qué sensores o actuadores manipular y de qué forma. Esta dimensión añade su propia taxonomía de vectores (en el banco SWaT, ataques de una o varias etapas sobre uno o varios puntos: SSSP, SSMP, MSSP y MSMP, por las siglas en inglés de Single/Multi-Stage y Single/Multi-Point (Goh et al., 2017)) y exige distinguir un fallo de un ataque deliberado (Giraldo et al., 2018). Un adversario coordina puntos y etapas para propagar el daño y a veces lo enmascara para que parezca normal, lo que refuerza la necesidad de una detección consciente del estado del proceso y de las relaciones físicas entre variables (Zamanzadeh Darban et al., 2024; Chandola et al., 2009).</w:t>
      </w:r>
    </w:p>
    <w:p w14:paraId="469FBD47" w14:textId="77777777" w:rsidR="00506561" w:rsidRDefault="00D24483">
      <w:pPr>
        <w:spacing w:after="200" w:line="288" w:lineRule="auto"/>
        <w:ind w:firstLine="720"/>
        <w:jc w:val="both"/>
      </w:pPr>
      <w:r>
        <w:t xml:space="preserve">Una línea creciente atiende esta dependencia con detectores conscientes del estado del proceso. Ghaeini et al. (2018) introducen invariantes condicionadas al régimen, y Raman y </w:t>
        <w:lastRenderedPageBreak/>
        <w:t>Mathur integran el conocimiento del proceso en un marco híbrido de física y datos (Raman &amp; Mathur, 2022). Un argumento adicional respalda los detectores ligeros basados en estados: los procesos industriales presentan una fuerte localidad temporal (es muy probable permanecer en el mismo régimen entre instantes consecutivos), lo que justifica las máquinas de estados finitos, los modelos de Markov ocultos y los modelos de espacio de estados como líneas base competitivas frente a las arquitecturas profundas cuando la interpretabilidad y el coste importan (Wei et al., 2024; Barakat et al., 2025).</w:t>
      </w:r>
    </w:p>
    <w:p w14:paraId="792D335E" w14:textId="77777777" w:rsidR="00506561" w:rsidRDefault="00D24483">
      <w:pPr>
        <w:spacing w:after="200" w:line="288" w:lineRule="auto"/>
        <w:ind w:firstLine="720"/>
        <w:jc w:val="both"/>
      </w:pPr>
      <w:r>
        <w:t>Sobre este sustrato, el principal reto de robustez es la deriva. Los sistemas reales son no estacionarios y los modelos entrenados fuera de línea (con un histórico fijo, sin actualización continua) se degradan en producción; la literatura apunta al entrenamiento incremental, la adaptación de dominio y los umbrales sensibles a la deriva. La deriva no es uniforme: se distingue entre deriva súbita, gradual, incremental y recurrente (Gama et al., 2014; Lu et al., 2019), y en infraestructuras hídricas conviven la recurrente (estacional) con la gradual (envejecimiento de sensores y actuadores). Caracterizar la deriva en este dominio y explorar mecanismos de adaptación sin reentrenamiento costoso es una de las líneas centrales del trabajo. Conviene además distinguir la ventana del ataque de la ventana de la anomalía observada: una manipulación puntual puede prolongarse por propagación aguas abajo (retardos hidráulicos) y aguas arriba (reacción de los lazos de control proporcional-integral-derivativo, PID), lo que condiciona el campo receptivo y la ventana de análisis del detector. En los detectores semisupervisados, entrenados solo sobre operación normal, la deriva determinante es la de la propia normalidad (del inglés normality shift), una vertiente señalada como poco explorada frente a la deriva de los patrones anómalos (Han et al., 2023); su efecto es una degradación progresiva del rendimiento que ha motivado detectores de deriva sensibles al propio rendimiento del modelo (Bayram et al., 2022).</w:t>
      </w:r>
    </w:p>
    <w:p w14:paraId="56189089" w14:textId="4DBE0260" w:rsidR="00506561" w:rsidRDefault="00D24483">
      <w:pPr>
        <w:pStyle w:val="Ttulo2"/>
        <w:spacing w:line="288" w:lineRule="auto"/>
      </w:pPr>
      <w:r>
        <w:t>3.6. Explicabilidad de las alarmas</w:t>
      </w:r>
    </w:p>
    <w:p w14:paraId="076DCD7C" w14:textId="77777777" w:rsidR="00506561" w:rsidRDefault="00D24483">
      <w:pPr>
        <w:spacing w:after="200" w:line="288" w:lineRule="auto"/>
        <w:ind w:firstLine="720"/>
        <w:jc w:val="both"/>
      </w:pPr>
      <w:r>
        <w:t>Frente a los detectores de caja negra, la literatura reciente advierte que el campo prioriza la precisión y descuida explicar qué variable o qué evento dispara cada anomalía (Zamanzadeh Darban et al., 2024). En operación, esa explicación es crítica: el operador necesita saber dónde se origina la anomalía, de qué tipo es y qué elementos del proceso intervienen para responder con rapidez y proporción. La interpretabilidad es, pues, un requisito de diseño, no un añadido posterior.</w:t>
      </w:r>
    </w:p>
    <w:p w14:paraId="1A70CF3D" w14:textId="77777777" w:rsidR="00506561" w:rsidRDefault="00D24483">
      <w:pPr>
        <w:spacing w:after="200" w:line="288" w:lineRule="auto"/>
        <w:ind w:firstLine="720"/>
        <w:jc w:val="both"/>
      </w:pPr>
      <w:r>
        <w:t xml:space="preserve">La inferencia de dependencias entre sensores da soporte tanto a la explicación como a los modelos de grafos: los valores SHAP (del inglés SHapley Additive exPlanations) (Lundberg &amp; Lee, 2017), la información mutua, la causalidad de Granger y el descubrimiento causal (Runge et al., 2019) aproximan la estructura funcional del proceso y atribuyen cada alarma a las variables responsables; estos métodos, no obstante, asumen supuestos (linealidad, estacionariedad) que los ICS no siempre cumplen y que conviene verificar o condicionar al régimen operativo; en particular, inferir la estructura causal en un sistema que cambia de régimen puede producir relaciones espurias que disparen falsos positivos, lo que motiva aprenderla por modo o incorporar el estado y el régimen como variables de condicionamiento. Esta línea está hoy muy activa: la atribución por valores de Shapley adaptada a series temporales, como ShaTS (Franco de la Peña et al., 2025), lleva esta idea a la detección de anomalías en el IIoT. Disponible una representación estructurada del contexto </w:t>
        <w:lastRenderedPageBreak/>
        <w:t>(estado del proceso, invariantes activas y residuos por sensor), se abre además el uso de modelos de lenguaje (LLM, del inglés Large Language Models) como capa de explicación en lenguaje natural, una extensión que queda fuera del alcance central de la tesis. En el dominio se han propuesto ya esquemas de explicación específicos para sistemas hídricos (Mathuros et al., 2024) y métodos de explicación en línea basados en descubrimiento causal para sistemas ciberfísicos (Meli, 2024); un estudio sistemático advierte, no obstante, que la atribución de la alarma falla con más frecuencia sobre los actuadores categóricos (Fung et al., 2024), lo que conecta la explicabilidad con el tratamiento consciente del tipo de señal de la sección 3.3.</w:t>
      </w:r>
    </w:p>
    <w:p w14:paraId="74CB0BAF" w14:textId="77777777" w:rsidR="00506561" w:rsidRDefault="00D24483">
      <w:pPr>
        <w:pStyle w:val="Ttulo2"/>
        <w:spacing w:line="288" w:lineRule="auto"/>
      </w:pPr>
      <w:r>
        <w:t>3.7. Estructuración del contexto y viabilidad de despliegue</w:t>
      </w:r>
    </w:p>
    <w:p w14:paraId="2C8C1F14" w14:textId="77777777" w:rsidR="00506561" w:rsidRDefault="00D24483">
      <w:pPr>
        <w:spacing w:after="200" w:line="288" w:lineRule="auto"/>
        <w:ind w:firstLine="720"/>
        <w:jc w:val="both"/>
      </w:pPr>
      <w:r>
        <w:t>La robustez y la explicabilidad precisan de un modelo de información que capture la semántica del sistema: qué sensores existen, a qué equipo pertenecen, qué miden, cómo se relacionan y qué regímenes condicionan su comportamiento (Givehchi et al., 2017). Una herramienta habitual para formalizar ese modelo son las ontologías: vocabularios legibles por máquina que describen los conceptos de un dominio y las relaciones entre ellos. El estándar ISA-95 (IEC 62264) define una jerarquía de referencia para la información de planta (empresa, planta, área, unidad, equipo y sensor/actuador) (ISA-95/IEC 62264), y en el ámbito del IoT las ontologías SSN/SOSA (del inglés Semantic Sensor Network / Sensor, Observation, Sample, and Actuator) del W3C aportan un vocabulario común para sensores, observaciones y actuadores (Haller et al., 2019). Sobre esta base existen familias especializadas (SAREF para eficiencia energética, OntoCape para procesos químicos (Marquardt et al., 2010), DEXPI para el intercambio de instrumentación, o la ontología de fundamento BFO), cuya fragmentación documentan revisiones recientes sobre gemelos digitales (Karabulut et al., 2023) y sobre ontologías de seguridad industrial (Jarwar et al., 2025), que además señalan la escasa cobertura del sector hídrico. El cierre del ciclo de la ontología a la IA es aún incipiente; Hendriks et al. (2024) aportan uno de los pocos casos aplicados. Para respetar las restricciones de tiempo real y de borde, esta estructura semántica se emplea fuera de línea, como conocimiento previo que fija la adyacencia de los modelos de grafo o parametriza los regímenes de las máquinas de estado, y no como un razonador que se ejecute en el lazo de inferencia; el modelo embebido ejecuta así solo operaciones tensoriales rápidas cuyo sesgo inductivo ya viene dictado por la semántica. Por su madurez y su papel habilitador, esta estructuración del contexto cristaliza en una fase avanzada, una vez comprendidas las necesidades de la detección.</w:t>
      </w:r>
    </w:p>
    <w:p w14:paraId="16910854" w14:textId="77777777" w:rsidR="00506561" w:rsidRDefault="00D24483">
      <w:pPr>
        <w:spacing w:after="200" w:line="288" w:lineRule="auto"/>
        <w:ind w:firstLine="720"/>
        <w:jc w:val="both"/>
      </w:pPr>
      <w:r>
        <w:t>El despliegue en planta exige ejecutar la inferencia en hardware con recursos limitados, bajo restricciones de latencia y consumo. Cuando un modelo lo requiera, las técnicas de compresión (cuantización y poda) y los motores de inferencia (ONNX Runtime, TensorRT) permiten alcanzar latencias operativas en plataformas embebidas (Zhou et al., 2024; Mathur &amp; Tippenhauer, 2016). La investigación trata esta viabilidad como una consecuencia operativa, que se caracteriza sobre perfiles de carga realistas, no como objeto de estudio en sí. La detección de anomalías sobre microcontroladores y hardware de bajo consumo (TinyML) resulta ya viable en aplicaciones industriales próximas, incluido el monitorizado no supervisado y en el propio dispositivo de equipos como bombas (Antonini et al., 2023), si bien su instanciación para la detección multivariante en ICS hídrico está aún poco explorada.</w:t>
      </w:r>
    </w:p>
    <w:p w14:paraId="54F92B9F" w14:textId="77777777" w:rsidR="00506561" w:rsidRDefault="00D24483">
      <w:pPr>
        <w:pStyle w:val="Ttulo1"/>
        <w:spacing w:line="288" w:lineRule="auto"/>
      </w:pPr>
      <w:r>
        <w:lastRenderedPageBreak/>
        <w:t>4. Metodología y plan de trabajo previsto</w:t>
      </w:r>
    </w:p>
    <w:p w14:paraId="760B59EF" w14:textId="77777777" w:rsidR="00506561" w:rsidRDefault="00D24483">
      <w:pPr>
        <w:pStyle w:val="Ttulo2"/>
        <w:spacing w:line="288" w:lineRule="auto"/>
      </w:pPr>
      <w:r>
        <w:t>4.1. Marco metodológico</w:t>
      </w:r>
    </w:p>
    <w:p w14:paraId="2C862A99" w14:textId="77777777" w:rsidR="00506561" w:rsidRDefault="00D24483">
      <w:pPr>
        <w:spacing w:after="200" w:line="288" w:lineRule="auto"/>
        <w:ind w:firstLine="720"/>
        <w:jc w:val="both"/>
      </w:pPr>
      <w:r>
        <w:t>Como marco general se adopta la investigación en ciencias del diseño (DSR, del inglés Design Science Research) (Hevner et al., 2004; Peffers et al., 2007), adecuada para una investigación que construye y evalúa artefactos (métodos de detección, un protocolo de evaluación y un sistema integrado) para resolver un problema real. Sus tres ciclos (Hevner, 2007) organizan el trabajo: el de relevancia lo conecta con el dominio hídrico y sus requisitos operativos; el de rigor, con la base de conocimiento (literatura de detección, de evaluación y de modelado); y el de diseño concentra la construcción y la evaluación iterativa de los artefactos.</w:t>
      </w:r>
    </w:p>
    <w:p w14:paraId="3C8F846C" w14:textId="77777777" w:rsidR="00506561" w:rsidRDefault="00D24483">
      <w:pPr>
        <w:spacing w:after="200" w:line="288" w:lineRule="auto"/>
        <w:ind w:firstLine="720"/>
        <w:jc w:val="both"/>
      </w:pPr>
      <w:r>
        <w:t>Para garantizar que la aportación es de conocimiento y no un mero desarrollo, la tesis se posiciona explícitamente en el marco de contribución de Gregor y Hevner (Gregor &amp; Hevner, 2013). Se ubica en el cuadrante de exaptación: extender técnicas de detección relativamente maduras a un dominio y unas restricciones poco explorados (el ICS hídrico y el despliegue en hardware de borde), donde el trasplante no es trivial porque las condiciones del dominio (latencia, memoria, deriva de los sensores) obligan a adaptaciones que generan conocimiento de diseño. El objetivo es una contribución de nivel intermedio, un conjunto de principios de diseño validados; los artefactos construidos (constructos, modelos, un protocolo de evaluación y su instanciación en hardware, en los términos de March y Smith (March &amp; Smith, 1995)) son el vehículo de la evaluación, no el fin. Lo que se persigue abstraer de ellos es conocimiento de diseño generalizable más allá de los bancos de pruebas concretos.</w:t>
      </w:r>
    </w:p>
    <w:p w14:paraId="68D7EE9C" w14:textId="77777777" w:rsidR="00506561" w:rsidRDefault="00D24483">
      <w:pPr>
        <w:spacing w:after="200" w:line="288" w:lineRule="auto"/>
        <w:ind w:firstLine="720"/>
        <w:jc w:val="both"/>
      </w:pPr>
      <w:r>
        <w:t>El artefacto nuclear de la tesis es metodológico: un método de atribución y un protocolo de evaluación riguroso e insesgado, ambos artefactos de primera clase. Las arquitecturas concretas, entre ellas un detector consciente del proceso basado en grafos condicionados por el estado y el régimen operativo, con tratamiento diferenciado de las variables continuas y los actuadores discretos, se tratan como instancias-sonda que materializan las hipótesis de representación y de operacionalización y se ponen a prueba con ese método, no como el objetivo de la investigación. No se fija una arquitectura definitiva, propia de un trabajo de primer año; la que el programa priorice dependerá del resultado del suelo.</w:t>
      </w:r>
    </w:p>
    <w:p w14:paraId="3EE9CC89" w14:textId="77777777" w:rsidR="00506561" w:rsidRDefault="00D24483">
      <w:pPr>
        <w:spacing w:after="200" w:line="288" w:lineRule="auto"/>
        <w:ind w:firstLine="720"/>
        <w:jc w:val="both"/>
      </w:pPr>
      <w:r>
        <w:t>Para operativizar el marco general de DSR en esta investigación, el ciclo de diseño se ejecuta mediante un bucle experimental reproducible que se repite sobre cada hipótesis:</w:t>
      </w:r>
    </w:p>
    <w:p w14:paraId="2A5872E5" w14:textId="77777777" w:rsidR="00506561" w:rsidRDefault="00D24483">
      <w:pPr>
        <w:spacing w:after="200" w:line="288" w:lineRule="auto"/>
        <w:ind w:firstLine="720"/>
        <w:jc w:val="both"/>
      </w:pPr>
      <w:r>
        <w:t>1. Formular una hipótesis falsable con un criterio de éxito verificable (por ejemplo, que un método reduzca la tasa de falsos positivos frente a una línea base a igual exhaustividad sobre SWaT).</w:t>
      </w:r>
    </w:p>
    <w:p w14:paraId="1E3C8DD7" w14:textId="77777777" w:rsidR="00506561" w:rsidRDefault="00D24483">
      <w:pPr>
        <w:spacing w:after="200" w:line="288" w:lineRule="auto"/>
        <w:ind w:firstLine="720"/>
        <w:jc w:val="both"/>
      </w:pPr>
      <w:r>
        <w:t>2. Implementarla de forma reproducible con un flujo notebook-first: se itera en cuaderno hasta consolidar una intuición y se promociona a código con pruebas lo que demuestra valor.</w:t>
      </w:r>
    </w:p>
    <w:p w14:paraId="141A31FF" w14:textId="77777777" w:rsidR="00506561" w:rsidRDefault="00D24483">
      <w:pPr>
        <w:spacing w:after="200" w:line="288" w:lineRule="auto"/>
        <w:ind w:firstLine="720"/>
        <w:jc w:val="both"/>
      </w:pPr>
      <w:r>
        <w:lastRenderedPageBreak/>
        <w:t>3. Evaluarla bajo el protocolo de evaluación riguroso e insesgado descrito en 4.2, sobre los conjuntos de referencia del dominio.</w:t>
      </w:r>
    </w:p>
    <w:p w14:paraId="4BFCC2A7" w14:textId="77777777" w:rsidR="00506561" w:rsidRDefault="00D24483">
      <w:pPr>
        <w:spacing w:after="200" w:line="288" w:lineRule="auto"/>
        <w:ind w:firstLine="720"/>
        <w:jc w:val="both"/>
      </w:pPr>
      <w:r>
        <w:t>4. Compararla con líneas base clásicas y con otras familias de modelos en igualdad de condiciones.</w:t>
      </w:r>
    </w:p>
    <w:p w14:paraId="3AC4514B" w14:textId="77777777" w:rsidR="00506561" w:rsidRDefault="00D24483">
      <w:pPr>
        <w:spacing w:after="200" w:line="288" w:lineRule="auto"/>
        <w:ind w:firstLine="720"/>
        <w:jc w:val="both"/>
      </w:pPr>
      <w:r>
        <w:t>5. Cristalizar el hallazgo (promoción del código, registro en el grafo de conocimiento y, en su caso, publicación) o descartarlo de forma trazable.</w:t>
      </w:r>
    </w:p>
    <w:p w14:paraId="186F6ECF" w14:textId="77777777" w:rsidR="00506561" w:rsidRDefault="00D24483">
      <w:pPr>
        <w:spacing w:after="200" w:line="288" w:lineRule="auto"/>
        <w:ind w:firstLine="720"/>
        <w:jc w:val="both"/>
      </w:pPr>
      <w:r>
        <w:t>6. Realimentar la revisión bibliográfica y el diseño del siguiente experimento.</w:t>
      </w:r>
    </w:p>
    <w:p w14:paraId="05FAB665" w14:textId="77777777" w:rsidR="00506561" w:rsidRDefault="00D24483">
      <w:pPr>
        <w:spacing w:after="200" w:line="288" w:lineRule="auto"/>
        <w:ind w:firstLine="720"/>
        <w:jc w:val="both"/>
      </w:pPr>
      <w:r>
        <w:t>El ciclo de diseño se evalúa, además, mediante un diseño de atribución factorial. Sobre el protocolo insesgado y los conjuntos de referencia, se comparan configuraciones que activan o desactivan cada factor, la representación del contexto y la operacionalización de la decisión, de forma cruzada y a capacidad del modelo controlada. El diseño mide los efectos principales de cada factor y su interacción, de modo que la mejora observada se atribuye a su origen y no a su mera suma; si ambos factores se solapan, esa redundancia es en sí un resultado. Las antiguas dimensiones (fiabilidad y evaluación, deriva, explicabilidad y contexto operativo) no se abordan como etapas sucesivas ni como líneas paralelas, sino como factores cuya contribución marginal a la brecha se estima de forma condicional al pipeline fijado. El protocolo declara qué componentes se mantienen fijos y cuáles se reoptimizan en cada configuración, de modo que las contribuciones se interpretan como condicionales a ese pipeline y no como efectos causales puros. Cada factor se activa por niveles funcionales (por ejemplo, una representación base frente a otra enriquecida con contexto y régimen), de modo que toda configuración produce una entrada válida para la operacionalización y no se confunde la ausencia de un factor con un modelo degradado; puesto que el flujo representación-operacionalización es jerárquico, el análisis emplea un modelo con término de interacción, no aditivo, y esa interacción es en sí un resultado.</w:t>
      </w:r>
    </w:p>
    <w:p w14:paraId="7E340732" w14:textId="77777777" w:rsidR="00506561" w:rsidRDefault="00D24483">
      <w:pPr>
        <w:spacing w:after="200" w:line="288" w:lineRule="auto"/>
        <w:ind w:firstLine="720"/>
        <w:jc w:val="both"/>
      </w:pPr>
      <w:r>
        <w:t>La estrategia de evaluación se articula con el marco FEDS (Venable et al., 2016). Dado que el riesgo dominante es técnico antes que social, se adopta la estrategia de riesgo técnico y eficacia: evaluación formativa en entorno artificial durante el desarrollo (ajuste de hiperparámetros y ablaciones) y evaluación sumativa, también artificial, sobre los bancos públicos (sección 4.2), con líneas base reproducidas en igualdad de condiciones, múltiples semillas y análisis de significancia, y sobre más de un conjunto de datos y más de una métrica, como exige la literatura de evaluación del dominio (Lamberts et al., 2023). En consecuencia, el banco de pruebas demuestra eficacia (que el efecto observado se debe al artefacto), no efectividad en operación real; la evaluación naturalista, con despliegue en planta y operador en el lazo, se reconoce como frontera pendiente y trabajo futuro.</w:t>
      </w:r>
    </w:p>
    <w:p w14:paraId="2D050672" w14:textId="77777777" w:rsidR="00506561" w:rsidRDefault="00D24483">
      <w:pPr>
        <w:pStyle w:val="Ttulo2"/>
        <w:spacing w:line="288" w:lineRule="auto"/>
      </w:pPr>
      <w:r>
        <w:t>4.2. Diseño experimental</w:t>
      </w:r>
    </w:p>
    <w:p w14:paraId="34D511DD" w14:textId="77777777" w:rsidR="00506561" w:rsidRDefault="00D24483">
      <w:pPr>
        <w:spacing w:after="200" w:line="288" w:lineRule="auto"/>
        <w:ind w:firstLine="720"/>
        <w:jc w:val="both"/>
      </w:pPr>
      <w:r>
        <w:rPr>
          <w:b/>
        </w:rPr>
        <w:t>Conjuntos de datos.</w:t>
      </w:r>
      <w:r>
        <w:t xml:space="preserve"> La base experimental son los conjuntos públicos y etiquetados de referencia del dominio: SWaT y WADI, del iTrust Centre de la SUTD (Lemos, 2021; Goh et al., 2017; Mathur &amp; Tippenhauer, 2016), con HAI y BATADAL como extensiones para contrastar procesos y topologías distintas. El uso exclusivo de datos públicos garantiza la reproducibilidad total y la comparabilidad con la literatura. Ante la ausencia de datos de planta real etiquetados, sin los cuales la detección no es medible, el salto entre entrenamiento y operación se aproxima por dos vías. La principal es la generalización temporal dentro de una misma planta, entrenando en un periodo o versión y evaluando en otro posterior, que reproduce la deriva entre entrenamiento y operación sin alterar la física del proceso. La transferencia entre bancos de distinto tipo (SWaT, de tratamiento, frente a WADI, de distribución, con espacios de estado y física diferentes) no se plantea como transferencia de pesos, que fracasaría por el cambio de proceso y no por la calidad del modelo, sino como prueba de si el método y la arquitectura (por ejemplo, una red de grafos que aprende </w:t>
        <w:lastRenderedPageBreak/>
        <w:t>la adyacencia funcional a partir de los datos) generalizan de forma agnóstica al proceso, reentrenando sobre la operación normal de cada planta (Dong et al., 2023).</w:t>
      </w:r>
    </w:p>
    <w:p>
      <w:pPr/>
      <w:r>
        <w:rPr>
          <w:b/>
        </w:rPr>
        <w:t xml:space="preserve">Diseño del estudio y variables. </w:t>
      </w:r>
      <w:r>
        <w:t>El estudio es cuasi-experimental, con evaluación retrospectiva sobre datasets públicos validados y generalización temporal intra-planta como aproximación a la deriva entre entrenamiento y operación. Las variables independientes son la capacidad y la familia del modelo, la activación de la representación del contexto, la activación de la operacionalización consciente del tipo de señal y el nivel de compresión para el despliegue. Las dependientes son las métricas operativas (AUC-PR, AUC-ROC sin umbral, retardo de detección y tasa de falsos positivos) y la latencia y la huella de memoria en borde. Se controlan el dataset, las particiones, el hardware y las semillas, y se neutralizan como variables de confusión la filtración del umbral y de la normalización, el ajuste por puntos y el solape de ventana.</w:t>
      </w:r>
    </w:p>
    <w:p w14:paraId="6D1B2BF1" w14:textId="77777777" w:rsidR="00506561" w:rsidRDefault="00D24483">
      <w:pPr>
        <w:spacing w:after="200" w:line="288" w:lineRule="auto"/>
        <w:ind w:firstLine="720"/>
        <w:jc w:val="both"/>
      </w:pPr>
      <w:r>
        <w:rPr>
          <w:b/>
        </w:rPr>
        <w:t>Protocolo de evaluación riguroso e insesgado.</w:t>
      </w:r>
      <w:r>
        <w:t xml:space="preserve"> Constituye la eje metodológico y la principal exigencia de rigor. Toda comparación fija el umbral sin información del conjunto de prueba, prescinde del ajuste por puntos, emplea validación cruzada de avance temporal y reporta métricas operativas (latencia, tasa de falsos positivos y retardo de detección) además de la exactitud (Wu &amp; Keogh, 2021; Kim et al., 2022; Garg et al., 2021). Se incorporan métricas sensibles a la estructura temporal y al coste operativo, como el volumen bajo la superficie, las métricas de afiliación y la evaluación con presupuesto de alarmas (Paparrizos et al., 2022; Huet et al., 2022; Heydari &amp; Nyarko, 2026). Este protocolo precede y condiciona cualquier afirmación de fiabilidad.</w:t>
      </w:r>
    </w:p>
    <w:p w14:paraId="4671A287" w14:textId="77777777" w:rsidR="00506561" w:rsidRDefault="00D24483">
      <w:pPr>
        <w:spacing w:after="200" w:line="288" w:lineRule="auto"/>
        <w:ind w:firstLine="720"/>
        <w:jc w:val="both"/>
      </w:pPr>
      <w:r>
        <w:rPr>
          <w:b/>
        </w:rPr>
        <w:t>Familias de modelos.</w:t>
      </w:r>
      <w:r>
        <w:t xml:space="preserve"> Se comparan en igualdad de condiciones líneas base clásicas como Isolation Forest (Liu et al., 2008), modelos de predicción basados en LSTM y Transformers (Sutskever et al., 2014; Vaswani et al., 2017), de reconstrucción con autocodificadores y sus variantes (Audibert et al., 2020; Su et al., 2019; Tuli et al., 2022), modelos basados en grafos (Chen et al., 2021; Deng &amp; Hooi, 2021; Wu et al., 2020; Zhao et al., 2020) y de reglas invariantes (Feng et al., 2019; Umer et al., 2020; Raman &amp; Mathur, 2022). Así se cubren los distintos sesgos inductivos con que cada familia modela la normalidad del proceso.</w:t>
      </w:r>
    </w:p>
    <w:p w14:paraId="1074F721" w14:textId="77777777" w:rsidR="00506561" w:rsidRDefault="00D24483">
      <w:pPr>
        <w:spacing w:after="200" w:line="288" w:lineRule="auto"/>
        <w:ind w:firstLine="720"/>
        <w:jc w:val="both"/>
      </w:pPr>
      <w:r>
        <w:rPr>
          <w:b/>
        </w:rPr>
        <w:t>Reproducibilidad.</w:t>
      </w:r>
      <w:r>
        <w:t xml:space="preserve"> El desarrollo sigue un flujo notebook-first: se itera en cuaderno y se promociona a módulos con pruebas lo que se consolida. El entorno se empaqueta en contenedores (ThingsBoard, s.f.) y el código y los resultados se publican como artefacto citable (repositorio y tabla comparativa de resultados), coherente con la exigencia de evaluación reproducible y con la transferencia al sector.</w:t>
      </w:r>
    </w:p>
    <w:p>
      <w:pPr/>
      <w:r>
        <w:rPr>
          <w:b/>
        </w:rPr>
        <w:t xml:space="preserve">Amenazas a la validez. </w:t>
      </w:r>
      <w:r>
        <w:t>La validez interna se protege fijando el umbral y la normalización sin información del conjunto de prueba y prescindiendo del ajuste por puntos. La validez de constructo se atiende reportando métricas sensibles a la estructura temporal (afiliación, volumen bajo la superficie) y de carga de alarmas, además de la exactitud; estas se emplean como proxies de utilidad operativa, no como medidas directas del comportamiento humano (carga cognitiva, confianza o fatiga). La validez externa se acota reconociendo que los testbeds son muestras por conveniencia y evaluando la generalización entre bancos (WADI, HAI). La validez de conclusión se refuerza con el diseño factorial, que separa los efectos de cada factor y su interacción y evita atribuir a uno lo que corresponde a otro o a su solape. Por último, la validez de construcción del proxy operativo se argumenta de forma explícita: la generalización temporal intra-planta aproxima la deriva entre entrenamiento y operación; la degradación inyectada, el cambio de régimen; y el presupuesto de alarmas, la carga sobre el operador, mientras que la escala, la heterogeneidad entre plantas y la dimensión humana quedan fuera del proxy y se reconocen como límites del alcance.</w:t>
      </w:r>
    </w:p>
    <w:p w14:paraId="7239578B" w14:textId="77777777" w:rsidR="00506561" w:rsidRDefault="00D24483">
      <w:pPr>
        <w:pStyle w:val="Ttulo2"/>
        <w:spacing w:line="288" w:lineRule="auto"/>
      </w:pPr>
      <w:r>
        <w:t>4.3. Organización del trabajo: corrientes continuas y líneas de experimentación</w:t>
      </w:r>
    </w:p>
    <w:p w14:paraId="1CE0764B" w14:textId="77777777" w:rsidR="00506561" w:rsidRDefault="00D24483">
      <w:pPr>
        <w:spacing w:after="200" w:line="288" w:lineRule="auto"/>
        <w:ind w:firstLine="720"/>
        <w:jc w:val="both"/>
      </w:pPr>
      <w:r>
        <w:t>El trabajo se organiza alrededor del programa de falsación, no de una secuencia fija de líneas. Dos corrientes transversales y permanentes, la revisión sistemática continua y la infraestructura experimental reproducible, y una rampa inicial de fundamentos sostienen un núcleo gobernado por una lógica de decisión.</w:t>
      </w:r>
    </w:p>
    <w:p w14:paraId="6A26EC64" w14:textId="77777777" w:rsidR="00506561" w:rsidRDefault="00D24483">
      <w:pPr>
        <w:spacing w:after="200" w:line="288" w:lineRule="auto"/>
        <w:ind w:firstLine="720"/>
        <w:jc w:val="both"/>
      </w:pPr>
      <w:r>
        <w:t>Las dos corrientes transversales recorren todo el doctorado. La primera es la revisión sistemática continua de la literatura, que alimenta un grafo de conocimiento (gestión de referencias con Zotero y notas enlazadas en Obsidian) y orienta las decisiones de diseño. La segunda es la infraestructura y la práctica experimental reproducible (entornos, contenedores, control de versiones y registro de experimentos), que sostiene el bucle de 4.1.</w:t>
      </w:r>
    </w:p>
    <w:p w14:paraId="7247ADAA" w14:textId="77777777" w:rsidR="00506561" w:rsidRDefault="00D24483">
      <w:pPr>
        <w:spacing w:after="200" w:line="288" w:lineRule="auto"/>
        <w:ind w:firstLine="720"/>
        <w:jc w:val="both"/>
      </w:pPr>
      <w:r>
        <w:t>La rampa inicial se concentra en el primer año y realimenta a las líneas posteriores. Comprende la formación en sistemas de control industrial, ciberseguridad de infraestructuras críticas y técnicas de IA; la comprensión del dominio hídrico, su arquitectura OT/IT y los vectores de ataque documentados; y un análisis exploratorio multinivel de los datos (caracterización de señales, análisis temporal de regímenes y estacionariedad, y análisis relacional entre variables, con descriptores como catch22 (Lubba et al., 2019)). Esta caracterización alimenta de forma continua las líneas de experimentación.</w:t>
      </w:r>
    </w:p>
    <w:p w14:paraId="42DE3DD5" w14:textId="77777777" w:rsidR="00506561" w:rsidRDefault="00D24483">
      <w:pPr>
        <w:spacing w:after="200" w:line="288" w:lineRule="auto"/>
        <w:ind w:firstLine="720"/>
        <w:jc w:val="both"/>
      </w:pPr>
      <w:r>
        <w:t>El núcleo es una lógica de decisión, no una lista de líneas paralelas, pero sus entregables están comprometidos: el suelo (Paper 1) y el método de atribución son fijos, y las dos sondas, representación y operacionalización, se ejecutan ambas. Lo que el resultado del suelo prioriza es el orden y la profundidad de cada una, no su existencia. El punto de corte se fija al final del primer año:</w:t>
      </w:r>
    </w:p>
    <w:p w14:paraId="62F6DD95" w14:textId="77777777" w:rsidR="00506561" w:rsidRDefault="00D24483">
      <w:pPr>
        <w:spacing w:after="200" w:line="288" w:lineRule="auto"/>
        <w:ind w:firstLine="720"/>
        <w:jc w:val="both"/>
      </w:pPr>
      <w:r>
        <w:t>1. Suelo: evaluación insesgada y primera atribución. Comparación de familias bajo el protocolo riguroso e insesgado de 4.2 y medición inicial de qué factores pesan en la brecha. Es la precondición y la primera sonda del programa.</w:t>
      </w:r>
    </w:p>
    <w:p w14:paraId="339F88BA" w14:textId="77777777" w:rsidR="00506561" w:rsidRDefault="00D24483">
      <w:pPr>
        <w:spacing w:after="200" w:line="288" w:lineRule="auto"/>
        <w:ind w:firstLine="720"/>
        <w:jc w:val="both"/>
      </w:pPr>
      <w:r>
        <w:t>2. Sonda de la rama priorizada. Según el resultado del suelo, se profundiza en la operacionalización o en la representación, cuantificando su contribución con el diseño de atribución.</w:t>
      </w:r>
    </w:p>
    <w:p w14:paraId="0A4D1B1E" w14:textId="77777777" w:rsidR="00506561" w:rsidRDefault="00D24483">
      <w:pPr>
        <w:spacing w:after="200" w:line="288" w:lineRule="auto"/>
        <w:ind w:firstLine="720"/>
        <w:jc w:val="both"/>
      </w:pPr>
      <w:r>
        <w:t>3. Segunda sonda y síntesis. Se aborda el factor restante y se integran los resultados en un método de atribución y un conjunto de principios; la explicabilidad de las alarmas y la estructuración del contexto intervienen aquí como instrumentos de la representación o como consecuencias de la operacionalización, no como líneas independientes.</w:t>
      </w:r>
    </w:p>
    <w:p w14:paraId="294A8E80" w14:textId="77777777" w:rsidR="00506561" w:rsidRDefault="00D24483">
      <w:pPr>
        <w:spacing w:after="200" w:line="288" w:lineRule="auto"/>
        <w:ind w:firstLine="720"/>
        <w:jc w:val="both"/>
      </w:pPr>
      <w:r>
        <w:t>La viabilidad de despliegue en hardware de planta acompaña a estas líneas como comprobación operativa (latencia y huella de memoria sobre perfiles de carga realistas), no como objeto central. Una etapa final de integración reúne las piezas en una propuesta coherente.</w:t>
      </w:r>
    </w:p>
    <w:p w14:paraId="2C49999F" w14:textId="77777777" w:rsidR="00506561" w:rsidRDefault="00D24483">
      <w:pPr>
        <w:spacing w:after="200" w:line="288" w:lineRule="auto"/>
        <w:ind w:firstLine="720"/>
        <w:jc w:val="both"/>
      </w:pPr>
      <w:r>
        <w:t>La redacción y difusión es una actividad continua desde el segundo año, en paralelo con la experimentación, que articula las publicaciones de una posible tesis por compendio y la redacción final de la memoria.</w:t>
      </w:r>
    </w:p>
    <w:p w14:paraId="1E97296D" w14:textId="77777777" w:rsidR="00506561" w:rsidRDefault="00D24483">
      <w:pPr>
        <w:pStyle w:val="Ttulo2"/>
        <w:spacing w:line="288" w:lineRule="auto"/>
      </w:pPr>
      <w:r>
        <w:t>4.4. Cronograma y duración prevista</w:t>
      </w:r>
    </w:p>
    <w:p w14:paraId="281D0B13" w14:textId="77777777" w:rsidR="00506561" w:rsidRDefault="00D24483">
      <w:pPr>
        <w:spacing w:after="200" w:line="288" w:lineRule="auto"/>
        <w:ind w:firstLine="720"/>
        <w:jc w:val="both"/>
      </w:pPr>
      <w:r>
        <w:t>El doctorado se plantea para cuatro años a tiempo completo. El cronograma refleja la naturaleza paralela del trabajo: las dos corrientes transversales y la redacción ocupan barras continuas; la rampa de fundamentos se concentra al inicio pero realimenta a las líneas posteriores; y las sondas del programa se solapan ampliamente a lo largo de los años segundo y tercero, sin un orden estricto entre ellas.</w:t>
      </w:r>
    </w:p>
    <w:tbl>
      <w:tblPr>
        <w:tblW w:w="8924" w:type="dxa"/>
        <w:tblLayout w:type="fixed"/>
        <w:tblCellMar>
          <w:top w:w="40" w:type="dxa"/>
          <w:left w:w="60" w:type="dxa"/>
          <w:bottom w:w="40" w:type="dxa"/>
          <w:right w:w="60" w:type="dxa"/>
        </w:tblCellMar>
        <w:tblLook w:val="0000" w:firstRow="0" w:lastRow="0" w:firstColumn="0" w:lastColumn="0" w:noHBand="0" w:noVBand="0"/>
      </w:tblPr>
      <w:tblGrid>
        <w:gridCol w:w="2524"/>
        <w:gridCol w:w="400"/>
        <w:gridCol w:w="400"/>
        <w:gridCol w:w="400"/>
        <w:gridCol w:w="400"/>
        <w:gridCol w:w="400"/>
        <w:gridCol w:w="400"/>
        <w:gridCol w:w="400"/>
        <w:gridCol w:w="400"/>
        <w:gridCol w:w="400"/>
        <w:gridCol w:w="400"/>
        <w:gridCol w:w="400"/>
        <w:gridCol w:w="400"/>
        <w:gridCol w:w="400"/>
        <w:gridCol w:w="400"/>
        <w:gridCol w:w="400"/>
        <w:gridCol w:w="400"/>
      </w:tblGrid>
      <w:tr w:rsidR="0053250A" w14:paraId="71589919" w14:textId="77777777">
        <w:trPr>
          <w:cantSplit/>
          <w:tblHeader/>
        </w:trPr>
        <w:tc>
          <w:tcPr>
            <w:tcW w:w="2524" w:type="dxa"/>
            <w:vMerge w:val="restart"/>
            <w:tcBorders>
              <w:top w:val="single" w:sz="2" w:space="0" w:color="888888"/>
              <w:left w:val="single" w:sz="2" w:space="0" w:color="888888"/>
              <w:bottom w:val="single" w:sz="2" w:space="0" w:color="888888"/>
              <w:right w:val="single" w:sz="2" w:space="0" w:color="888888"/>
            </w:tcBorders>
            <w:shd w:val="clear" w:color="auto" w:fill="D9E2F3"/>
          </w:tcPr>
          <w:p w14:paraId="7C065660" w14:textId="77777777" w:rsidR="0053250A" w:rsidRDefault="00D24483">
            <w:pPr>
              <w:spacing w:line="360" w:lineRule="auto"/>
              <w:jc w:val="center"/>
            </w:pPr>
            <w:r>
              <w:rPr>
                <w:b/>
                <w:bCs/>
                <w:sz w:val="20"/>
                <w:szCs w:val="20"/>
              </w:rPr>
              <w:t>TAREAS</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1A2CAC9F" w14:textId="77777777" w:rsidR="0053250A" w:rsidRDefault="00D24483">
            <w:pPr>
              <w:spacing w:line="360" w:lineRule="auto"/>
              <w:jc w:val="center"/>
            </w:pPr>
            <w:r>
              <w:rPr>
                <w:b/>
                <w:bCs/>
                <w:sz w:val="20"/>
                <w:szCs w:val="20"/>
              </w:rPr>
              <w:t>AÑO 1</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3EE71106" w14:textId="77777777" w:rsidR="0053250A" w:rsidRDefault="00D24483">
            <w:pPr>
              <w:spacing w:line="360" w:lineRule="auto"/>
              <w:jc w:val="center"/>
            </w:pPr>
            <w:r>
              <w:rPr>
                <w:b/>
                <w:bCs/>
                <w:sz w:val="20"/>
                <w:szCs w:val="20"/>
              </w:rPr>
              <w:t>AÑO 2</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4184F509" w14:textId="77777777" w:rsidR="0053250A" w:rsidRDefault="00D24483">
            <w:pPr>
              <w:spacing w:line="360" w:lineRule="auto"/>
              <w:jc w:val="center"/>
            </w:pPr>
            <w:r>
              <w:rPr>
                <w:b/>
                <w:bCs/>
                <w:sz w:val="20"/>
                <w:szCs w:val="20"/>
              </w:rPr>
              <w:t>AÑO 3</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24B93CA7" w14:textId="77777777" w:rsidR="0053250A" w:rsidRDefault="00D24483">
            <w:pPr>
              <w:spacing w:line="360" w:lineRule="auto"/>
              <w:jc w:val="center"/>
            </w:pPr>
            <w:r>
              <w:rPr>
                <w:b/>
                <w:bCs/>
                <w:sz w:val="20"/>
                <w:szCs w:val="20"/>
              </w:rPr>
              <w:t>AÑO 4</w:t>
            </w:r>
          </w:p>
        </w:tc>
      </w:tr>
      <w:tr w:rsidR="0053250A" w14:paraId="3BD9045A" w14:textId="77777777">
        <w:trPr>
          <w:cantSplit/>
          <w:tblHeader/>
        </w:trPr>
        <w:tc>
          <w:tcPr>
            <w:tcW w:w="2524" w:type="dxa"/>
            <w:vMerge/>
            <w:tcBorders>
              <w:top w:val="single" w:sz="2" w:space="0" w:color="888888"/>
              <w:left w:val="single" w:sz="2" w:space="0" w:color="888888"/>
              <w:bottom w:val="single" w:sz="2" w:space="0" w:color="888888"/>
              <w:right w:val="single" w:sz="2" w:space="0" w:color="888888"/>
            </w:tcBorders>
            <w:tcMar>
              <w:top w:w="0" w:type="dxa"/>
              <w:left w:w="10" w:type="dxa"/>
              <w:bottom w:w="0" w:type="dxa"/>
              <w:right w:w="10" w:type="dxa"/>
            </w:tcMar>
          </w:tcPr>
          <w:p w14:paraId="6EF64A64" w14:textId="77777777" w:rsidR="0053250A" w:rsidRDefault="0053250A">
            <w:pPr>
              <w:spacing w:line="360" w:lineRule="auto"/>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990D756"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44A1E591"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1F0D81A"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5F9F0A8D"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364AA65"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7E9E976"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63AE4EF9"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31189115"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6829851"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B1A0C0E"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14D4A82"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D301367"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8651669"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49197244"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041766A"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A68A6F0" w14:textId="77777777" w:rsidR="0053250A" w:rsidRDefault="00D24483">
            <w:pPr>
              <w:spacing w:line="360" w:lineRule="auto"/>
              <w:jc w:val="center"/>
            </w:pPr>
            <w:r>
              <w:rPr>
                <w:b/>
                <w:bCs/>
                <w:sz w:val="16"/>
                <w:szCs w:val="16"/>
              </w:rPr>
              <w:t>Q4</w:t>
            </w:r>
          </w:p>
        </w:tc>
      </w:tr>
      <w:tr w:rsidR="0053250A" w14:paraId="63CCFBD5"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0F88CF42" w14:textId="77777777" w:rsidR="00506561" w:rsidRDefault="00D24483">
            <w:pPr>
              <w:spacing w:line="360" w:lineRule="auto"/>
            </w:pPr>
            <w:r>
              <w:rPr>
                <w:sz w:val="16"/>
                <w:szCs w:val="16"/>
              </w:rPr>
              <w:t>Corriente A: Revisión sistemática continua</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E83D34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4DC68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CC6F5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7B3C7D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70768C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4CD33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850F01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417012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194703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A0C9A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1654BA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136DA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26182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1EB2B6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5EC11A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6E7009" w14:textId="77777777" w:rsidR="00506561" w:rsidRDefault="00506561">
            <w:pPr>
              <w:spacing w:line="360" w:lineRule="auto"/>
              <w:jc w:val="both"/>
            </w:pPr>
          </w:p>
        </w:tc>
      </w:tr>
      <w:tr w:rsidR="0053250A" w14:paraId="777C3C30"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9E6103E" w14:textId="77777777" w:rsidR="00506561" w:rsidRDefault="00D24483">
            <w:pPr>
              <w:spacing w:line="360" w:lineRule="auto"/>
            </w:pPr>
            <w:r>
              <w:rPr>
                <w:sz w:val="16"/>
                <w:szCs w:val="16"/>
              </w:rPr>
              <w:t>Corriente B: Infraestructura experimental reproducible</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A09E9A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95557F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1BEC8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C4DDC6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20DEBD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B1E1B7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D111F3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4E8540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FEC8D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109A61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36141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7AE0F6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B92843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EE8087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9A14F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0228604" w14:textId="77777777" w:rsidR="00506561" w:rsidRDefault="00506561">
            <w:pPr>
              <w:spacing w:line="360" w:lineRule="auto"/>
              <w:jc w:val="both"/>
            </w:pPr>
          </w:p>
        </w:tc>
      </w:tr>
      <w:tr w:rsidR="0053250A" w14:paraId="0EC7A53C"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741DFDA3" w14:textId="77777777" w:rsidR="00506561" w:rsidRDefault="00D24483">
            <w:pPr>
              <w:spacing w:line="360" w:lineRule="auto"/>
            </w:pPr>
            <w:r>
              <w:rPr>
                <w:sz w:val="16"/>
                <w:szCs w:val="16"/>
              </w:rPr>
              <w:t>Rampa: Fundamentos, dominio y caracterización de datos</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D984E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701A69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560999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5F017A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6C95D6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611278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B269A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314F5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61B8A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99DC1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40E38B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0A17FD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EB34FE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00C114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9FEAC0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A1A51F9" w14:textId="77777777" w:rsidR="00506561" w:rsidRDefault="00506561">
            <w:pPr>
              <w:spacing w:line="360" w:lineRule="auto"/>
              <w:jc w:val="both"/>
            </w:pPr>
          </w:p>
        </w:tc>
      </w:tr>
      <w:tr w:rsidR="0053250A" w14:paraId="555BFBB7"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1C1AB83B" w14:textId="77777777" w:rsidR="00506561" w:rsidRDefault="00D24483">
            <w:pPr>
              <w:spacing w:line="360" w:lineRule="auto"/>
            </w:pPr>
            <w:r>
              <w:rPr>
                <w:sz w:val="16"/>
                <w:szCs w:val="16"/>
              </w:rPr>
              <w:t>Suelo: evaluación insesgada + atribución (Paper 1)</w:t>
            </w:r>
          </w:p>
        </w:tc>
        <w:tc>
          <w:tcPr>
            <w:tcW w:w="400" w:type="dxa"/>
            <w:tcBorders>
              <w:top w:val="single" w:sz="2" w:space="0" w:color="888888"/>
              <w:left w:val="single" w:sz="2" w:space="0" w:color="888888"/>
              <w:bottom w:val="single" w:sz="2" w:space="0" w:color="888888"/>
              <w:right w:val="single" w:sz="2" w:space="0" w:color="888888"/>
            </w:tcBorders>
          </w:tcPr>
          <w:p w14:paraId="481A633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75CD5C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F82E26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B3372F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FCE2B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363AE5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224019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A5EE53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58C282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ED2A5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17E6B6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9EC1F5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27C532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68E0E1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2BFD19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3D9609B" w14:textId="77777777" w:rsidR="00506561" w:rsidRDefault="00506561">
            <w:pPr>
              <w:spacing w:line="360" w:lineRule="auto"/>
              <w:jc w:val="both"/>
            </w:pPr>
          </w:p>
        </w:tc>
      </w:tr>
      <w:tr w:rsidR="0053250A" w14:paraId="3C071BEF"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4D47A6A" w14:textId="77777777" w:rsidR="00506561" w:rsidRDefault="00D24483">
            <w:pPr>
              <w:spacing w:line="360" w:lineRule="auto"/>
            </w:pPr>
            <w:r>
              <w:rPr>
                <w:sz w:val="16"/>
                <w:szCs w:val="16"/>
              </w:rPr>
              <w:t>Sonda de la rama priorizada</w:t>
            </w:r>
          </w:p>
        </w:tc>
        <w:tc>
          <w:tcPr>
            <w:tcW w:w="400" w:type="dxa"/>
            <w:tcBorders>
              <w:top w:val="single" w:sz="2" w:space="0" w:color="888888"/>
              <w:left w:val="single" w:sz="2" w:space="0" w:color="888888"/>
              <w:bottom w:val="single" w:sz="2" w:space="0" w:color="888888"/>
              <w:right w:val="single" w:sz="2" w:space="0" w:color="888888"/>
            </w:tcBorders>
          </w:tcPr>
          <w:p w14:paraId="266913A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82454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4D6E3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2F549B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71A8F8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10227C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ABC09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D4C74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FECA98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52FB01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183A10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1C62DD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AD95AD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F7E936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5E9406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05806BC" w14:textId="77777777" w:rsidR="00506561" w:rsidRDefault="00506561">
            <w:pPr>
              <w:spacing w:line="360" w:lineRule="auto"/>
              <w:jc w:val="both"/>
            </w:pPr>
          </w:p>
        </w:tc>
      </w:tr>
      <w:tr w:rsidR="0053250A" w14:paraId="276EC396"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77C77E28" w14:textId="77777777" w:rsidR="00506561" w:rsidRDefault="00D24483">
            <w:pPr>
              <w:spacing w:line="360" w:lineRule="auto"/>
            </w:pPr>
            <w:r>
              <w:rPr>
                <w:sz w:val="16"/>
                <w:szCs w:val="16"/>
              </w:rPr>
              <w:t>Segunda sonda</w:t>
            </w:r>
          </w:p>
        </w:tc>
        <w:tc>
          <w:tcPr>
            <w:tcW w:w="400" w:type="dxa"/>
            <w:tcBorders>
              <w:top w:val="single" w:sz="2" w:space="0" w:color="888888"/>
              <w:left w:val="single" w:sz="2" w:space="0" w:color="888888"/>
              <w:bottom w:val="single" w:sz="2" w:space="0" w:color="888888"/>
              <w:right w:val="single" w:sz="2" w:space="0" w:color="888888"/>
            </w:tcBorders>
          </w:tcPr>
          <w:p w14:paraId="3B3FB8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69C66F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925F7D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0A1566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87CBE2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498C1D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351AB8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F2F148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32F32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9A617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3DC78C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1314B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30F360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999951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3FA9E8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0A079D6" w14:textId="77777777" w:rsidR="00506561" w:rsidRDefault="00506561">
            <w:pPr>
              <w:spacing w:line="360" w:lineRule="auto"/>
              <w:jc w:val="both"/>
            </w:pPr>
          </w:p>
        </w:tc>
      </w:tr>
      <w:tr w:rsidR="0053250A" w14:paraId="5CD297B1"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5F5217D9" w14:textId="77777777" w:rsidR="00506561" w:rsidRDefault="00D24483">
            <w:pPr>
              <w:spacing w:line="360" w:lineRule="auto"/>
            </w:pPr>
            <w:r>
              <w:rPr>
                <w:sz w:val="16"/>
                <w:szCs w:val="16"/>
              </w:rPr>
              <w:t>Síntesis e integración del programa</w:t>
            </w:r>
          </w:p>
        </w:tc>
        <w:tc>
          <w:tcPr>
            <w:tcW w:w="400" w:type="dxa"/>
            <w:tcBorders>
              <w:top w:val="single" w:sz="2" w:space="0" w:color="888888"/>
              <w:left w:val="single" w:sz="2" w:space="0" w:color="888888"/>
              <w:bottom w:val="single" w:sz="2" w:space="0" w:color="888888"/>
              <w:right w:val="single" w:sz="2" w:space="0" w:color="888888"/>
            </w:tcBorders>
          </w:tcPr>
          <w:p w14:paraId="6B69DAA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6F7042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D6715D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6BD085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CF5861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224DDD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B5F6CA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6D7291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74F3D1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5E7022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A4B775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C2E8CF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0E2AE5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346BB1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B84FEE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833F889" w14:textId="77777777" w:rsidR="00506561" w:rsidRDefault="00506561">
            <w:pPr>
              <w:spacing w:line="360" w:lineRule="auto"/>
              <w:jc w:val="both"/>
            </w:pPr>
          </w:p>
        </w:tc>
      </w:tr>
      <w:tr w:rsidR="0053250A" w14:paraId="0B75CA32"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16124376" w14:textId="77777777" w:rsidR="00506561" w:rsidRDefault="00D24483">
            <w:pPr>
              <w:spacing w:line="360" w:lineRule="auto"/>
            </w:pPr>
            <w:r>
              <w:rPr>
                <w:sz w:val="16"/>
                <w:szCs w:val="16"/>
              </w:rPr>
              <w:t>Viabilidad de despliegue (comprobación operativa)</w:t>
            </w:r>
          </w:p>
        </w:tc>
        <w:tc>
          <w:tcPr>
            <w:tcW w:w="400" w:type="dxa"/>
            <w:tcBorders>
              <w:top w:val="single" w:sz="2" w:space="0" w:color="888888"/>
              <w:left w:val="single" w:sz="2" w:space="0" w:color="888888"/>
              <w:bottom w:val="single" w:sz="2" w:space="0" w:color="888888"/>
              <w:right w:val="single" w:sz="2" w:space="0" w:color="888888"/>
            </w:tcBorders>
          </w:tcPr>
          <w:p w14:paraId="55B2B7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4327A0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F7F49C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13F750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A7A27F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B5B5F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7B1D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D33F9B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DFF1DE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F2ABA2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5351DF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1CBBA3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FB2B06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5257D7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A4C05B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18521FE" w14:textId="77777777" w:rsidR="00506561" w:rsidRDefault="00506561">
            <w:pPr>
              <w:spacing w:line="360" w:lineRule="auto"/>
              <w:jc w:val="both"/>
            </w:pPr>
          </w:p>
        </w:tc>
      </w:tr>
      <w:tr w:rsidR="0053250A" w14:paraId="60693AA4"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0DA8721" w14:textId="77777777" w:rsidR="00506561" w:rsidRDefault="00D24483">
            <w:pPr>
              <w:spacing w:line="360" w:lineRule="auto"/>
            </w:pPr>
            <w:r>
              <w:rPr>
                <w:sz w:val="16"/>
                <w:szCs w:val="16"/>
              </w:rPr>
              <w:t>Redacción y difusión</w:t>
            </w:r>
          </w:p>
        </w:tc>
        <w:tc>
          <w:tcPr>
            <w:tcW w:w="400" w:type="dxa"/>
            <w:tcBorders>
              <w:top w:val="single" w:sz="2" w:space="0" w:color="888888"/>
              <w:left w:val="single" w:sz="2" w:space="0" w:color="888888"/>
              <w:bottom w:val="single" w:sz="2" w:space="0" w:color="888888"/>
              <w:right w:val="single" w:sz="2" w:space="0" w:color="888888"/>
            </w:tcBorders>
          </w:tcPr>
          <w:p w14:paraId="1A7EC1D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BDF78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72DEBF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7C154F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EE56E7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2CB597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E3417B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F7E16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32B685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34F752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A4E29F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3ABD5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1906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521E21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FEBF5C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A3FE60C" w14:textId="77777777" w:rsidR="00506561" w:rsidRDefault="00506561">
            <w:pPr>
              <w:spacing w:line="360" w:lineRule="auto"/>
              <w:jc w:val="both"/>
            </w:pPr>
          </w:p>
        </w:tc>
      </w:tr>
      <w:tr w:rsidR="0053250A" w14:paraId="139E2CA2"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3FFB8F14" w14:textId="77777777" w:rsidR="00506561" w:rsidRDefault="00D24483">
            <w:pPr>
              <w:spacing w:line="360" w:lineRule="auto"/>
            </w:pPr>
            <w:r>
              <w:rPr>
                <w:sz w:val="16"/>
                <w:szCs w:val="16"/>
              </w:rPr>
              <w:t>Integración y memoria final</w:t>
            </w:r>
          </w:p>
        </w:tc>
        <w:tc>
          <w:tcPr>
            <w:tcW w:w="400" w:type="dxa"/>
            <w:tcBorders>
              <w:top w:val="single" w:sz="2" w:space="0" w:color="888888"/>
              <w:left w:val="single" w:sz="2" w:space="0" w:color="888888"/>
              <w:bottom w:val="single" w:sz="2" w:space="0" w:color="888888"/>
              <w:right w:val="single" w:sz="2" w:space="0" w:color="888888"/>
            </w:tcBorders>
          </w:tcPr>
          <w:p w14:paraId="30ACC2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EAF0A0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C20CB1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11B364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FCFE6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3B7B3D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97C235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A63A1D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44463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545892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7ABCF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532E19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053CB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FF710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447686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27C3F89" w14:textId="77777777" w:rsidR="00506561" w:rsidRDefault="00506561">
            <w:pPr>
              <w:spacing w:line="360" w:lineRule="auto"/>
              <w:jc w:val="both"/>
            </w:pPr>
          </w:p>
        </w:tc>
      </w:tr>
    </w:tbl>
    <w:p w14:paraId="7D3E8E86" w14:textId="77777777" w:rsidR="00506561" w:rsidRDefault="00D24483">
      <w:pPr>
        <w:spacing w:after="200" w:line="288" w:lineRule="auto"/>
        <w:ind w:firstLine="720"/>
        <w:jc w:val="both"/>
      </w:pPr>
      <w:r>
        <w:t>La granularidad fina por trimestre se ajusta al maquetar; lo esencial es que las barras se solapen y las corrientes sean continuas.</w:t>
      </w:r>
    </w:p>
    <w:p>
      <w:pPr>
        <w:spacing w:after="200" w:line="288" w:lineRule="auto"/>
        <w:ind w:firstLine="720"/>
        <w:jc w:val="both"/>
      </w:pPr>
      <w:r>
        <w:t xml:space="preserve">Todas las tareas son ejecutadas por el doctorando bajo la supervisión continua de los directores de tesis. Las dos corrientes transversales (revisión sistemática continua e infraestructura experimental reproducible) y la línea de viabilidad de despliegue se apoyan, además, en los recursos y el personal del grupo de investigación GRITA y en el contexto del proyecto TrueData.</w:t>
      </w:r>
    </w:p>
    <w:p w14:paraId="36230FBB" w14:textId="77777777" w:rsidR="00506561" w:rsidRDefault="00D24483">
      <w:pPr>
        <w:pStyle w:val="Ttulo2"/>
        <w:spacing w:line="288" w:lineRule="auto"/>
      </w:pPr>
      <w:r>
        <w:t>4.5. Instalaciones, instrumentos y técnicas disponibles</w:t>
      </w:r>
    </w:p>
    <w:p w14:paraId="7A1F3A58" w14:textId="77777777" w:rsidR="00506561" w:rsidRDefault="00D24483">
      <w:pPr>
        <w:spacing w:after="200" w:line="288" w:lineRule="auto"/>
        <w:ind w:firstLine="720"/>
        <w:jc w:val="both"/>
      </w:pPr>
      <w:r>
        <w:t>La investigación se desarrollaría en las instalaciones de la UCAM, en el seno del grupo de investigación GRITA, que reúne la infraestructura necesaria para el trabajo previsto. En el plano del cómputo se dispone de servidores con unidades de procesamiento gráfico (GPU) NVIDIA, accesibles mediante VPN/SSH, que permitirían entrenar los modelos de aprendizaje profundo, y de hardware embebido representativo del que podría encontrarse en planta (Raspberry Pi 4/5, NVIDIA Jetson Nano y equipos industriales compactos), adecuado para las pruebas de viabilidad de inferencia. En el plano de los datos, la base experimental son los conjuntos de referencia del dominio SWaT y WADI, proporcionados por el iTrust Centre de la SUTD. El proyecto TrueData (INCIBE), origen de esta línea de investigación, aporta el contexto aplicado y el conocimiento del dominio, pero no datos de operación; la obtención de datos de plantas reales para la validación se plantea como una vía deseable, condicionada a acuerdos con operadores del sector. La principal dificultad para esa validación no es solo el acceso, sino la ausencia de etiquetas de referencia en los datos de operación, sin las cuales la detección no es medible; la literatura reciente señala precisamente la escasez de etiquetas y la falta de generalización entre plantas como obstáculos centrales para el despliegue (Dong et al., 2023). Por ello la base experimental se apoya en los bancos públicos etiquetados.</w:t>
      </w:r>
    </w:p>
    <w:p w14:paraId="1B0E31C4" w14:textId="77777777" w:rsidR="00506561" w:rsidRDefault="00D24483">
      <w:pPr>
        <w:spacing w:after="200" w:line="288" w:lineRule="auto"/>
        <w:ind w:firstLine="720"/>
        <w:jc w:val="both"/>
      </w:pPr>
      <w:r>
        <w:t>En cuanto al software, el trabajo se apoya en el ecosistema de código abierto de Python, por dos motivos: favorece la reproducibilidad (coherente con el protocolo de evaluación riguroso e insesgado de 3.4) y facilita una eventual transferencia de los resultados al sector. El núcleo de herramientas se fija a continuación; las dependencias periféricas se consolidan conforme los experimentos lo requieran.</w:t>
      </w:r>
    </w:p>
    <w:p w14:paraId="0A97DFFB" w14:textId="77777777" w:rsidR="00506561" w:rsidRDefault="00D24483">
      <w:pPr>
        <w:spacing w:after="200" w:line="288" w:lineRule="auto"/>
        <w:ind w:firstLine="720"/>
        <w:jc w:val="both"/>
      </w:pPr>
      <w:r>
        <w:t xml:space="preserve">El desarrollo se apoya en PyTorch para el entrenamiento de modelos de aprendizaje profundo; en scikit-learn y statsmodels para las líneas base de aprendizaje automático clásico y los modelos estadísticos de series temporales; y en bibliotecas especializadas como sktime para la detección de cambios y de anomalías sobre series temporales. La evaluación emplea implementaciones de referencia de métricas sensibles a la estructura temporal (precisión y exhaustividad por rangos, o volumen bajo la superficie). Para la viabilidad de despliegue se </w:t>
        <w:lastRenderedPageBreak/>
        <w:t>emplean motores de inferencia como ONNX Runtime o TensorRT, junto con técnicas de compresión (cuantización y poda). Capacidades adicionales (modelos basados en grafos o técnicas de explicabilidad como los valores SHAP) se incorporan cuando la línea experimental correspondiente lo requiere.</w:t>
      </w:r>
    </w:p>
    <w:p w14:paraId="7F78675D" w14:textId="77777777" w:rsidR="00506561" w:rsidRDefault="00D24483">
      <w:pPr>
        <w:spacing w:after="200" w:line="288" w:lineRule="auto"/>
        <w:ind w:firstLine="720"/>
        <w:jc w:val="both"/>
      </w:pPr>
      <w:r>
        <w:t>En la adquisición y gestión de datos, la infraestructura del grupo se apoya en la plataforma ThingsBoard (edición comunitaria) para la gestión de entidades, con empaquetado en contenedores Docker multiarquitectura, lo que facilitaría reproducir el entorno en distintas plataformas (ThingsBoard, s.f.). La gestión bibliográfica y de notas se realiza con Zotero y Obsidian, con apoyo de herramientas de descubrimiento de literatura como ResearchRabbit o Consensus.</w:t>
      </w:r>
    </w:p>
    <w:p w14:paraId="49224A0E" w14:textId="77777777" w:rsidR="00506561" w:rsidRDefault="00D24483">
      <w:pPr>
        <w:pStyle w:val="Ttulo1"/>
        <w:spacing w:line="288" w:lineRule="auto"/>
      </w:pPr>
      <w:r>
        <w:t>5. Interés científico del proyecto</w:t>
      </w:r>
    </w:p>
    <w:p w14:paraId="437FCAE2" w14:textId="77777777" w:rsidR="00506561" w:rsidRDefault="00D24483">
      <w:pPr>
        <w:spacing w:after="200" w:line="288" w:lineRule="auto"/>
        <w:ind w:firstLine="720"/>
        <w:jc w:val="both"/>
      </w:pPr>
      <w:r>
        <w:t>El interés científico de la propuesta está en desplazar el foco de la detección de anomalías en infraestructuras hídricas desde el rendimiento en banco de pruebas hacia los factores que condicionan su utilidad operativa, y en aislar la contribución de cada uno. El valor esperado no es un detector, sino un método y unos principios.</w:t>
      </w:r>
    </w:p>
    <w:p w14:paraId="18972B1A" w14:textId="77777777" w:rsidR="00506561" w:rsidRDefault="00D24483">
      <w:pPr>
        <w:spacing w:after="200" w:line="288" w:lineRule="auto"/>
        <w:ind w:firstLine="720"/>
        <w:jc w:val="both"/>
      </w:pPr>
      <w:r>
        <w:t>En primer lugar, un método de atribución que, sobre un protocolo de evaluación riguroso e insesgado, estima la contribución marginal de la capacidad del modelo, de la representación del contexto y de la operacionalización de la decisión, condicional al pipeline. Responde, además, a un vacío señalado por revisiones recientes, que reclaman estudios controlados capaces de aislar el efecto del régimen operativo, del volumen de datos y de los priors estructurales sobre la detección. Saber qué factor mueve la aguja es, además, directamente accionable para el operador, pues orienta dónde invertir el esfuerzo de ingeniería en una planta concreta. Es reutilizable más allá del dominio hídrico.</w:t>
      </w:r>
    </w:p>
    <w:p w14:paraId="7A5D469B" w14:textId="77777777" w:rsidR="00506561" w:rsidRDefault="00D24483">
      <w:pPr>
        <w:spacing w:after="200" w:line="288" w:lineRule="auto"/>
        <w:ind w:firstLine="720"/>
        <w:jc w:val="both"/>
      </w:pPr>
      <w:r>
        <w:t>En segundo lugar, un conjunto de principios de diseño validados: la separación sistemática de lo que la literatura suele colapsar (el modelo frente al criterio de decisión, las variables discretas frente a las continuas, la rareza estadística frente a la consecuencia operativa).</w:t>
      </w:r>
    </w:p>
    <w:p w14:paraId="676A910E" w14:textId="77777777" w:rsidR="00506561" w:rsidRDefault="00D24483">
      <w:pPr>
        <w:spacing w:after="200" w:line="288" w:lineRule="auto"/>
        <w:ind w:firstLine="720"/>
        <w:jc w:val="both"/>
      </w:pPr>
      <w:r>
        <w:t>El valor de esta formulación es robusto al resultado: la contribución persiste cualquiera que sea la fracción atribuida a cada factor. La detección fiable, la robustez frente a la deriva, la explicabilidad de las alarmas y la estructuración del contexto se mantienen como dimensiones del estudio, subordinadas a la pregunta y no planteadas como frentes paralelos. La relevancia para el dominio (infraestructura crítica del agua y obligaciones de la Directiva NIS2) se conserva como motivación y como ciclo de relevancia del marco DSR, no como promesa de despliegue: la validación naturalista, con datos de planta real y operador en el lazo, se declara como trabajo futuro condicionado a acuerdos con operadores del sector.</w:t>
      </w:r>
    </w:p>
    <w:p w14:paraId="7E4BC3E3" w14:textId="77777777" w:rsidR="00506561" w:rsidRDefault="00D24483">
      <w:pPr>
        <w:spacing w:after="200" w:line="288" w:lineRule="auto"/>
        <w:ind w:firstLine="720"/>
        <w:jc w:val="both"/>
      </w:pPr>
      <w:r>
        <w:t>El conjunto coincide con los intereses de revistas de referencia del área (IEEE Transactions on Industrial Cyber-Physical Systems, IEEE Transactions on Industrial Informatics, International Journal of Critical Infrastructure Protection o IEEE Internet of Things Journal), que reclaman métodos de detección robustos, fiables e interpretables para sistemas ciberfísicos industriales.</w:t>
      </w:r>
    </w:p>
    <w:p w14:paraId="3BA6DAB2" w14:textId="77777777" w:rsidR="00506561" w:rsidRDefault="00D24483">
      <w:pPr>
        <w:spacing w:after="200" w:line="288" w:lineRule="auto"/>
        <w:ind w:firstLine="720"/>
        <w:jc w:val="both"/>
      </w:pPr>
      <w:r>
        <w:lastRenderedPageBreak/>
        <w:t>Por último, la plataforma resultante, reproducible y empaquetada en contenedores, podría servir de base para la transferencia al sector del agua y para la continuidad de la línea de investigación iniciada con el proyecto TrueData, en línea con la estrategia nacional de ciberseguridad en infraestructuras críticas. La dependencia mundial de la desalación y la escalada de ciberataques contra infraestructuras hídricas dan a la detección fiable, robusta y explicable de anomalías una aplicabilidad que trasciende el contexto español y europeo.</w:t>
      </w:r>
    </w:p>
    <w:p w14:paraId="0B20A2A1" w14:textId="77777777" w:rsidR="00506561" w:rsidRDefault="00D24483">
      <w:pPr>
        <w:pStyle w:val="Ttulo1"/>
        <w:spacing w:line="288" w:lineRule="auto"/>
      </w:pPr>
      <w:r>
        <w:t>6. Bibliografía consultada</w:t>
      </w:r>
    </w:p>
    <w:p>
      <w:pPr>
        <w:spacing w:after="100" w:line="288" w:lineRule="auto"/>
        <w:ind w:left="567" w:hanging="567"/>
      </w:pPr>
      <w:r>
        <w:rPr>
          <w:sz w:val="20"/>
          <w:szCs w:val="20"/>
        </w:rPr>
        <w:t xml:space="preserve">Adepu, S., &amp; Mathur, A. (2018). Distributed attack detection in a water treatment plant: Method and case study. IEEE Transactions on Dependable and Secure Computing. https://doi.org/10.1109/TDSC.2018.2875008</w:t>
      </w:r>
    </w:p>
    <w:p>
      <w:pPr>
        <w:spacing w:after="100" w:line="288" w:lineRule="auto"/>
        <w:ind w:left="567" w:hanging="567"/>
      </w:pPr>
      <w:r>
        <w:rPr>
          <w:sz w:val="20"/>
          <w:szCs w:val="20"/>
        </w:rPr>
        <w:t xml:space="preserve">Alnegheimish, S., Liu, L., Sala, A., Berti-Equille, L., &amp; Veeramachaneni, K. (2025). M2AD: Multi-sensor multi-system anomaly detection through global scoring and calibrated thresholding. arXiv preprint arXiv:2504.15225.</w:t>
      </w:r>
    </w:p>
    <w:p>
      <w:pPr>
        <w:spacing w:after="100" w:line="288" w:lineRule="auto"/>
        <w:ind w:left="567" w:hanging="567"/>
      </w:pPr>
      <w:r>
        <w:rPr>
          <w:sz w:val="20"/>
          <w:szCs w:val="20"/>
        </w:rPr>
        <w:t xml:space="preserve">Alves, B. C. F., Pinho, A. J., &amp; Gouveia, S. (2026). Unified taxonomy for multivariate time series anomaly detection using deep learning. arXiv preprint arXiv:2603.18941.</w:t>
      </w:r>
    </w:p>
    <w:p>
      <w:pPr>
        <w:spacing w:after="100" w:line="288" w:lineRule="auto"/>
        <w:ind w:left="567" w:hanging="567"/>
      </w:pPr>
      <w:r>
        <w:rPr>
          <w:sz w:val="20"/>
          <w:szCs w:val="20"/>
        </w:rPr>
        <w:t xml:space="preserve">Anadolu Agency. (2025). Middle East confronts intensifying water crisis as desalination becomes lifeline for region.</w:t>
      </w:r>
    </w:p>
    <w:p>
      <w:pPr>
        <w:spacing w:after="100" w:line="288" w:lineRule="auto"/>
        <w:ind w:left="567" w:hanging="567"/>
      </w:pPr>
      <w:r>
        <w:rPr>
          <w:sz w:val="20"/>
          <w:szCs w:val="20"/>
        </w:rPr>
        <w:t xml:space="preserve">Antonini, M., Pincheira, M., Vecchio, M., &amp; Antonelli, F. (2023). An adaptable and unsupervised TinyML anomaly detection system for extreme industrial environments. Sensors, 23(4), 2344. https://doi.org/10.3390/s23042344</w:t>
      </w:r>
    </w:p>
    <w:p>
      <w:pPr>
        <w:spacing w:after="100" w:line="288" w:lineRule="auto"/>
        <w:ind w:left="567" w:hanging="567"/>
      </w:pPr>
      <w:r>
        <w:rPr>
          <w:sz w:val="20"/>
          <w:szCs w:val="20"/>
        </w:rPr>
        <w:t xml:space="preserve">Audibert, J., Michiardi, P., Guyard, F., Marti, S., &amp; Zuluaga, M. A. (2020). USAD: UnSupervised anomaly detection on multivariate time series. Proceedings of the 26th ACM SIGKDD (KDD '20), 3395-3404. https://doi.org/10.1145/3394486.3403392</w:t>
      </w:r>
    </w:p>
    <w:p>
      <w:pPr>
        <w:spacing w:after="100" w:line="288" w:lineRule="auto"/>
        <w:ind w:left="567" w:hanging="567"/>
      </w:pPr>
      <w:r>
        <w:rPr>
          <w:sz w:val="20"/>
          <w:szCs w:val="20"/>
        </w:rPr>
        <w:t xml:space="preserve">Barakat, G., Gupta, H., D'Agati, L., Tricomi, G., Longo, F., Merlino, G., &amp; Puliafito, A. (2025). State-based modeling and anomaly detection in industrial systems using DEVS. 2025 IEEE International Conference on Smart Computing (SMARTCOMP), 474-479. https://doi.org/10.1109/SMARTCOMP65954.2025.00108</w:t>
      </w:r>
    </w:p>
    <w:p>
      <w:pPr>
        <w:spacing w:after="100" w:line="288" w:lineRule="auto"/>
        <w:ind w:left="567" w:hanging="567"/>
      </w:pPr>
      <w:r>
        <w:rPr>
          <w:sz w:val="20"/>
          <w:szCs w:val="20"/>
        </w:rPr>
        <w:t xml:space="preserve">Bayram, F., Ahmed, B. S., &amp; Kassler, A. (2022). From concept drift to model degradation: An overview on performance-aware drift detectors. Knowledge-Based Systems, 245, 108632. https://doi.org/10.1016/j.knosys.2022.108632</w:t>
      </w:r>
    </w:p>
    <w:p>
      <w:pPr>
        <w:spacing w:after="100" w:line="288" w:lineRule="auto"/>
        <w:ind w:left="567" w:hanging="567"/>
      </w:pPr>
      <w:r>
        <w:rPr>
          <w:sz w:val="20"/>
          <w:szCs w:val="20"/>
        </w:rPr>
        <w:t xml:space="preserve">Billings, S. A. (2013). Nonlinear system identification: NARMAX methods in the time, frequency, and spatio-temporal domains. John Wiley &amp; Sons.</w:t>
      </w:r>
    </w:p>
    <w:p>
      <w:pPr>
        <w:spacing w:after="100" w:line="288" w:lineRule="auto"/>
        <w:ind w:left="567" w:hanging="567"/>
      </w:pPr>
      <w:r>
        <w:rPr>
          <w:sz w:val="20"/>
          <w:szCs w:val="20"/>
        </w:rPr>
        <w:t xml:space="preserve">Cai, J., Wei, Z., &amp; Luo, J. (2024). ICS anomaly detection based on sensor patterns and actuator rules in spatiotemporal dependency. IEEE Transactions on Industrial Informatics, 20(8), 10647-10656. https://doi.org/10.1109/TII.2024.3393528</w:t>
      </w:r>
    </w:p>
    <w:p>
      <w:pPr>
        <w:spacing w:after="100" w:line="288" w:lineRule="auto"/>
        <w:ind w:left="567" w:hanging="567"/>
      </w:pPr>
      <w:r>
        <w:rPr>
          <w:sz w:val="20"/>
          <w:szCs w:val="20"/>
        </w:rPr>
        <w:t xml:space="preserve">Chandola, V., Banerjee, A., &amp; Kumar, V. (2009). Anomaly detection: A survey. ACM Computing Surveys, 41(3), 1-58. https://doi.org/10.1145/1541880.1541882</w:t>
      </w:r>
    </w:p>
    <w:p>
      <w:pPr>
        <w:spacing w:after="100" w:line="288" w:lineRule="auto"/>
        <w:ind w:left="567" w:hanging="567"/>
      </w:pPr>
      <w:r>
        <w:rPr>
          <w:sz w:val="20"/>
          <w:szCs w:val="20"/>
        </w:rPr>
        <w:t xml:space="preserve">Chen, Z., Chen, D., Zhang, X., Yuan, Z., &amp; Cheng, X. (2021). Learning graph structures with transformer for multivariate time-series anomaly detection in IoT. IEEE Internet of Things Journal, 9(12), 9179-9189.</w:t>
      </w:r>
    </w:p>
    <w:p>
      <w:pPr>
        <w:spacing w:after="100" w:line="288" w:lineRule="auto"/>
        <w:ind w:left="567" w:hanging="567"/>
      </w:pPr>
      <w:r>
        <w:rPr>
          <w:sz w:val="20"/>
          <w:szCs w:val="20"/>
        </w:rPr>
        <w:t xml:space="preserve">CISA. (2023). IRGC-affiliated cyber actors exploit PLCs in multiple sectors, including U.S. water and wastewater systems facilities. Cybersecurity Advisory AA23-335A.</w:t>
      </w:r>
    </w:p>
    <w:p>
      <w:pPr>
        <w:spacing w:after="100" w:line="288" w:lineRule="auto"/>
        <w:ind w:left="567" w:hanging="567"/>
      </w:pPr>
      <w:r>
        <w:rPr>
          <w:sz w:val="20"/>
          <w:szCs w:val="20"/>
        </w:rPr>
        <w:t xml:space="preserve">Claroty Team82. (2024). IOCONTROL: A custom-built IoT/OT malware deployed by Iran-affiliated CyberAv3ngers. Claroty Research Report.</w:t>
      </w:r>
    </w:p>
    <w:p>
      <w:pPr>
        <w:spacing w:after="100" w:line="288" w:lineRule="auto"/>
        <w:ind w:left="567" w:hanging="567"/>
      </w:pPr>
      <w:r>
        <w:rPr>
          <w:sz w:val="20"/>
          <w:szCs w:val="20"/>
        </w:rPr>
        <w:t xml:space="preserve">Consejo de Ministros. (2025). Anteproyecto de Ley de Coordinación y Gobernanza de la Ciberseguridad, por el que se transpone la Directiva (UE) 2022/2555 (NIS2) al ordenamiento jurídico español (en tramitación). Referencia del Consejo de Ministros de 14 de enero de 2025.</w:t>
      </w:r>
    </w:p>
    <w:p>
      <w:pPr>
        <w:spacing w:after="100" w:line="288" w:lineRule="auto"/>
        <w:ind w:left="567" w:hanging="567"/>
      </w:pPr>
      <w:r>
        <w:rPr>
          <w:sz w:val="20"/>
          <w:szCs w:val="20"/>
        </w:rPr>
        <w:t xml:space="preserve">De Maesschalck, R., Jouan-Rimbaud, D., &amp; Massart, D. L. (2000). The Mahalanobis distance. Chemometrics and Intelligent Laboratory Systems, 50(1), 1-18.</w:t>
      </w:r>
    </w:p>
    <w:p>
      <w:pPr>
        <w:spacing w:after="100" w:line="288" w:lineRule="auto"/>
        <w:ind w:left="567" w:hanging="567"/>
      </w:pPr>
      <w:r>
        <w:rPr>
          <w:sz w:val="20"/>
          <w:szCs w:val="20"/>
        </w:rPr>
        <w:t xml:space="preserve">Deng, A., &amp; Hooi, B. (2021). Graph neural network-based anomaly detection in multivariate time series. Proceedings of the AAAI Conference on Artificial Intelligence, 35(5), 4027-4035.</w:t>
      </w:r>
    </w:p>
    <w:p>
      <w:pPr>
        <w:spacing w:after="100" w:line="288" w:lineRule="auto"/>
        <w:ind w:left="567" w:hanging="567"/>
      </w:pPr>
      <w:r>
        <w:rPr>
          <w:sz w:val="20"/>
          <w:szCs w:val="20"/>
        </w:rPr>
        <w:t xml:space="preserve">Directiva (UE) 2022/2555 del Parlamento Europeo y del Consejo, de 14 de diciembre de 2022, relativa a medidas destinadas a garantizar un elevado nivel común de ciberseguridad en toda la Unión (NIS2). Diario Oficial de la Unión Europea, L 333, 80-152.</w:t>
      </w:r>
    </w:p>
    <w:p>
      <w:pPr>
        <w:spacing w:after="100" w:line="288" w:lineRule="auto"/>
        <w:ind w:left="567" w:hanging="567"/>
      </w:pPr>
      <w:r>
        <w:rPr>
          <w:sz w:val="20"/>
          <w:szCs w:val="20"/>
        </w:rPr>
        <w:t xml:space="preserve">Dong, Y., Chen, K., &amp; Ma, Z. (2023). Comparative study on semi-supervised learning applied for anomaly detection in hydraulic condition monitoring system. 2023 IEEE International Conference on Systems, Man, and Cybernetics (SMC), 1702-1708. https://doi.org/10.1109/SMC53992.2023.10394193</w:t>
      </w:r>
    </w:p>
    <w:p>
      <w:pPr>
        <w:spacing w:after="100" w:line="288" w:lineRule="auto"/>
        <w:ind w:left="567" w:hanging="567"/>
      </w:pPr>
      <w:r>
        <w:rPr>
          <w:sz w:val="20"/>
          <w:szCs w:val="20"/>
        </w:rPr>
        <w:t xml:space="preserve">Feng, C., Palleti, V. R., Mathur, A., &amp; Chana, D. (2019). A systematic framework to generate invariants for anomaly detection in industrial control systems. Proceedings of the NDSS Symposium 2019.</w:t>
      </w:r>
    </w:p>
    <w:p>
      <w:pPr>
        <w:spacing w:after="100" w:line="288" w:lineRule="auto"/>
        <w:ind w:left="567" w:hanging="567"/>
      </w:pPr>
      <w:r>
        <w:rPr>
          <w:sz w:val="20"/>
          <w:szCs w:val="20"/>
        </w:rPr>
        <w:t xml:space="preserve">Franco de la Peña, M., Perales Gómez, Á. L., &amp; Fernández Maimó, L. (2025). ShaTS: A Shapley-based explainability method for time series artificial intelligence models applied to anomaly detection in Industrial Internet of Things. arXiv preprint arXiv:2506.01450.</w:t>
      </w:r>
    </w:p>
    <w:p>
      <w:pPr>
        <w:spacing w:after="100" w:line="288" w:lineRule="auto"/>
        <w:ind w:left="567" w:hanging="567"/>
      </w:pPr>
      <w:r>
        <w:rPr>
          <w:sz w:val="20"/>
          <w:szCs w:val="20"/>
        </w:rPr>
        <w:t xml:space="preserve">Fung, C., Zeng, E., &amp; Bauer, L. (2024). Attributions for ML-based ICS anomaly detection: From theory to practice. Proceedings of the 2024 Network and Distributed System Security Symposium (NDSS). https://doi.org/10.14722/ndss.2024.23216</w:t>
      </w:r>
    </w:p>
    <w:p>
      <w:pPr>
        <w:spacing w:after="100" w:line="288" w:lineRule="auto"/>
        <w:ind w:left="567" w:hanging="567"/>
      </w:pPr>
      <w:r>
        <w:rPr>
          <w:sz w:val="20"/>
          <w:szCs w:val="20"/>
        </w:rPr>
        <w:t xml:space="preserve">Gama, J., Žliobaitė, I., Bifet, A., Pechenizkiy, M., &amp; Bouchachia, A. (2014). A survey on concept drift adaptation. ACM Computing Surveys, 46(4), 1-37. https://doi.org/10.1145/2523813</w:t>
      </w:r>
    </w:p>
    <w:p>
      <w:pPr>
        <w:spacing w:after="100" w:line="288" w:lineRule="auto"/>
        <w:ind w:left="567" w:hanging="567"/>
      </w:pPr>
      <w:r>
        <w:rPr>
          <w:sz w:val="20"/>
          <w:szCs w:val="20"/>
        </w:rPr>
        <w:t xml:space="preserve">Gao, Z., Cecati, C., &amp; Ding, S. X. (2015). A survey of fault diagnosis and fault-tolerant techniques, Part I: Fault diagnosis with model-based and signal-based approaches. IEEE Transactions on Industrial Electronics, 62(6), 3757-3767. https://doi.org/10.1109/TIE.2015.2417501</w:t>
      </w:r>
    </w:p>
    <w:p>
      <w:pPr>
        <w:spacing w:after="100" w:line="288" w:lineRule="auto"/>
        <w:ind w:left="567" w:hanging="567"/>
      </w:pPr>
      <w:r>
        <w:rPr>
          <w:sz w:val="20"/>
          <w:szCs w:val="20"/>
        </w:rPr>
        <w:t xml:space="preserve">Garg, A., Zhang, W., Samaran, J., Savitha, R., &amp; Foo, C.-S. (2021). An evaluation of anomaly detection and diagnosis in multivariate time series. IEEE Transactions on Neural Networks and Learning Systems, 33(6), 2508-2517. https://doi.org/10.1109/TNNLS.2021.3105827</w:t>
      </w:r>
    </w:p>
    <w:p>
      <w:pPr>
        <w:spacing w:after="100" w:line="288" w:lineRule="auto"/>
        <w:ind w:left="567" w:hanging="567"/>
      </w:pPr>
      <w:r>
        <w:rPr>
          <w:sz w:val="20"/>
          <w:szCs w:val="20"/>
        </w:rPr>
        <w:t xml:space="preserve">Ghaeini, H. R., Antonioli, D., Brasser, F., Sadeghi, A.-R., &amp; Tippenhauer, N. O. (2018). State-aware anomaly detection for industrial control systems. Proceedings of the 33rd Annual ACM Symposium on Applied Computing (SAC), 1620-1628. https://doi.org/10.1145/3167132.3167305</w:t>
      </w:r>
    </w:p>
    <w:p>
      <w:pPr>
        <w:spacing w:after="100" w:line="288" w:lineRule="auto"/>
        <w:ind w:left="567" w:hanging="567"/>
      </w:pPr>
      <w:r>
        <w:rPr>
          <w:sz w:val="20"/>
          <w:szCs w:val="20"/>
        </w:rPr>
        <w:t xml:space="preserve">Giraldo, J., Urbina, D., Cardenas, A., Valente, J., Faisal, M., Ruths, J., Tippenhauer, N. O., Sandberg, H., &amp; Candell, R. (2018). A survey of physics-based attack detection in cyber-physical systems. ACM Computing Surveys, 51(4), 1-36.</w:t>
      </w:r>
    </w:p>
    <w:p>
      <w:pPr>
        <w:spacing w:after="100" w:line="288" w:lineRule="auto"/>
        <w:ind w:left="567" w:hanging="567"/>
      </w:pPr>
      <w:r>
        <w:rPr>
          <w:sz w:val="20"/>
          <w:szCs w:val="20"/>
        </w:rPr>
        <w:t xml:space="preserve">Givehchi, O., Landsdorf, K., Simoens, P., &amp; Jasperneite, J. (2017). Interoperability for industrial cyber-physical systems: An approach for legacy systems. IEEE Transactions on Industrial Informatics, 13(6), 3370-3378.</w:t>
      </w:r>
    </w:p>
    <w:p>
      <w:pPr>
        <w:spacing w:after="100" w:line="288" w:lineRule="auto"/>
        <w:ind w:left="567" w:hanging="567"/>
      </w:pPr>
      <w:r>
        <w:rPr>
          <w:sz w:val="20"/>
          <w:szCs w:val="20"/>
        </w:rPr>
        <w:t xml:space="preserve">Goh, J., Adepu, S., Junejo, K. N., &amp; Mathur, A. (2017). A dataset to support research in the design of secure water treatment systems. En G. Havarneanu et al. (Eds.), Critical Information Infrastructures Security (CRITIS 2016), LNCS 10242 (pp. 88-99). Springer.</w:t>
      </w:r>
    </w:p>
    <w:p>
      <w:pPr>
        <w:spacing w:after="100" w:line="288" w:lineRule="auto"/>
        <w:ind w:left="567" w:hanging="567"/>
      </w:pPr>
      <w:r>
        <w:rPr>
          <w:sz w:val="20"/>
          <w:szCs w:val="20"/>
        </w:rPr>
        <w:t xml:space="preserve">Gregor, S., &amp; Hevner, A. R. (2013). Positioning and presenting design science research for maximum impact. MIS Quarterly, 37(2), 337-355. https://doi.org/10.25300/MISQ/2013/37.2.01</w:t>
      </w:r>
    </w:p>
    <w:p>
      <w:pPr>
        <w:spacing w:after="100" w:line="288" w:lineRule="auto"/>
        <w:ind w:left="567" w:hanging="567"/>
      </w:pPr>
      <w:r>
        <w:rPr>
          <w:sz w:val="20"/>
          <w:szCs w:val="20"/>
        </w:rPr>
        <w:t xml:space="preserve">Haller, A., Janowicz, K., Cox, S., Le Phuoc, D., Taylor, K., et al. (2019). The modular SSN ontology: A joint W3C and OGC standard specifying the semantics of sensors, observations, sampling, and actuation. Semantic Web, 10(1), 9-32.</w:t>
      </w:r>
    </w:p>
    <w:p>
      <w:pPr>
        <w:spacing w:after="100" w:line="288" w:lineRule="auto"/>
        <w:ind w:left="567" w:hanging="567"/>
      </w:pPr>
      <w:r>
        <w:rPr>
          <w:sz w:val="20"/>
          <w:szCs w:val="20"/>
        </w:rPr>
        <w:t xml:space="preserve">Han, D., et al. (2023). Anomaly detection in the open world: Normality shift detection, explanation, and adaptation. Proceedings of the 2023 Network and Distributed System Security Symposium (NDSS).</w:t>
      </w:r>
    </w:p>
    <w:p>
      <w:pPr>
        <w:spacing w:after="100" w:line="288" w:lineRule="auto"/>
        <w:ind w:left="567" w:hanging="567"/>
      </w:pPr>
      <w:r>
        <w:rPr>
          <w:sz w:val="20"/>
          <w:szCs w:val="20"/>
        </w:rPr>
        <w:t xml:space="preserve">Hendriks, J., Azarm, M., &amp; Dumond, P. (2024). Structured data ontology for AI in industrial asset condition monitoring. Journal of Sensor and Actuator Networks, 13(2), 23. https://doi.org/10.3390/jsan13020023</w:t>
      </w:r>
    </w:p>
    <w:p>
      <w:pPr>
        <w:spacing w:after="100" w:line="288" w:lineRule="auto"/>
        <w:ind w:left="567" w:hanging="567"/>
      </w:pPr>
      <w:r>
        <w:rPr>
          <w:sz w:val="20"/>
          <w:szCs w:val="20"/>
        </w:rPr>
        <w:t xml:space="preserve">Hevner, A. R. (2007). A three cycle view of design science research. Scandinavian Journal of Information Systems, 19(2), 87-92.</w:t>
      </w:r>
    </w:p>
    <w:p>
      <w:pPr>
        <w:spacing w:after="100" w:line="288" w:lineRule="auto"/>
        <w:ind w:left="567" w:hanging="567"/>
      </w:pPr>
      <w:r>
        <w:rPr>
          <w:sz w:val="20"/>
          <w:szCs w:val="20"/>
        </w:rPr>
        <w:t xml:space="preserve">Hevner, A. R., March, S. T., Park, J., &amp; Ram, S. (2004). Design science in information systems research. MIS Quarterly, 28(1), 75-105.</w:t>
      </w:r>
    </w:p>
    <w:p>
      <w:pPr>
        <w:spacing w:after="100" w:line="288" w:lineRule="auto"/>
        <w:ind w:left="567" w:hanging="567"/>
      </w:pPr>
      <w:r>
        <w:rPr>
          <w:sz w:val="20"/>
          <w:szCs w:val="20"/>
        </w:rPr>
        <w:t xml:space="preserve">Heydari, V., &amp; Nyarko, K. (2026). Alarm-budgeted event-level evaluation of ICS anomaly detection: Lessons from SWaT and WADI. IEEE Access, 14, 17585-17609. https://doi.org/10.1109/ACCESS.2026.3659034</w:t>
      </w:r>
    </w:p>
    <w:p>
      <w:pPr>
        <w:spacing w:after="100" w:line="288" w:lineRule="auto"/>
        <w:ind w:left="567" w:hanging="567"/>
      </w:pPr>
      <w:r>
        <w:rPr>
          <w:sz w:val="20"/>
          <w:szCs w:val="20"/>
        </w:rPr>
        <w:t xml:space="preserve">Huet, A., Navarro, J. M., &amp; Rossi, D. (2022). Local evaluation of time series anomaly detection algorithms. Proceedings of the 28th ACM SIGKDD Conference on Knowledge Discovery and Data Mining (KDD '22), 635-645. https://doi.org/10.1145/3534678.3539339</w:t>
      </w:r>
    </w:p>
    <w:p>
      <w:pPr>
        <w:spacing w:after="100" w:line="288" w:lineRule="auto"/>
        <w:ind w:left="567" w:hanging="567"/>
      </w:pPr>
      <w:r>
        <w:rPr>
          <w:sz w:val="20"/>
          <w:szCs w:val="20"/>
        </w:rPr>
        <w:t xml:space="preserve">ISA-95/IEC 62264. (s.f.). Enterprise-control system integration. International Society of Automation.</w:t>
      </w:r>
    </w:p>
    <w:p>
      <w:pPr>
        <w:spacing w:after="100" w:line="288" w:lineRule="auto"/>
        <w:ind w:left="567" w:hanging="567"/>
      </w:pPr>
      <w:r>
        <w:rPr>
          <w:sz w:val="20"/>
          <w:szCs w:val="20"/>
        </w:rPr>
        <w:t xml:space="preserve">Jarwar, M. A., Watson, J., &amp; Ali, S. (2025). Modeling industrial IoT security using ontologies: A systematic review. IEEE Open Journal of the Communications Society, 6, 2792-2821. https://doi.org/10.1109/OJCOMS.2025.3532224</w:t>
      </w:r>
    </w:p>
    <w:p>
      <w:pPr>
        <w:spacing w:after="100" w:line="288" w:lineRule="auto"/>
        <w:ind w:left="567" w:hanging="567"/>
      </w:pPr>
      <w:r>
        <w:rPr>
          <w:sz w:val="20"/>
          <w:szCs w:val="20"/>
        </w:rPr>
        <w:t xml:space="preserve">Kalman, R. E. (1960). A new approach to linear filtering and prediction problems. Transactions of the ASME, Journal of Basic Engineering, 82(1), 35-45. https://doi.org/10.1115/1.3662552</w:t>
      </w:r>
    </w:p>
    <w:p>
      <w:pPr>
        <w:spacing w:after="100" w:line="288" w:lineRule="auto"/>
        <w:ind w:left="567" w:hanging="567"/>
      </w:pPr>
      <w:r>
        <w:rPr>
          <w:sz w:val="20"/>
          <w:szCs w:val="20"/>
        </w:rPr>
        <w:t xml:space="preserve">Karabulut, E., Pileggi, S. F., Groth, P., &amp; Degeler, V. (2023). Ontologies in digital twins: A systematic literature review. Future Generation Computer Systems. https://doi.org/10.1016/j.future.2023.12.013</w:t>
      </w:r>
    </w:p>
    <w:p>
      <w:pPr>
        <w:spacing w:after="100" w:line="288" w:lineRule="auto"/>
        <w:ind w:left="567" w:hanging="567"/>
      </w:pPr>
      <w:r>
        <w:rPr>
          <w:sz w:val="20"/>
          <w:szCs w:val="20"/>
        </w:rPr>
        <w:t xml:space="preserve">Kim, S., Choi, K., Choi, H.-S., Lee, B., &amp; Yoon, S. (2022). Towards a rigorous evaluation of time-series anomaly detection. Proceedings of the AAAI Conference on Artificial Intelligence, 36(7), 7194-7201.</w:t>
      </w:r>
    </w:p>
    <w:p>
      <w:pPr>
        <w:spacing w:after="100" w:line="288" w:lineRule="auto"/>
        <w:ind w:left="567" w:hanging="567"/>
      </w:pPr>
      <w:r>
        <w:rPr>
          <w:sz w:val="20"/>
          <w:szCs w:val="20"/>
        </w:rPr>
        <w:t xml:space="preserve">Koutroulis, G., Mutlu, B., &amp; Kern, R. (2022). A causality-inspired approach for anomaly detection in a water treatment testbed. Sensors, 23(1), 257. https://doi.org/10.3390/s23010257</w:t>
      </w:r>
    </w:p>
    <w:p>
      <w:pPr>
        <w:spacing w:after="100" w:line="288" w:lineRule="auto"/>
        <w:ind w:left="567" w:hanging="567"/>
      </w:pPr>
      <w:r>
        <w:rPr>
          <w:sz w:val="20"/>
          <w:szCs w:val="20"/>
        </w:rPr>
        <w:t xml:space="preserve">Lamberts, O., Wolsing, K., Wagner, E., Pennekamp, J., Bauer, J., Wehrle, K., &amp; Henze, M. (2023). SoK: Evaluations in industrial intrusion detection research. Journal of Systems Research, 3(1). https://doi.org/10.5070/SR33162445</w:t>
      </w:r>
    </w:p>
    <w:p>
      <w:pPr>
        <w:spacing w:after="100" w:line="288" w:lineRule="auto"/>
        <w:ind w:left="567" w:hanging="567"/>
      </w:pPr>
      <w:r>
        <w:rPr>
          <w:sz w:val="20"/>
          <w:szCs w:val="20"/>
        </w:rPr>
        <w:t xml:space="preserve">Lemos, R. (2021). Hacker tried to poison Florida city's water supply. Dark Reading.</w:t>
      </w:r>
    </w:p>
    <w:p>
      <w:pPr>
        <w:spacing w:after="100" w:line="288" w:lineRule="auto"/>
        <w:ind w:left="567" w:hanging="567"/>
      </w:pPr>
      <w:r>
        <w:rPr>
          <w:sz w:val="20"/>
          <w:szCs w:val="20"/>
        </w:rPr>
        <w:t xml:space="preserve">Li, K., et al. (2025). MLAD: A multi-task learning framework for anomaly detection. Sensors.</w:t>
      </w:r>
    </w:p>
    <w:p>
      <w:pPr>
        <w:spacing w:after="100" w:line="288" w:lineRule="auto"/>
        <w:ind w:left="567" w:hanging="567"/>
      </w:pPr>
      <w:r>
        <w:rPr>
          <w:sz w:val="20"/>
          <w:szCs w:val="20"/>
        </w:rPr>
        <w:t xml:space="preserve">Li, L., Yan, J., Wen, Q., Jin, Y., &amp; Yang, X. (2023). Learning robust deep state space for unsupervised anomaly detection in contaminated time-series. IEEE Transactions on Knowledge and Data Engineering, 35(6), 6058-6072. https://doi.org/10.1109/TKDE.2022.3171562</w:t>
      </w:r>
    </w:p>
    <w:p>
      <w:pPr>
        <w:spacing w:after="100" w:line="288" w:lineRule="auto"/>
        <w:ind w:left="567" w:hanging="567"/>
      </w:pPr>
      <w:r>
        <w:rPr>
          <w:sz w:val="20"/>
          <w:szCs w:val="20"/>
        </w:rPr>
        <w:t xml:space="preserve">Liu, F. T., Ting, K. M., &amp; Zhou, Z.-H. (2008). Isolation forest. 2008 IEEE International Conference on Data Mining (ICDM), 413-422.</w:t>
      </w:r>
    </w:p>
    <w:p>
      <w:pPr>
        <w:spacing w:after="100" w:line="288" w:lineRule="auto"/>
        <w:ind w:left="567" w:hanging="567"/>
      </w:pPr>
      <w:r>
        <w:rPr>
          <w:sz w:val="20"/>
          <w:szCs w:val="20"/>
        </w:rPr>
        <w:t xml:space="preserve">Lu, J., Liu, A., Dong, F., Gu, F., Gama, J., &amp; Zhang, G. (2019). Learning under concept drift: A review. IEEE Transactions on Knowledge and Data Engineering, 31(12), 2346-2363. https://doi.org/10.1109/TKDE.2018.2876857</w:t>
      </w:r>
    </w:p>
    <w:p>
      <w:pPr>
        <w:spacing w:after="100" w:line="288" w:lineRule="auto"/>
        <w:ind w:left="567" w:hanging="567"/>
      </w:pPr>
      <w:r>
        <w:rPr>
          <w:sz w:val="20"/>
          <w:szCs w:val="20"/>
        </w:rPr>
        <w:t xml:space="preserve">Lubba, C. H., Sethi, S. S., Knaute, P., Schultz, S. R., Fulcher, B. D., &amp; Jones, N. S. (2019). catch22: CAnonical time-series CHaracteristics. Data Mining and Knowledge Discovery, 33(6), 1821-1852.</w:t>
      </w:r>
    </w:p>
    <w:p>
      <w:pPr>
        <w:spacing w:after="100" w:line="288" w:lineRule="auto"/>
        <w:ind w:left="567" w:hanging="567"/>
      </w:pPr>
      <w:r>
        <w:rPr>
          <w:sz w:val="20"/>
          <w:szCs w:val="20"/>
        </w:rPr>
        <w:t xml:space="preserve">Lundberg, S. M., &amp; Lee, S.-I. (2017). A unified approach to interpreting model predictions. Advances in Neural Information Processing Systems (NeurIPS), 30.</w:t>
      </w:r>
    </w:p>
    <w:p>
      <w:pPr>
        <w:spacing w:after="100" w:line="288" w:lineRule="auto"/>
        <w:ind w:left="567" w:hanging="567"/>
      </w:pPr>
      <w:r>
        <w:rPr>
          <w:sz w:val="20"/>
          <w:szCs w:val="20"/>
        </w:rPr>
        <w:t xml:space="preserve">Lv, J., Wang, Y., &amp; Chen, H. (2023). Adaptive multivariate time-series anomaly detection. Information Processing &amp; Management, 60(4), 103383.</w:t>
      </w:r>
    </w:p>
    <w:p>
      <w:pPr>
        <w:spacing w:after="100" w:line="288" w:lineRule="auto"/>
        <w:ind w:left="567" w:hanging="567"/>
      </w:pPr>
      <w:r>
        <w:rPr>
          <w:sz w:val="20"/>
          <w:szCs w:val="20"/>
        </w:rPr>
        <w:t xml:space="preserve">Malarkkan, A. V., Bai, H., Wang, X., Kaushik, A., Wang, D., &amp; Fu, Y. (2025). Rethinking spatio-temporal anomaly detection: A vision for causality-driven cybersecurity. arXiv preprint arXiv:2507.08177.</w:t>
      </w:r>
    </w:p>
    <w:p>
      <w:pPr>
        <w:spacing w:after="100" w:line="288" w:lineRule="auto"/>
        <w:ind w:left="567" w:hanging="567"/>
      </w:pPr>
      <w:r>
        <w:rPr>
          <w:sz w:val="20"/>
          <w:szCs w:val="20"/>
        </w:rPr>
        <w:t xml:space="preserve">March, S. T., &amp; Smith, G. F. (1995). Design and natural science research on information technology. Decision Support Systems, 15(4), 251-266. https://doi.org/10.1016/0167-9236(94)00041-2</w:t>
      </w:r>
    </w:p>
    <w:p>
      <w:pPr>
        <w:spacing w:after="100" w:line="288" w:lineRule="auto"/>
        <w:ind w:left="567" w:hanging="567"/>
      </w:pPr>
      <w:r>
        <w:rPr>
          <w:sz w:val="20"/>
          <w:szCs w:val="20"/>
        </w:rPr>
        <w:t xml:space="preserve">Marquardt, W., Morbach, J., Wiesner, A., &amp; Yang, A. (2010). OntoCape: A re-usable ontology for chemical process engineering. Springer-Verlag.</w:t>
      </w:r>
    </w:p>
    <w:p>
      <w:pPr>
        <w:spacing w:after="100" w:line="288" w:lineRule="auto"/>
        <w:ind w:left="567" w:hanging="567"/>
      </w:pPr>
      <w:r>
        <w:rPr>
          <w:sz w:val="20"/>
          <w:szCs w:val="20"/>
        </w:rPr>
        <w:t xml:space="preserve">Mathur, A. P., &amp; Tippenhauer, N. O. (2016). SWaT: A water treatment testbed for research and training on ICS security. 2016 International Workshop on Cyber-Physical Systems for Smart Water Networks (CySWater), 31-36.</w:t>
      </w:r>
    </w:p>
    <w:p>
      <w:pPr>
        <w:spacing w:after="100" w:line="288" w:lineRule="auto"/>
        <w:ind w:left="567" w:hanging="567"/>
      </w:pPr>
      <w:r>
        <w:rPr>
          <w:sz w:val="20"/>
          <w:szCs w:val="20"/>
        </w:rPr>
        <w:t xml:space="preserve">Mathuros, K., Venugopalan, S., &amp; Adepu, S. (2024). WaXAI: Explainable anomaly detection in industrial control systems and water systems. Proceedings of the 10th ACM Cyber-Physical System Security Workshop (CPSS '24). https://doi.org/10.1145/3626205.3659147</w:t>
      </w:r>
    </w:p>
    <w:p>
      <w:pPr>
        <w:spacing w:after="100" w:line="288" w:lineRule="auto"/>
        <w:ind w:left="567" w:hanging="567"/>
      </w:pPr>
      <w:r>
        <w:rPr>
          <w:sz w:val="20"/>
          <w:szCs w:val="20"/>
        </w:rPr>
        <w:t xml:space="preserve">Meli, D. (2024). Explainable online unsupervised anomaly detection for cyber-physical systems via causal discovery from time series. 2024 IEEE 20th International Conference on Automation Science and Engineering (CASE), 4120-4125. https://doi.org/10.1109/CASE59546.2024.10711445</w:t>
      </w:r>
    </w:p>
    <w:p>
      <w:pPr>
        <w:spacing w:after="100" w:line="288" w:lineRule="auto"/>
        <w:ind w:left="567" w:hanging="567"/>
      </w:pPr>
      <w:r>
        <w:rPr>
          <w:sz w:val="20"/>
          <w:szCs w:val="20"/>
        </w:rPr>
        <w:t xml:space="preserve">Pal, K., Adepu, S., &amp; Goh, J. (2017). Effectiveness of association rules mining for invariants generation in cyber-physical systems. 2017 IEEE 18th International Symposium on High Assurance Systems Engineering (HASE), 124-127. https://doi.org/10.1109/HASE.2017.21</w:t>
      </w:r>
    </w:p>
    <w:p>
      <w:pPr>
        <w:spacing w:after="100" w:line="288" w:lineRule="auto"/>
        <w:ind w:left="567" w:hanging="567"/>
      </w:pPr>
      <w:r>
        <w:rPr>
          <w:sz w:val="20"/>
          <w:szCs w:val="20"/>
        </w:rPr>
        <w:t xml:space="preserve">Paparrizos, J., Boniol, P., Palpanas, T., Tsay, R. S., Elmore, A. J., &amp; Franklin, M. (2022). Volume under the surface: A new accuracy evaluation measure for time-series anomaly detection. Proceedings of the VLDB Endowment, 15(11), 2774-2787. https://doi.org/10.14778/3551793.3551830</w:t>
      </w:r>
    </w:p>
    <w:p>
      <w:pPr>
        <w:spacing w:after="100" w:line="288" w:lineRule="auto"/>
        <w:ind w:left="567" w:hanging="567"/>
      </w:pPr>
      <w:r>
        <w:rPr>
          <w:sz w:val="20"/>
          <w:szCs w:val="20"/>
        </w:rPr>
        <w:t xml:space="preserve">Peffers, K., Tuunanen, T., Rothenberger, M. A., &amp; Chatterjee, S. (2007). A design science research methodology for information systems research. Journal of Management Information Systems, 24(3), 45-77.</w:t>
      </w:r>
    </w:p>
    <w:p>
      <w:pPr>
        <w:spacing w:after="100" w:line="288" w:lineRule="auto"/>
        <w:ind w:left="567" w:hanging="567"/>
      </w:pPr>
      <w:r>
        <w:rPr>
          <w:sz w:val="20"/>
          <w:szCs w:val="20"/>
        </w:rPr>
        <w:t xml:space="preserve">Qiu, X., et al. (2025). TAB: Unified benchmarking of time series anomaly detection methods. Proceedings of the VLDB Endowment, 18(8), 2775-2789. https://doi.org/10.14778/3746405.3746407</w:t>
      </w:r>
    </w:p>
    <w:p>
      <w:pPr>
        <w:spacing w:after="100" w:line="288" w:lineRule="auto"/>
        <w:ind w:left="567" w:hanging="567"/>
      </w:pPr>
      <w:r>
        <w:rPr>
          <w:sz w:val="20"/>
          <w:szCs w:val="20"/>
        </w:rPr>
        <w:t xml:space="preserve">Raman, M. R. G., &amp; Mathur, A. P. (2022). A hybrid physics-based data-driven framework for anomaly detection in industrial control systems. IEEE Transactions on Systems, Man, and Cybernetics: Systems, 52(9), 6003-6014. https://doi.org/10.1109/TSMC.2021.3131662</w:t>
      </w:r>
    </w:p>
    <w:p>
      <w:pPr>
        <w:spacing w:after="100" w:line="288" w:lineRule="auto"/>
        <w:ind w:left="567" w:hanging="567"/>
      </w:pPr>
      <w:r>
        <w:rPr>
          <w:sz w:val="20"/>
          <w:szCs w:val="20"/>
        </w:rPr>
        <w:t xml:space="preserve">Real Decreto-ley 12/2018, de 7 de septiembre, de seguridad de las redes y sistemas de información. Boletín Oficial del Estado, núm. 218, de 8 de septiembre de 2018.</w:t>
      </w:r>
    </w:p>
    <w:p>
      <w:pPr>
        <w:spacing w:after="100" w:line="288" w:lineRule="auto"/>
        <w:ind w:left="567" w:hanging="567"/>
      </w:pPr>
      <w:r>
        <w:rPr>
          <w:sz w:val="20"/>
          <w:szCs w:val="20"/>
        </w:rPr>
        <w:t xml:space="preserve">Rezende, D. J., &amp; Mohamed, S. (2015). Variational inference with normalizing flows. Proceedings of the 32nd International Conference on Machine Learning (ICML), 1530-1538.</w:t>
      </w:r>
    </w:p>
    <w:p>
      <w:pPr>
        <w:spacing w:after="100" w:line="288" w:lineRule="auto"/>
        <w:ind w:left="567" w:hanging="567"/>
      </w:pPr>
      <w:r>
        <w:rPr>
          <w:sz w:val="20"/>
          <w:szCs w:val="20"/>
        </w:rPr>
        <w:t xml:space="preserve">Runge, J., Nowack, P., Kretschmer, M., Flaxman, S., &amp; Sejdinovic, D. (2019). Detecting and quantifying causal associations in large nonlinear time series datasets. Science Advances, 5(11), eaau4996.</w:t>
      </w:r>
    </w:p>
    <w:p>
      <w:pPr>
        <w:spacing w:after="100" w:line="288" w:lineRule="auto"/>
        <w:ind w:left="567" w:hanging="567"/>
      </w:pPr>
      <w:r>
        <w:rPr>
          <w:sz w:val="20"/>
          <w:szCs w:val="20"/>
        </w:rPr>
        <w:t xml:space="preserve">Stouffer, K., Pease, M., Tang, C., Zimmerman, T., Pillitteri, V., &amp; Lightman, S. (2023). Guide to Operational Technology (OT) Security. NIST Special Publication 800-82 Rev. 3. https://doi.org/10.6028/NIST.SP.800-82r3</w:t>
      </w:r>
    </w:p>
    <w:p>
      <w:pPr>
        <w:spacing w:after="100" w:line="288" w:lineRule="auto"/>
        <w:ind w:left="567" w:hanging="567"/>
      </w:pPr>
      <w:r>
        <w:rPr>
          <w:sz w:val="20"/>
          <w:szCs w:val="20"/>
        </w:rPr>
        <w:t xml:space="preserve">Su, Y., Zhao, Y., Niu, C., Liu, R., Sun, W., &amp; Pei, D. (2019). Robust anomaly detection for multivariate time series through stochastic recurrent neural network. Proceedings of the 25th ACM SIGKDD, 2828-2837. https://doi.org/10.1145/3292500.3330672</w:t>
      </w:r>
    </w:p>
    <w:p>
      <w:pPr>
        <w:spacing w:after="100" w:line="288" w:lineRule="auto"/>
        <w:ind w:left="567" w:hanging="567"/>
      </w:pPr>
      <w:r>
        <w:rPr>
          <w:sz w:val="20"/>
          <w:szCs w:val="20"/>
        </w:rPr>
        <w:t xml:space="preserve">Sutskever, I., Vinyals, O., &amp; Le, Q. V. (2014). Sequence to sequence learning with neural networks. Advances in Neural Information Processing Systems (NeurIPS), 27.</w:t>
      </w:r>
    </w:p>
    <w:p>
      <w:pPr>
        <w:spacing w:after="100" w:line="288" w:lineRule="auto"/>
        <w:ind w:left="567" w:hanging="567"/>
      </w:pPr>
      <w:r>
        <w:rPr>
          <w:sz w:val="20"/>
          <w:szCs w:val="20"/>
        </w:rPr>
        <w:t xml:space="preserve">The National. (2026). Kuwaiti power and desalination plant hit in Iranian strike as ministry reassures on operations.</w:t>
      </w:r>
    </w:p>
    <w:p>
      <w:pPr>
        <w:spacing w:after="100" w:line="288" w:lineRule="auto"/>
        <w:ind w:left="567" w:hanging="567"/>
      </w:pPr>
      <w:r>
        <w:rPr>
          <w:sz w:val="20"/>
          <w:szCs w:val="20"/>
        </w:rPr>
        <w:t xml:space="preserve">ThingsBoard Community Edition. (s.f.). IoT platform documentation. https://thingsboard.io/docs/</w:t>
      </w:r>
    </w:p>
    <w:p>
      <w:pPr>
        <w:spacing w:after="100" w:line="288" w:lineRule="auto"/>
        <w:ind w:left="567" w:hanging="567"/>
      </w:pPr>
      <w:r>
        <w:rPr>
          <w:sz w:val="20"/>
          <w:szCs w:val="20"/>
        </w:rPr>
        <w:t xml:space="preserve">Tuli, S., Casale, G., &amp; Jennings, N. R. (2022). TranAD: Deep transformer networks for anomaly detection in multivariate time series data. Proceedings of the VLDB Endowment, 15(6), 1201-1214. https://doi.org/10.14778/3514061.3514067</w:t>
      </w:r>
    </w:p>
    <w:p>
      <w:pPr>
        <w:spacing w:after="100" w:line="288" w:lineRule="auto"/>
        <w:ind w:left="567" w:hanging="567"/>
      </w:pPr>
      <w:r>
        <w:rPr>
          <w:sz w:val="20"/>
          <w:szCs w:val="20"/>
        </w:rPr>
        <w:t xml:space="preserve">U.S. Government Accountability Office. (2024). Critical infrastructure protection: EPA urgently needs a strategy to address cybersecurity risks to water systems (Report GAO-24-106744).</w:t>
      </w:r>
    </w:p>
    <w:p>
      <w:pPr>
        <w:spacing w:after="100" w:line="288" w:lineRule="auto"/>
        <w:ind w:left="567" w:hanging="567"/>
      </w:pPr>
      <w:r>
        <w:rPr>
          <w:sz w:val="20"/>
          <w:szCs w:val="20"/>
        </w:rPr>
        <w:t xml:space="preserve">Umer, M. A., Mathur, A., Junejo, K. N., &amp; Adepu, S. (2020). Generating invariants using design and data-centric approaches for distributed attack detection. International Journal of Critical Infrastructure Protection, 28, 100356. https://doi.org/10.1016/j.ijcip.2020.100356</w:t>
      </w:r>
    </w:p>
    <w:p>
      <w:pPr>
        <w:spacing w:after="100" w:line="288" w:lineRule="auto"/>
        <w:ind w:left="567" w:hanging="567"/>
      </w:pPr>
      <w:r>
        <w:rPr>
          <w:sz w:val="20"/>
          <w:szCs w:val="20"/>
        </w:rPr>
        <w:t xml:space="preserve">Unna, Y. (2020). Citado en: Heller, A. Israeli cyber chief: major attack on water systems thwarted. Associated Press / The Times of Israel.</w:t>
      </w:r>
    </w:p>
    <w:p>
      <w:pPr>
        <w:spacing w:after="100" w:line="288" w:lineRule="auto"/>
        <w:ind w:left="567" w:hanging="567"/>
      </w:pPr>
      <w:r>
        <w:rPr>
          <w:sz w:val="20"/>
          <w:szCs w:val="20"/>
        </w:rPr>
        <w:t xml:space="preserve">Vaswani, A., Shazeer, N., Parmar, N., et al. (2017). Attention is all you need. Advances in Neural Information Processing Systems (NeurIPS), 30.</w:t>
      </w:r>
    </w:p>
    <w:p>
      <w:pPr>
        <w:spacing w:after="100" w:line="288" w:lineRule="auto"/>
        <w:ind w:left="567" w:hanging="567"/>
      </w:pPr>
      <w:r>
        <w:rPr>
          <w:sz w:val="20"/>
          <w:szCs w:val="20"/>
        </w:rPr>
        <w:t xml:space="preserve">Venable, J., Pries-Heje, J., &amp; Baskerville, R. (2016). FEDS: A framework for evaluation in design science research. European Journal of Information Systems, 25(1), 77-89. https://doi.org/10.1057/ejis.2014.36</w:t>
      </w:r>
    </w:p>
    <w:p>
      <w:pPr>
        <w:spacing w:after="100" w:line="288" w:lineRule="auto"/>
        <w:ind w:left="567" w:hanging="567"/>
      </w:pPr>
      <w:r>
        <w:rPr>
          <w:sz w:val="20"/>
          <w:szCs w:val="20"/>
        </w:rPr>
        <w:t xml:space="preserve">Wei, Z., Lv, F., Lu, X., Chen, X., Lv, S., &amp; Sun, L. (2024). SSAD: State space-based anomaly detection in industrial control systems. 2024 20th International Conference on Mobility, Sensing and Networking (MSN), 479-486. https://doi.org/10.1109/MSN63567.2024.00072</w:t>
      </w:r>
    </w:p>
    <w:p>
      <w:pPr>
        <w:spacing w:after="100" w:line="288" w:lineRule="auto"/>
        <w:ind w:left="567" w:hanging="567"/>
      </w:pPr>
      <w:r>
        <w:rPr>
          <w:sz w:val="20"/>
          <w:szCs w:val="20"/>
        </w:rPr>
        <w:t xml:space="preserve">Wu, R., &amp; Keogh, E. J. (2021). Current time series anomaly detection benchmarks are flawed and are creating the illusion of progress. IEEE Transactions on Knowledge and Data Engineering. https://doi.org/10.1109/TKDE.2021.3112126</w:t>
      </w:r>
    </w:p>
    <w:p>
      <w:pPr>
        <w:spacing w:after="100" w:line="288" w:lineRule="auto"/>
        <w:ind w:left="567" w:hanging="567"/>
      </w:pPr>
      <w:r>
        <w:rPr>
          <w:sz w:val="20"/>
          <w:szCs w:val="20"/>
        </w:rPr>
        <w:t xml:space="preserve">Wu, Z., Pan, S., Long, G., Jiang, J., Chang, X., &amp; Zhang, C. (2020). Connecting the dots: Multivariate time series forecasting with graph neural networks. Proceedings of the 26th ACM SIGKDD (KDD '20), 753-763.</w:t>
      </w:r>
    </w:p>
    <w:p>
      <w:pPr>
        <w:spacing w:after="100" w:line="288" w:lineRule="auto"/>
        <w:ind w:left="567" w:hanging="567"/>
      </w:pPr>
      <w:r>
        <w:rPr>
          <w:sz w:val="20"/>
          <w:szCs w:val="20"/>
        </w:rPr>
        <w:t xml:space="preserve">Zamanzadeh Darban, Z., Webb, G. I., Pan, S., Aggarwal, C., &amp; Salehi, M. (2024). Deep learning for time series anomaly detection: A survey. ACM Computing Surveys, 57(1), art. 15. https://doi.org/10.1145/3691338</w:t>
      </w:r>
    </w:p>
    <w:p>
      <w:pPr>
        <w:spacing w:after="100" w:line="288" w:lineRule="auto"/>
        <w:ind w:left="567" w:hanging="567"/>
      </w:pPr>
      <w:r>
        <w:rPr>
          <w:sz w:val="20"/>
          <w:szCs w:val="20"/>
        </w:rPr>
        <w:t xml:space="preserve">Zhan, J., Wu, C., Yang, C., Miao, Q., &amp; Ma, X. (2024). HFN: Heterogeneous feature network for multivariate time series anomaly detection. Information Sciences, 670, 120626.</w:t>
      </w:r>
    </w:p>
    <w:p>
      <w:pPr>
        <w:spacing w:after="100" w:line="288" w:lineRule="auto"/>
        <w:ind w:left="567" w:hanging="567"/>
      </w:pPr>
      <w:r>
        <w:rPr>
          <w:sz w:val="20"/>
          <w:szCs w:val="20"/>
        </w:rPr>
        <w:t xml:space="preserve">Zhao, H., Wang, Y., Duan, J., Huang, C., Cao, D., Tong, Y., Xu, B., Bai, J., Tong, J., &amp; Zhang, Q. (2020). Multivariate time-series anomaly detection via graph attention network. 2020 IEEE International Conference on Data Mining (ICDM), 841-850. https://doi.org/10.1109/ICDM50108.2020.00093</w:t>
      </w:r>
    </w:p>
    <w:p>
      <w:pPr>
        <w:spacing w:after="100" w:line="288" w:lineRule="auto"/>
        <w:ind w:left="567" w:hanging="567"/>
      </w:pPr>
      <w:r>
        <w:rPr>
          <w:sz w:val="20"/>
          <w:szCs w:val="20"/>
        </w:rPr>
        <w:t xml:space="preserve">Zhou, A., Yang, R., Yan, K., et al. (2024). HGNAS: Hardware-aware graph neural architecture search for edge devices. IEEE Transactions on Computers.</w:t>
      </w:r>
    </w:p>
    <w:sectPr w:rsidR="00EC760F" w:rsidRPr="00EC760F">
      <w:headerReference w:type="default" r:id="rId7"/>
      <w:footerReference w:type="default" r:id="rId8"/>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E428" w14:textId="77777777" w:rsidR="00A52DAE" w:rsidRDefault="00A52DAE">
      <w:r>
        <w:separator/>
      </w:r>
    </w:p>
  </w:endnote>
  <w:endnote w:type="continuationSeparator" w:id="0">
    <w:p w14:paraId="13C0D70C" w14:textId="77777777" w:rsidR="00A52DAE" w:rsidRDefault="00A5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7082" w14:textId="77777777" w:rsidR="00EF303A" w:rsidRDefault="00D24483">
    <w:pPr>
      <w:jc w:val="center"/>
    </w:pPr>
    <w:r>
      <w:rPr>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16</w:t>
    </w:r>
    <w:r>
      <w:rPr>
        <w:sz w:val="20"/>
        <w:szCs w:val="20"/>
      </w:rPr>
      <w:fldChar w:fldCharType="end"/>
    </w:r>
    <w:r>
      <w:rPr>
        <w:sz w:val="20"/>
        <w:szCs w:val="20"/>
      </w:rPr>
      <w:t xml:space="preserve"> de </w:t>
    </w:r>
    <w:r>
      <w:rPr>
        <w:sz w:val="20"/>
        <w:szCs w:val="20"/>
      </w:rPr>
      <w:fldChar w:fldCharType="begin"/>
    </w:r>
    <w:r>
      <w:rPr>
        <w:sz w:val="20"/>
        <w:szCs w:val="20"/>
      </w:rPr>
      <w:instrText xml:space="preserve"> NUMPAGES </w:instrText>
    </w:r>
    <w:r>
      <w:rPr>
        <w:sz w:val="20"/>
        <w:szCs w:val="20"/>
      </w:rPr>
      <w:fldChar w:fldCharType="separate"/>
    </w:r>
    <w:r>
      <w:rPr>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E407" w14:textId="77777777" w:rsidR="00A52DAE" w:rsidRDefault="00A52DAE">
      <w:r>
        <w:separator/>
      </w:r>
    </w:p>
  </w:footnote>
  <w:footnote w:type="continuationSeparator" w:id="0">
    <w:p w14:paraId="31051A84" w14:textId="77777777" w:rsidR="00A52DAE" w:rsidRDefault="00A5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F6DD" w14:textId="77777777" w:rsidR="00EF303A" w:rsidRDefault="00D24483">
    <w:pPr>
      <w:spacing w:line="360" w:lineRule="auto"/>
      <w:jc w:val="right"/>
    </w:pPr>
    <w:r>
      <w:rPr>
        <w:i/>
        <w:iCs/>
        <w:sz w:val="20"/>
        <w:szCs w:val="20"/>
      </w:rPr>
      <w:t>Plan de Investigación — David Palazón Palau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3A"/>
    <w:rsid w:val="0000503A"/>
    <w:rsid w:val="000B289C"/>
    <w:rsid w:val="001212BA"/>
    <w:rsid w:val="001814CE"/>
    <w:rsid w:val="001B5A5A"/>
    <w:rsid w:val="001B7527"/>
    <w:rsid w:val="001B76BC"/>
    <w:rsid w:val="00326800"/>
    <w:rsid w:val="00356504"/>
    <w:rsid w:val="003F7EB5"/>
    <w:rsid w:val="00415FD0"/>
    <w:rsid w:val="00426BFA"/>
    <w:rsid w:val="004E072D"/>
    <w:rsid w:val="00506561"/>
    <w:rsid w:val="005238B1"/>
    <w:rsid w:val="0053250A"/>
    <w:rsid w:val="0056428C"/>
    <w:rsid w:val="006231E0"/>
    <w:rsid w:val="006403ED"/>
    <w:rsid w:val="00683831"/>
    <w:rsid w:val="006969F4"/>
    <w:rsid w:val="006B0885"/>
    <w:rsid w:val="00726E27"/>
    <w:rsid w:val="00781D0A"/>
    <w:rsid w:val="007D17EF"/>
    <w:rsid w:val="00814E09"/>
    <w:rsid w:val="00840A1E"/>
    <w:rsid w:val="0084381B"/>
    <w:rsid w:val="0087232A"/>
    <w:rsid w:val="00891D3C"/>
    <w:rsid w:val="008945E9"/>
    <w:rsid w:val="008C2822"/>
    <w:rsid w:val="0090091F"/>
    <w:rsid w:val="00921E36"/>
    <w:rsid w:val="009455AC"/>
    <w:rsid w:val="00974385"/>
    <w:rsid w:val="00A01F21"/>
    <w:rsid w:val="00A3171E"/>
    <w:rsid w:val="00A50B34"/>
    <w:rsid w:val="00A52DAE"/>
    <w:rsid w:val="00A55906"/>
    <w:rsid w:val="00A96A0E"/>
    <w:rsid w:val="00AB1EB7"/>
    <w:rsid w:val="00B117A9"/>
    <w:rsid w:val="00B21E3E"/>
    <w:rsid w:val="00BC6569"/>
    <w:rsid w:val="00BD2F15"/>
    <w:rsid w:val="00C12498"/>
    <w:rsid w:val="00C61F11"/>
    <w:rsid w:val="00C71CBA"/>
    <w:rsid w:val="00C7574A"/>
    <w:rsid w:val="00CB091B"/>
    <w:rsid w:val="00CB4494"/>
    <w:rsid w:val="00D24483"/>
    <w:rsid w:val="00D34D5B"/>
    <w:rsid w:val="00D41ACB"/>
    <w:rsid w:val="00D453B0"/>
    <w:rsid w:val="00D94BA4"/>
    <w:rsid w:val="00DA2E8C"/>
    <w:rsid w:val="00EC760F"/>
    <w:rsid w:val="00ED21AC"/>
    <w:rsid w:val="00ED4034"/>
    <w:rsid w:val="00ED4522"/>
    <w:rsid w:val="00EF303A"/>
    <w:rsid w:val="00F21730"/>
    <w:rsid w:val="00F26EC3"/>
    <w:rsid w:val="00F7386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53F9"/>
  <w15:docId w15:val="{F41648ED-E98A-40BD-AF14-4917939C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40"/>
      <w:outlineLvl w:val="0"/>
    </w:pPr>
    <w:rPr>
      <w:b/>
      <w:bCs/>
      <w:sz w:val="28"/>
      <w:szCs w:val="28"/>
    </w:rPr>
  </w:style>
  <w:style w:type="paragraph" w:styleId="Ttulo2">
    <w:name w:val="heading 2"/>
    <w:uiPriority w:val="9"/>
    <w:unhideWhenUsed/>
    <w:qFormat/>
    <w:pPr>
      <w:spacing w:before="300" w:after="200"/>
      <w:outlineLvl w:val="1"/>
    </w:pPr>
    <w:rPr>
      <w:b/>
      <w:bCs/>
    </w:rPr>
  </w:style>
  <w:style w:type="paragraph" w:styleId="Ttulo3">
    <w:name w:val="heading 3"/>
    <w:uiPriority w:val="9"/>
    <w:unhideWhenUsed/>
    <w:qFormat/>
    <w:pPr>
      <w:spacing w:before="200" w:after="15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character" w:styleId="Refdecomentario">
    <w:name w:val="annotation reference"/>
    <w:basedOn w:val="Fuentedeprrafopredeter"/>
    <w:uiPriority w:val="99"/>
    <w:semiHidden/>
    <w:unhideWhenUsed/>
    <w:rsid w:val="001814CE"/>
    <w:rPr>
      <w:sz w:val="16"/>
      <w:szCs w:val="16"/>
    </w:rPr>
  </w:style>
  <w:style w:type="paragraph" w:styleId="Textocomentario">
    <w:name w:val="annotation text"/>
    <w:basedOn w:val="Normal"/>
    <w:link w:val="TextocomentarioCar"/>
    <w:uiPriority w:val="99"/>
    <w:unhideWhenUsed/>
    <w:rsid w:val="001814CE"/>
    <w:rPr>
      <w:sz w:val="20"/>
      <w:szCs w:val="20"/>
    </w:rPr>
  </w:style>
  <w:style w:type="character" w:customStyle="1" w:styleId="TextocomentarioCar">
    <w:name w:val="Texto comentario Car"/>
    <w:basedOn w:val="Fuentedeprrafopredeter"/>
    <w:link w:val="Textocomentario"/>
    <w:uiPriority w:val="99"/>
    <w:rsid w:val="001814CE"/>
    <w:rPr>
      <w:sz w:val="20"/>
      <w:szCs w:val="20"/>
    </w:rPr>
  </w:style>
  <w:style w:type="paragraph" w:styleId="Asuntodelcomentario">
    <w:name w:val="annotation subject"/>
    <w:basedOn w:val="Textocomentario"/>
    <w:next w:val="Textocomentario"/>
    <w:link w:val="AsuntodelcomentarioCar"/>
    <w:uiPriority w:val="99"/>
    <w:semiHidden/>
    <w:unhideWhenUsed/>
    <w:rsid w:val="001814CE"/>
    <w:rPr>
      <w:b/>
      <w:bCs/>
    </w:rPr>
  </w:style>
  <w:style w:type="character" w:customStyle="1" w:styleId="AsuntodelcomentarioCar">
    <w:name w:val="Asunto del comentario Car"/>
    <w:basedOn w:val="TextocomentarioCar"/>
    <w:link w:val="Asuntodelcomentario"/>
    <w:uiPriority w:val="99"/>
    <w:semiHidden/>
    <w:rsid w:val="001814CE"/>
    <w:rPr>
      <w:b/>
      <w:bCs/>
      <w:sz w:val="20"/>
      <w:szCs w:val="20"/>
    </w:rPr>
  </w:style>
  <w:style w:type="paragraph" w:styleId="Revisin">
    <w:name w:val="Revision"/>
    <w:hidden/>
    <w:uiPriority w:val="99"/>
    <w:semiHidden/>
    <w:rsid w:val="001B7527"/>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23</Pages>
  <Words>10422</Words>
  <Characters>57322</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DAVID PALAZÓN PALAU</cp:lastModifiedBy>
  <cp:revision>17</cp:revision>
  <dcterms:created xsi:type="dcterms:W3CDTF">2026-05-12T10:03:00Z</dcterms:created>
  <dcterms:modified xsi:type="dcterms:W3CDTF">2026-06-14T12:04:00Z</dcterms:modified>
  <dc:language>en-US</dc:language>
</cp:coreProperties>
</file>