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8093"/>
        <w:tblW w:w="10236" w:type="dxa"/>
        <w:shd w:val="clear" w:color="auto" w:fill="C5E0B3" w:themeFill="accent6" w:themeFillTint="66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36"/>
      </w:tblGrid>
      <w:tr w:rsidR="00F77A95" w:rsidRPr="006D3EED" w14:paraId="0428F50F" w14:textId="77777777" w:rsidTr="00B5395B">
        <w:trPr>
          <w:trHeight w:val="567"/>
        </w:trPr>
        <w:tc>
          <w:tcPr>
            <w:tcW w:w="10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06E57BE" w14:textId="77777777" w:rsidR="00F77A95" w:rsidRPr="00646C71" w:rsidRDefault="00F77A95" w:rsidP="00B5395B">
            <w:pPr>
              <w:pStyle w:val="Ttulo1"/>
            </w:pPr>
            <w:bookmarkStart w:id="0" w:name="_Toc200489459"/>
            <w:bookmarkStart w:id="1" w:name="_Toc200495219"/>
            <w:bookmarkStart w:id="2" w:name="_Toc200620148"/>
            <w:bookmarkStart w:id="3" w:name="_Toc200620550"/>
            <w:bookmarkStart w:id="4" w:name="_Toc200620147"/>
            <w:bookmarkStart w:id="5" w:name="_Toc200620549"/>
            <w:r>
              <w:t>Alcance y Aplicación</w:t>
            </w:r>
            <w:bookmarkEnd w:id="4"/>
            <w:bookmarkEnd w:id="5"/>
          </w:p>
        </w:tc>
      </w:tr>
    </w:tbl>
    <w:p w14:paraId="7F46F693" w14:textId="77777777" w:rsidR="00F77A95" w:rsidRDefault="00F77A95" w:rsidP="00F77A95">
      <w:pPr>
        <w:pStyle w:val="APA7ed"/>
      </w:pPr>
    </w:p>
    <w:p w14:paraId="0FC2C702" w14:textId="2F1622EF" w:rsidR="00F77A95" w:rsidRDefault="00F77A95" w:rsidP="00F77A95">
      <w:pPr>
        <w:pStyle w:val="APA7ed"/>
      </w:pPr>
      <w:r>
        <w:t>Este manual aplica a todos los procesos de gestión cliente/proveedor del MARN, incluyendo:</w:t>
      </w:r>
    </w:p>
    <w:p w14:paraId="3E59504C" w14:textId="77777777" w:rsidR="00F77A95" w:rsidRDefault="00F77A95" w:rsidP="000525BC">
      <w:pPr>
        <w:pStyle w:val="APA7ed"/>
        <w:numPr>
          <w:ilvl w:val="0"/>
          <w:numId w:val="2"/>
        </w:numPr>
      </w:pPr>
      <w:r w:rsidRPr="73868B68">
        <w:rPr>
          <w:b/>
          <w:bCs/>
        </w:rPr>
        <w:t>Gestión de Prestadores de Servicios Ambientales:</w:t>
      </w:r>
      <w:r>
        <w:t xml:space="preserve"> Registro, certificación y evaluación continua</w:t>
      </w:r>
    </w:p>
    <w:p w14:paraId="036A52C6" w14:textId="77777777" w:rsidR="00F77A95" w:rsidRDefault="00F77A95" w:rsidP="000525BC">
      <w:pPr>
        <w:pStyle w:val="APA7ed"/>
        <w:numPr>
          <w:ilvl w:val="0"/>
          <w:numId w:val="2"/>
        </w:numPr>
      </w:pPr>
      <w:r w:rsidRPr="73868B68">
        <w:rPr>
          <w:b/>
          <w:bCs/>
        </w:rPr>
        <w:t>Contratación de Servicios Especializados:</w:t>
      </w:r>
      <w:r>
        <w:t xml:space="preserve"> Estudios de impacto ambiental, monitoreo, consultoría</w:t>
      </w:r>
    </w:p>
    <w:p w14:paraId="20F61D45" w14:textId="77777777" w:rsidR="00F77A95" w:rsidRDefault="00F77A95" w:rsidP="000525BC">
      <w:pPr>
        <w:pStyle w:val="APA7ed"/>
        <w:numPr>
          <w:ilvl w:val="0"/>
          <w:numId w:val="2"/>
        </w:numPr>
      </w:pPr>
      <w:r w:rsidRPr="73868B68">
        <w:rPr>
          <w:b/>
          <w:bCs/>
        </w:rPr>
        <w:t>Facturación y Cobros:</w:t>
      </w:r>
      <w:r>
        <w:t xml:space="preserve"> Servicios ambientales, permisos y licencias</w:t>
      </w:r>
    </w:p>
    <w:p w14:paraId="1CCDA168" w14:textId="77777777" w:rsidR="00F77A95" w:rsidRDefault="00F77A95" w:rsidP="000525BC">
      <w:pPr>
        <w:pStyle w:val="APA7ed"/>
        <w:numPr>
          <w:ilvl w:val="0"/>
          <w:numId w:val="2"/>
        </w:numPr>
      </w:pPr>
      <w:r w:rsidRPr="73868B68">
        <w:rPr>
          <w:b/>
          <w:bCs/>
        </w:rPr>
        <w:t>Seguimiento y Control:</w:t>
      </w:r>
      <w:r>
        <w:t xml:space="preserve"> Cumplimiento contractual y calidad de servicios</w:t>
      </w:r>
    </w:p>
    <w:p w14:paraId="17B5D53F" w14:textId="77777777" w:rsidR="00F77A95" w:rsidRDefault="00F77A95" w:rsidP="000525BC">
      <w:pPr>
        <w:pStyle w:val="APA7ed"/>
        <w:numPr>
          <w:ilvl w:val="0"/>
          <w:numId w:val="2"/>
        </w:numPr>
      </w:pPr>
      <w:r w:rsidRPr="73868B68">
        <w:rPr>
          <w:b/>
          <w:bCs/>
        </w:rPr>
        <w:t>Gestión de Proveedores de Equipos:</w:t>
      </w:r>
      <w:r>
        <w:t xml:space="preserve"> Instrumental científico y tecnología ambiental</w:t>
      </w:r>
    </w:p>
    <w:p w14:paraId="7C98DF7D" w14:textId="77777777" w:rsidR="00F77A95" w:rsidRDefault="00F77A95">
      <w:pPr>
        <w:spacing w:line="259" w:lineRule="auto"/>
        <w:ind w:firstLine="0"/>
        <w:rPr>
          <w:b/>
          <w:bCs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w14:paraId="2A8C0831" w14:textId="6D8AB043" w:rsidR="00165AC9" w:rsidRDefault="00165AC9" w:rsidP="00F77A95">
      <w:pPr>
        <w:pStyle w:val="Ttulo2"/>
        <w:numPr>
          <w:ilvl w:val="0"/>
          <w:numId w:val="0"/>
        </w:numPr>
        <w:ind w:left="360"/>
      </w:pPr>
      <w:r>
        <w:lastRenderedPageBreak/>
        <w:t>Marco Legal y Normativo</w:t>
      </w:r>
      <w:bookmarkEnd w:id="0"/>
      <w:bookmarkEnd w:id="1"/>
      <w:bookmarkEnd w:id="2"/>
      <w:bookmarkEnd w:id="3"/>
    </w:p>
    <w:p w14:paraId="5922FF30" w14:textId="77777777" w:rsidR="00165AC9" w:rsidRDefault="00165AC9" w:rsidP="00165AC9">
      <w:pPr>
        <w:pStyle w:val="APA7ed"/>
      </w:pPr>
    </w:p>
    <w:p w14:paraId="2EA4C7E7" w14:textId="77777777" w:rsidR="00165AC9" w:rsidRDefault="00165AC9" w:rsidP="00165AC9">
      <w:pPr>
        <w:pStyle w:val="APA7ed"/>
      </w:pPr>
      <w:r>
        <w:t>El manual se sustenta en el siguiente marco legal:</w:t>
      </w:r>
    </w:p>
    <w:p w14:paraId="0295BF3D" w14:textId="77777777" w:rsidR="00165AC9" w:rsidRDefault="00165AC9" w:rsidP="000525BC">
      <w:pPr>
        <w:pStyle w:val="APA7ed"/>
        <w:numPr>
          <w:ilvl w:val="0"/>
          <w:numId w:val="3"/>
        </w:numPr>
      </w:pPr>
      <w:r w:rsidRPr="73868B68">
        <w:rPr>
          <w:b/>
          <w:bCs/>
        </w:rPr>
        <w:t>Constitución de la República de El Salvador</w:t>
      </w:r>
      <w:r>
        <w:t xml:space="preserve"> (Artículo 117)</w:t>
      </w:r>
    </w:p>
    <w:p w14:paraId="45D6443A" w14:textId="77777777" w:rsidR="00165AC9" w:rsidRDefault="00165AC9" w:rsidP="000525BC">
      <w:pPr>
        <w:pStyle w:val="APA7ed"/>
        <w:numPr>
          <w:ilvl w:val="0"/>
          <w:numId w:val="3"/>
        </w:numPr>
      </w:pPr>
      <w:r w:rsidRPr="73868B68">
        <w:rPr>
          <w:b/>
          <w:bCs/>
        </w:rPr>
        <w:t xml:space="preserve">Ley de </w:t>
      </w:r>
      <w:r>
        <w:rPr>
          <w:b/>
          <w:bCs/>
        </w:rPr>
        <w:t>Compras Públicas</w:t>
      </w:r>
      <w:r w:rsidRPr="73868B68">
        <w:rPr>
          <w:b/>
          <w:bCs/>
        </w:rPr>
        <w:t xml:space="preserve"> (</w:t>
      </w:r>
      <w:r>
        <w:rPr>
          <w:b/>
          <w:bCs/>
        </w:rPr>
        <w:t>LCP</w:t>
      </w:r>
      <w:r w:rsidRPr="73868B68">
        <w:rPr>
          <w:b/>
          <w:bCs/>
        </w:rPr>
        <w:t>)</w:t>
      </w:r>
      <w:r>
        <w:t xml:space="preserve"> – Decreto Legislativo No. 652, de fecha 09 de febrero de 2023</w:t>
      </w:r>
    </w:p>
    <w:p w14:paraId="48044056" w14:textId="77777777" w:rsidR="00165AC9" w:rsidRDefault="00165AC9" w:rsidP="000525BC">
      <w:pPr>
        <w:pStyle w:val="APA7ed"/>
        <w:numPr>
          <w:ilvl w:val="0"/>
          <w:numId w:val="3"/>
        </w:numPr>
      </w:pPr>
      <w:r w:rsidRPr="73868B68">
        <w:rPr>
          <w:b/>
          <w:bCs/>
        </w:rPr>
        <w:t>Ley del Medio Ambiente</w:t>
      </w:r>
      <w:r>
        <w:t xml:space="preserve"> - Decreto No. 233, de fecha 2 de marzo de 1998</w:t>
      </w:r>
    </w:p>
    <w:p w14:paraId="6624F6DC" w14:textId="77777777" w:rsidR="00165AC9" w:rsidRDefault="00165AC9" w:rsidP="000525BC">
      <w:pPr>
        <w:pStyle w:val="APA7ed"/>
        <w:numPr>
          <w:ilvl w:val="0"/>
          <w:numId w:val="3"/>
        </w:numPr>
      </w:pPr>
      <w:r w:rsidRPr="73868B68">
        <w:rPr>
          <w:b/>
          <w:bCs/>
        </w:rPr>
        <w:t>Reglamento General de la Ley del Medio Ambiente</w:t>
      </w:r>
      <w:r>
        <w:t xml:space="preserve"> - Decreto No. 21, de fecha 26 de mayo de 2000</w:t>
      </w:r>
    </w:p>
    <w:p w14:paraId="331F4B09" w14:textId="77777777" w:rsidR="00165AC9" w:rsidRDefault="00165AC9" w:rsidP="000525BC">
      <w:pPr>
        <w:pStyle w:val="APA7ed"/>
        <w:numPr>
          <w:ilvl w:val="0"/>
          <w:numId w:val="3"/>
        </w:numPr>
      </w:pPr>
      <w:r w:rsidRPr="73868B68">
        <w:rPr>
          <w:b/>
          <w:bCs/>
        </w:rPr>
        <w:t>Norma ISO 17024</w:t>
      </w:r>
      <w:r>
        <w:t xml:space="preserve"> - Evaluación de la conformidad. Requisitos generales para los organismos que realizan certificación de personas</w:t>
      </w:r>
    </w:p>
    <w:p w14:paraId="528E6E70" w14:textId="77777777" w:rsidR="00165AC9" w:rsidRDefault="00165AC9" w:rsidP="000525BC">
      <w:pPr>
        <w:pStyle w:val="APA7ed"/>
        <w:numPr>
          <w:ilvl w:val="0"/>
          <w:numId w:val="3"/>
        </w:numPr>
      </w:pPr>
      <w:r w:rsidRPr="73868B68">
        <w:rPr>
          <w:b/>
          <w:bCs/>
        </w:rPr>
        <w:t>Reglamento Interno del Órgano Ejecutivo</w:t>
      </w:r>
      <w:r>
        <w:t xml:space="preserve"> - Decreto del Consejo de </w:t>
      </w:r>
      <w:proofErr w:type="gramStart"/>
      <w:r>
        <w:t>Ministros</w:t>
      </w:r>
      <w:proofErr w:type="gramEnd"/>
      <w:r>
        <w:t xml:space="preserve"> del 19 de mayo de 1997</w:t>
      </w:r>
    </w:p>
    <w:p w14:paraId="3D2F942E" w14:textId="77777777" w:rsidR="00165AC9" w:rsidRDefault="00165AC9" w:rsidP="00165AC9">
      <w:pPr>
        <w:pStyle w:val="Ttulo2"/>
      </w:pPr>
      <w:bookmarkStart w:id="6" w:name="_Toc200489460"/>
      <w:bookmarkStart w:id="7" w:name="_Toc200495220"/>
      <w:bookmarkStart w:id="8" w:name="_Toc200620149"/>
      <w:bookmarkStart w:id="9" w:name="_Toc200620551"/>
      <w:r>
        <w:t>Glosario de Términos</w:t>
      </w:r>
      <w:bookmarkEnd w:id="6"/>
      <w:bookmarkEnd w:id="7"/>
      <w:bookmarkEnd w:id="8"/>
      <w:bookmarkEnd w:id="9"/>
    </w:p>
    <w:p w14:paraId="65548C37" w14:textId="77777777" w:rsidR="00165AC9" w:rsidRDefault="00165AC9" w:rsidP="000525BC">
      <w:pPr>
        <w:pStyle w:val="APA7ed"/>
        <w:numPr>
          <w:ilvl w:val="0"/>
          <w:numId w:val="4"/>
        </w:numPr>
      </w:pPr>
      <w:r w:rsidRPr="73868B68">
        <w:rPr>
          <w:b/>
          <w:bCs/>
        </w:rPr>
        <w:t>Cliente:</w:t>
      </w:r>
      <w:r>
        <w:t xml:space="preserve"> Persona natural o jurídica que solicita servicios al MARN, incluyendo estudios ambientales, permisos, licencias y certificaciones.</w:t>
      </w:r>
    </w:p>
    <w:p w14:paraId="7793FC35" w14:textId="77777777" w:rsidR="00165AC9" w:rsidRDefault="00165AC9" w:rsidP="000525BC">
      <w:pPr>
        <w:pStyle w:val="APA7ed"/>
        <w:numPr>
          <w:ilvl w:val="0"/>
          <w:numId w:val="4"/>
        </w:numPr>
      </w:pPr>
      <w:r w:rsidRPr="73868B68">
        <w:rPr>
          <w:b/>
          <w:bCs/>
        </w:rPr>
        <w:t>Proveedor:</w:t>
      </w:r>
      <w:r>
        <w:t xml:space="preserve"> Persona natural o jurídica que suministra bienes, servicios </w:t>
      </w:r>
      <w:proofErr w:type="spellStart"/>
      <w:r>
        <w:t>o</w:t>
      </w:r>
      <w:proofErr w:type="spellEnd"/>
      <w:r>
        <w:t xml:space="preserve"> obras al MARN para el cumplimiento de sus funciones institucionales.</w:t>
      </w:r>
    </w:p>
    <w:p w14:paraId="033F827B" w14:textId="77777777" w:rsidR="00165AC9" w:rsidRDefault="00165AC9" w:rsidP="000525BC">
      <w:pPr>
        <w:pStyle w:val="APA7ed"/>
        <w:numPr>
          <w:ilvl w:val="0"/>
          <w:numId w:val="4"/>
        </w:numPr>
      </w:pPr>
      <w:r w:rsidRPr="73868B68">
        <w:rPr>
          <w:b/>
          <w:bCs/>
        </w:rPr>
        <w:lastRenderedPageBreak/>
        <w:t>Prestador de Servicios Ambientales:</w:t>
      </w:r>
      <w:r>
        <w:t xml:space="preserve"> Profesional o empresa certificada para realizar estudios de impacto ambiental, diagnósticos ambientales y otros servicios técnicos especializados.</w:t>
      </w:r>
    </w:p>
    <w:p w14:paraId="367D5AA9" w14:textId="77777777" w:rsidR="00165AC9" w:rsidRDefault="00165AC9" w:rsidP="000525BC">
      <w:pPr>
        <w:pStyle w:val="APA7ed"/>
        <w:numPr>
          <w:ilvl w:val="0"/>
          <w:numId w:val="4"/>
        </w:numPr>
      </w:pPr>
      <w:r w:rsidRPr="73868B68">
        <w:rPr>
          <w:b/>
          <w:bCs/>
        </w:rPr>
        <w:t>EIA:</w:t>
      </w:r>
      <w:r>
        <w:t xml:space="preserve"> Estudio de Impacto Ambiental, documento técnico que evalúa los posibles efectos ambientales de un proyecto.</w:t>
      </w:r>
    </w:p>
    <w:p w14:paraId="020BE529" w14:textId="77777777" w:rsidR="00165AC9" w:rsidRDefault="00165AC9" w:rsidP="000525BC">
      <w:pPr>
        <w:pStyle w:val="APA7ed"/>
        <w:numPr>
          <w:ilvl w:val="0"/>
          <w:numId w:val="4"/>
        </w:numPr>
      </w:pPr>
      <w:r>
        <w:rPr>
          <w:b/>
          <w:bCs/>
        </w:rPr>
        <w:t>LCP</w:t>
      </w:r>
      <w:r w:rsidRPr="73868B68">
        <w:rPr>
          <w:b/>
          <w:bCs/>
        </w:rPr>
        <w:t>:</w:t>
      </w:r>
      <w:r>
        <w:t xml:space="preserve"> Ley de Compras Públicas</w:t>
      </w:r>
    </w:p>
    <w:p w14:paraId="1D62FF42" w14:textId="77777777" w:rsidR="00165AC9" w:rsidRDefault="00165AC9" w:rsidP="000525BC">
      <w:pPr>
        <w:pStyle w:val="APA7ed"/>
        <w:numPr>
          <w:ilvl w:val="0"/>
          <w:numId w:val="4"/>
        </w:numPr>
      </w:pPr>
      <w:r>
        <w:rPr>
          <w:b/>
          <w:bCs/>
        </w:rPr>
        <w:t>DINAC</w:t>
      </w:r>
      <w:r w:rsidRPr="73868B68">
        <w:rPr>
          <w:b/>
          <w:bCs/>
        </w:rPr>
        <w:t>:</w:t>
      </w:r>
      <w:r>
        <w:t xml:space="preserve"> Dirección Nacional de Compras</w:t>
      </w:r>
    </w:p>
    <w:p w14:paraId="79E744A4" w14:textId="77777777" w:rsidR="00165AC9" w:rsidRDefault="00165AC9" w:rsidP="000525BC">
      <w:pPr>
        <w:pStyle w:val="APA7ed"/>
        <w:numPr>
          <w:ilvl w:val="0"/>
          <w:numId w:val="4"/>
        </w:numPr>
      </w:pPr>
      <w:r>
        <w:rPr>
          <w:b/>
          <w:bCs/>
        </w:rPr>
        <w:t>UCP</w:t>
      </w:r>
      <w:r w:rsidRPr="73868B68">
        <w:rPr>
          <w:b/>
          <w:bCs/>
        </w:rPr>
        <w:t>:</w:t>
      </w:r>
      <w:r>
        <w:t xml:space="preserve"> Unidad de Compras Públicas del MARN.</w:t>
      </w:r>
    </w:p>
    <w:p w14:paraId="38414B3A" w14:textId="77777777" w:rsidR="00165AC9" w:rsidRPr="00B70051" w:rsidRDefault="00165AC9" w:rsidP="00165AC9">
      <w:pPr>
        <w:pStyle w:val="Ttulo2"/>
      </w:pPr>
      <w:bookmarkStart w:id="10" w:name="_Toc200489461"/>
      <w:bookmarkStart w:id="11" w:name="_Toc200495221"/>
      <w:bookmarkStart w:id="12" w:name="_Toc200620150"/>
      <w:bookmarkStart w:id="13" w:name="_Toc200620552"/>
      <w:r>
        <w:t>MARCO INSTITUCIONAL DEL MARN</w:t>
      </w:r>
      <w:bookmarkEnd w:id="10"/>
      <w:bookmarkEnd w:id="11"/>
      <w:bookmarkEnd w:id="12"/>
      <w:bookmarkEnd w:id="13"/>
    </w:p>
    <w:p w14:paraId="3BEFCF74" w14:textId="77777777" w:rsidR="00165AC9" w:rsidRDefault="00165AC9" w:rsidP="00165AC9">
      <w:pPr>
        <w:pStyle w:val="Ttulo2"/>
      </w:pPr>
      <w:bookmarkStart w:id="14" w:name="_Toc200489462"/>
      <w:bookmarkStart w:id="15" w:name="_Toc200495222"/>
      <w:bookmarkStart w:id="16" w:name="_Toc200620151"/>
      <w:bookmarkStart w:id="17" w:name="_Toc200620553"/>
      <w:r>
        <w:t>Misión y Visión Institucional</w:t>
      </w:r>
      <w:bookmarkEnd w:id="14"/>
      <w:bookmarkEnd w:id="15"/>
      <w:bookmarkEnd w:id="16"/>
      <w:bookmarkEnd w:id="17"/>
    </w:p>
    <w:p w14:paraId="79F677BE" w14:textId="77777777" w:rsidR="00165AC9" w:rsidRDefault="00165AC9" w:rsidP="000525BC">
      <w:pPr>
        <w:pStyle w:val="APA7ed"/>
        <w:numPr>
          <w:ilvl w:val="0"/>
          <w:numId w:val="5"/>
        </w:numPr>
      </w:pPr>
      <w:r>
        <w:t>MISIÓN: Somos la institución rectora en materia ambiental, que, por medio de políticas, estrategias e investigación científica, promovemos la protección, conservación y recuperación del medio ambiente para contribuir al desarrollo sostenible del país.</w:t>
      </w:r>
    </w:p>
    <w:p w14:paraId="7F5CB5B9" w14:textId="77777777" w:rsidR="00165AC9" w:rsidRDefault="00165AC9" w:rsidP="000525BC">
      <w:pPr>
        <w:pStyle w:val="APA7ed"/>
        <w:numPr>
          <w:ilvl w:val="0"/>
          <w:numId w:val="5"/>
        </w:numPr>
      </w:pPr>
      <w:r>
        <w:t>VISIÓN: Ser una institución innovadora que garantiza una gestión sostenible de los recursos naturales, a fin de contribuir a mejorar la calidad de vida de la población salvadoreña.</w:t>
      </w:r>
    </w:p>
    <w:p w14:paraId="22B4643C" w14:textId="77777777" w:rsidR="00165AC9" w:rsidRDefault="00165AC9" w:rsidP="00165AC9">
      <w:pPr>
        <w:pStyle w:val="Ttulo2"/>
      </w:pPr>
      <w:bookmarkStart w:id="18" w:name="_Toc200489463"/>
      <w:bookmarkStart w:id="19" w:name="_Toc200495223"/>
      <w:bookmarkStart w:id="20" w:name="_Toc200620152"/>
      <w:bookmarkStart w:id="21" w:name="_Toc200620554"/>
      <w:r>
        <w:t>Valores Institucionales</w:t>
      </w:r>
      <w:bookmarkEnd w:id="18"/>
      <w:bookmarkEnd w:id="19"/>
      <w:bookmarkEnd w:id="20"/>
      <w:bookmarkEnd w:id="21"/>
    </w:p>
    <w:p w14:paraId="7D76062B" w14:textId="77777777" w:rsidR="00165AC9" w:rsidRPr="00997E8C" w:rsidRDefault="00165AC9" w:rsidP="000525BC">
      <w:pPr>
        <w:pStyle w:val="APA7ed"/>
        <w:numPr>
          <w:ilvl w:val="0"/>
          <w:numId w:val="6"/>
        </w:numPr>
      </w:pPr>
      <w:r>
        <w:t>Transparencia: Realizar las labores institucionales de forma transparente para brindar servicios de calidad en las gestiones ambientales relativas al uso, conservación y protección de los recursos naturales.</w:t>
      </w:r>
    </w:p>
    <w:p w14:paraId="33D79E8D" w14:textId="77777777" w:rsidR="00165AC9" w:rsidRPr="00997E8C" w:rsidRDefault="00165AC9" w:rsidP="000525BC">
      <w:pPr>
        <w:pStyle w:val="APA7ed"/>
        <w:numPr>
          <w:ilvl w:val="0"/>
          <w:numId w:val="6"/>
        </w:numPr>
      </w:pPr>
      <w:r>
        <w:lastRenderedPageBreak/>
        <w:t>Responsabilidad: Hacer un uso eficiente del tiempo y los recursos de la institución.</w:t>
      </w:r>
    </w:p>
    <w:p w14:paraId="71EA55AB" w14:textId="77777777" w:rsidR="00165AC9" w:rsidRPr="00997E8C" w:rsidRDefault="00165AC9" w:rsidP="000525BC">
      <w:pPr>
        <w:pStyle w:val="APA7ed"/>
        <w:numPr>
          <w:ilvl w:val="0"/>
          <w:numId w:val="6"/>
        </w:numPr>
      </w:pPr>
      <w:r>
        <w:t>Compromiso: Contribuir positivamente a la eficiencia y productividad institucional para la satisfacción de la población e impulsar el desarrollo sostenible.</w:t>
      </w:r>
    </w:p>
    <w:p w14:paraId="45E58824" w14:textId="77777777" w:rsidR="00165AC9" w:rsidRPr="00997E8C" w:rsidRDefault="00165AC9" w:rsidP="000525BC">
      <w:pPr>
        <w:pStyle w:val="APA7ed"/>
        <w:numPr>
          <w:ilvl w:val="0"/>
          <w:numId w:val="6"/>
        </w:numPr>
      </w:pPr>
      <w:r>
        <w:t>Trabajo en Equipo: Mantener cooperación entre las unidades organizativas para lograr objetivos institucionales con buen clima laboral.</w:t>
      </w:r>
    </w:p>
    <w:p w14:paraId="11A4B335" w14:textId="77777777" w:rsidR="00165AC9" w:rsidRDefault="00165AC9" w:rsidP="000525BC">
      <w:pPr>
        <w:pStyle w:val="APA7ed"/>
        <w:numPr>
          <w:ilvl w:val="0"/>
          <w:numId w:val="6"/>
        </w:numPr>
      </w:pPr>
      <w:r>
        <w:t>Respeto: Fomentar relaciones interpersonales tratando con igualdad y no discriminación, respetando la diversidad social, política, económica, cultural y religiosa.</w:t>
      </w:r>
    </w:p>
    <w:p w14:paraId="767BC1D5" w14:textId="77777777" w:rsidR="00165AC9" w:rsidRDefault="00165AC9" w:rsidP="00165AC9">
      <w:pPr>
        <w:pStyle w:val="Ttulo2"/>
      </w:pPr>
      <w:bookmarkStart w:id="22" w:name="_Toc200489464"/>
      <w:bookmarkStart w:id="23" w:name="_Toc200495224"/>
      <w:bookmarkStart w:id="24" w:name="_Toc200620153"/>
      <w:bookmarkStart w:id="25" w:name="_Toc200620555"/>
      <w:r>
        <w:t>Estructura Organizacional</w:t>
      </w:r>
      <w:bookmarkEnd w:id="22"/>
      <w:bookmarkEnd w:id="23"/>
      <w:bookmarkEnd w:id="24"/>
      <w:bookmarkEnd w:id="25"/>
    </w:p>
    <w:p w14:paraId="04C7F075" w14:textId="77777777" w:rsidR="00165AC9" w:rsidRDefault="00165AC9" w:rsidP="00165AC9">
      <w:pPr>
        <w:pStyle w:val="APA7ed"/>
      </w:pPr>
      <w:r>
        <w:t>El MARN está organizado en cinco Direcciones Generales especializadas que integran los procesos cliente/proveedor:</w:t>
      </w:r>
    </w:p>
    <w:p w14:paraId="05607786" w14:textId="77777777" w:rsidR="00165AC9" w:rsidRDefault="00165AC9" w:rsidP="00165AC9">
      <w:pPr>
        <w:pStyle w:val="Ttulo1"/>
      </w:pPr>
      <w:bookmarkStart w:id="26" w:name="_Toc200489465"/>
      <w:bookmarkStart w:id="27" w:name="_Toc200495225"/>
      <w:bookmarkStart w:id="28" w:name="_Toc200620154"/>
      <w:bookmarkStart w:id="29" w:name="_Toc200620556"/>
      <w:r>
        <w:t xml:space="preserve"> Direcciones Generales</w:t>
      </w:r>
      <w:bookmarkEnd w:id="26"/>
      <w:bookmarkEnd w:id="27"/>
      <w:bookmarkEnd w:id="28"/>
      <w:bookmarkEnd w:id="29"/>
    </w:p>
    <w:p w14:paraId="60D5F9F0" w14:textId="77777777" w:rsidR="00165AC9" w:rsidRDefault="00165AC9" w:rsidP="00165AC9">
      <w:pPr>
        <w:pStyle w:val="Ttulo2"/>
      </w:pPr>
      <w:bookmarkStart w:id="30" w:name="_Toc200489466"/>
      <w:bookmarkStart w:id="31" w:name="_Toc200495226"/>
      <w:bookmarkStart w:id="32" w:name="_Toc200620155"/>
      <w:bookmarkStart w:id="33" w:name="_Toc200620557"/>
      <w:r>
        <w:t>2.4.1. Dirección General del Observatorio de Amenazas y Recursos Naturales</w:t>
      </w:r>
      <w:bookmarkEnd w:id="30"/>
      <w:bookmarkEnd w:id="31"/>
      <w:bookmarkEnd w:id="32"/>
      <w:bookmarkEnd w:id="33"/>
    </w:p>
    <w:p w14:paraId="0BE2571D" w14:textId="77777777" w:rsidR="00165AC9" w:rsidRPr="00B70051" w:rsidRDefault="00165AC9" w:rsidP="00165AC9">
      <w:pPr>
        <w:pStyle w:val="APA7ed"/>
      </w:pPr>
      <w:r w:rsidRPr="73868B68">
        <w:rPr>
          <w:b/>
          <w:bCs/>
        </w:rPr>
        <w:t>Función:</w:t>
      </w:r>
      <w:r>
        <w:t xml:space="preserve"> Apoyar la gestión ambiental y la gestión de riesgos mediante la observación sistemática de amenazas relacionadas con fenómenos meteorológicos, hidrológicos, geológicos, oceanográficos y de calidad de agua y aire.</w:t>
      </w:r>
    </w:p>
    <w:p w14:paraId="0534AEBC" w14:textId="77777777" w:rsidR="00165AC9" w:rsidRDefault="00165AC9" w:rsidP="00165AC9">
      <w:pPr>
        <w:ind w:firstLine="0"/>
        <w:rPr>
          <w:b/>
          <w:bCs/>
          <w:sz w:val="28"/>
          <w:szCs w:val="28"/>
        </w:rPr>
      </w:pPr>
      <w:bookmarkStart w:id="34" w:name="_Toc200489467"/>
      <w:bookmarkStart w:id="35" w:name="_Toc200495227"/>
      <w:bookmarkStart w:id="36" w:name="_Toc200620156"/>
      <w:bookmarkStart w:id="37" w:name="_Toc200620558"/>
      <w:r>
        <w:br w:type="page"/>
      </w:r>
    </w:p>
    <w:p w14:paraId="51200271" w14:textId="77777777" w:rsidR="00165AC9" w:rsidRDefault="00165AC9" w:rsidP="00165AC9">
      <w:pPr>
        <w:pStyle w:val="Ttulo2"/>
      </w:pPr>
      <w:r>
        <w:lastRenderedPageBreak/>
        <w:t>Dirección General de Evaluación y Cumplimiento Ambiental</w:t>
      </w:r>
      <w:bookmarkEnd w:id="34"/>
      <w:bookmarkEnd w:id="35"/>
      <w:bookmarkEnd w:id="36"/>
      <w:bookmarkEnd w:id="37"/>
    </w:p>
    <w:p w14:paraId="540A7FF7" w14:textId="77777777" w:rsidR="00165AC9" w:rsidRPr="00B70051" w:rsidRDefault="00165AC9" w:rsidP="00165AC9">
      <w:pPr>
        <w:pStyle w:val="APA7ed"/>
      </w:pPr>
      <w:r w:rsidRPr="73868B68">
        <w:rPr>
          <w:b/>
          <w:bCs/>
        </w:rPr>
        <w:t>Función:</w:t>
      </w:r>
      <w:r>
        <w:t xml:space="preserve"> Garantizar la protección del medio ambiente a través del ordenamiento ambiental y de la evaluación ambiental de actividades, obras y proyectos de inversión pública y privada.</w:t>
      </w:r>
    </w:p>
    <w:p w14:paraId="31DC1B8B" w14:textId="77777777" w:rsidR="00165AC9" w:rsidRDefault="00165AC9" w:rsidP="00165AC9">
      <w:pPr>
        <w:pStyle w:val="Ttulo2"/>
      </w:pPr>
      <w:bookmarkStart w:id="38" w:name="_Toc200489468"/>
      <w:bookmarkStart w:id="39" w:name="_Toc200495228"/>
      <w:bookmarkStart w:id="40" w:name="_Toc200620157"/>
      <w:bookmarkStart w:id="41" w:name="_Toc200620559"/>
      <w:r>
        <w:t>Dirección General de Seguridad Hídrica</w:t>
      </w:r>
      <w:bookmarkEnd w:id="38"/>
      <w:bookmarkEnd w:id="39"/>
      <w:bookmarkEnd w:id="40"/>
      <w:bookmarkEnd w:id="41"/>
    </w:p>
    <w:p w14:paraId="64198427" w14:textId="77777777" w:rsidR="00165AC9" w:rsidRPr="00B70051" w:rsidRDefault="00165AC9" w:rsidP="00165AC9">
      <w:pPr>
        <w:pStyle w:val="APA7ed"/>
      </w:pPr>
      <w:r w:rsidRPr="73868B68">
        <w:rPr>
          <w:b/>
          <w:bCs/>
        </w:rPr>
        <w:t>Función:</w:t>
      </w:r>
      <w:r>
        <w:t xml:space="preserve"> Promover el manejo adecuado y sostenible de los recursos hídricos y mejorar los índices de salubridad ambiental a través de planes estratégicos nacionales.</w:t>
      </w:r>
    </w:p>
    <w:p w14:paraId="41EFB225" w14:textId="77777777" w:rsidR="00165AC9" w:rsidRDefault="00165AC9" w:rsidP="00165AC9">
      <w:pPr>
        <w:pStyle w:val="Ttulo2"/>
      </w:pPr>
      <w:bookmarkStart w:id="42" w:name="_Toc200489469"/>
      <w:bookmarkStart w:id="43" w:name="_Toc200495229"/>
      <w:bookmarkStart w:id="44" w:name="_Toc200620158"/>
      <w:bookmarkStart w:id="45" w:name="_Toc200620560"/>
      <w:r>
        <w:t>Dirección General de Gestión Territorial</w:t>
      </w:r>
      <w:bookmarkEnd w:id="42"/>
      <w:bookmarkEnd w:id="43"/>
      <w:bookmarkEnd w:id="44"/>
      <w:bookmarkEnd w:id="45"/>
    </w:p>
    <w:p w14:paraId="23921773" w14:textId="77777777" w:rsidR="00165AC9" w:rsidRPr="00B70051" w:rsidRDefault="00165AC9" w:rsidP="00165AC9">
      <w:pPr>
        <w:pStyle w:val="APA7ed"/>
      </w:pPr>
      <w:r w:rsidRPr="73868B68">
        <w:rPr>
          <w:b/>
          <w:bCs/>
        </w:rPr>
        <w:t>Función:</w:t>
      </w:r>
      <w:r>
        <w:t xml:space="preserve"> Desarrollar la gobernanza ambiental en los ámbitos local y nacional, basada en una cultura de corresponsabilidad.</w:t>
      </w:r>
    </w:p>
    <w:p w14:paraId="369A60BC" w14:textId="77777777" w:rsidR="00165AC9" w:rsidRDefault="00165AC9" w:rsidP="00165AC9">
      <w:pPr>
        <w:pStyle w:val="Ttulo2"/>
      </w:pPr>
      <w:bookmarkStart w:id="46" w:name="_Toc200489470"/>
      <w:bookmarkStart w:id="47" w:name="_Toc200495230"/>
      <w:bookmarkStart w:id="48" w:name="_Toc200620159"/>
      <w:bookmarkStart w:id="49" w:name="_Toc200620561"/>
      <w:r>
        <w:t>Dirección General de Ecosistemas y Biodiversidad</w:t>
      </w:r>
      <w:bookmarkEnd w:id="46"/>
      <w:bookmarkEnd w:id="47"/>
      <w:bookmarkEnd w:id="48"/>
      <w:bookmarkEnd w:id="49"/>
    </w:p>
    <w:p w14:paraId="5B7DCA7C" w14:textId="77777777" w:rsidR="00165AC9" w:rsidRDefault="00165AC9" w:rsidP="00165AC9">
      <w:pPr>
        <w:pStyle w:val="APA7ed"/>
      </w:pPr>
      <w:r w:rsidRPr="73868B68">
        <w:rPr>
          <w:b/>
          <w:bCs/>
        </w:rPr>
        <w:t>Función:</w:t>
      </w:r>
      <w:r>
        <w:t xml:space="preserve"> Asegurar la provisión sostenida de los servicios de los ecosistemas críticos y la protección de hábitats y especies relacionadas.</w:t>
      </w:r>
    </w:p>
    <w:p w14:paraId="03CDEE1D" w14:textId="77777777" w:rsidR="00165AC9" w:rsidRDefault="00165AC9" w:rsidP="00165AC9">
      <w:pPr>
        <w:pStyle w:val="Ttulo1"/>
      </w:pPr>
      <w:bookmarkStart w:id="50" w:name="_Toc200489471"/>
      <w:bookmarkStart w:id="51" w:name="_Toc200495231"/>
      <w:bookmarkStart w:id="52" w:name="_Toc200620160"/>
      <w:bookmarkStart w:id="53" w:name="_Toc200620562"/>
      <w:r>
        <w:t xml:space="preserve"> INFORMACIÓN COMPLETA DE LOS PROCESO</w:t>
      </w:r>
      <w:bookmarkEnd w:id="50"/>
      <w:r>
        <w:t>S</w:t>
      </w:r>
      <w:bookmarkEnd w:id="51"/>
      <w:bookmarkEnd w:id="52"/>
      <w:bookmarkEnd w:id="53"/>
    </w:p>
    <w:p w14:paraId="0E3473B4" w14:textId="77777777" w:rsidR="00165AC9" w:rsidRPr="00975B39" w:rsidRDefault="00165AC9" w:rsidP="00165AC9">
      <w:pPr>
        <w:spacing w:after="0" w:line="480" w:lineRule="auto"/>
        <w:outlineLvl w:val="0"/>
        <w:rPr>
          <w:rFonts w:eastAsia="Aptos" w:cs="Times New Roman"/>
          <w:b/>
          <w:bCs/>
          <w:sz w:val="28"/>
          <w:szCs w:val="28"/>
        </w:rPr>
      </w:pPr>
      <w:bookmarkStart w:id="54" w:name="_Toc200489472"/>
      <w:bookmarkStart w:id="55" w:name="_Toc200495232"/>
      <w:bookmarkStart w:id="56" w:name="_Toc200620161"/>
      <w:bookmarkStart w:id="57" w:name="_Toc200620563"/>
      <w:r w:rsidRPr="73868B68">
        <w:rPr>
          <w:rFonts w:eastAsia="Aptos" w:cs="Times New Roman"/>
          <w:b/>
          <w:bCs/>
          <w:sz w:val="28"/>
          <w:szCs w:val="28"/>
        </w:rPr>
        <w:t>3.1. Nombre del Proceso</w:t>
      </w:r>
      <w:bookmarkEnd w:id="54"/>
      <w:bookmarkEnd w:id="55"/>
      <w:bookmarkEnd w:id="56"/>
      <w:bookmarkEnd w:id="57"/>
    </w:p>
    <w:p w14:paraId="0D477777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"PROCESO DE GESTIÓN DE PROVEEDORES Y FACTURACIÓN DE SERVICIOS AMBIENTALES DEL MARN"</w:t>
      </w:r>
    </w:p>
    <w:p w14:paraId="09BED71E" w14:textId="77777777" w:rsidR="00165AC9" w:rsidRPr="00975B39" w:rsidRDefault="00165AC9" w:rsidP="00165AC9">
      <w:pPr>
        <w:spacing w:after="0" w:line="480" w:lineRule="auto"/>
        <w:outlineLvl w:val="0"/>
        <w:rPr>
          <w:rFonts w:eastAsia="Aptos" w:cs="Times New Roman"/>
          <w:b/>
          <w:bCs/>
          <w:sz w:val="28"/>
          <w:szCs w:val="28"/>
        </w:rPr>
      </w:pPr>
      <w:bookmarkStart w:id="58" w:name="_Toc200489473"/>
      <w:bookmarkStart w:id="59" w:name="_Toc200495233"/>
      <w:bookmarkStart w:id="60" w:name="_Toc200620162"/>
      <w:bookmarkStart w:id="61" w:name="_Toc200620564"/>
      <w:r w:rsidRPr="73868B68">
        <w:rPr>
          <w:rFonts w:eastAsia="Aptos" w:cs="Times New Roman"/>
          <w:b/>
          <w:bCs/>
          <w:sz w:val="28"/>
          <w:szCs w:val="28"/>
        </w:rPr>
        <w:t>3.2. Objetivo del Proceso</w:t>
      </w:r>
      <w:bookmarkEnd w:id="58"/>
      <w:bookmarkEnd w:id="59"/>
      <w:bookmarkEnd w:id="60"/>
      <w:bookmarkEnd w:id="61"/>
    </w:p>
    <w:p w14:paraId="794F46ED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Establecer y ejecutar un sistema integral de gestión que permita:</w:t>
      </w:r>
    </w:p>
    <w:p w14:paraId="7160F8AB" w14:textId="77777777" w:rsidR="00165AC9" w:rsidRPr="00975B39" w:rsidRDefault="00165AC9" w:rsidP="000525BC">
      <w:pPr>
        <w:numPr>
          <w:ilvl w:val="0"/>
          <w:numId w:val="7"/>
        </w:num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Identificar, evaluar, seleccionar y contratar proveedores de servicios ambientales especializados que cumplan con los estándares técnicos y legales requeridos</w:t>
      </w:r>
    </w:p>
    <w:p w14:paraId="30309AA7" w14:textId="77777777" w:rsidR="00165AC9" w:rsidRPr="00975B39" w:rsidRDefault="00165AC9" w:rsidP="000525BC">
      <w:pPr>
        <w:numPr>
          <w:ilvl w:val="0"/>
          <w:numId w:val="7"/>
        </w:num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lastRenderedPageBreak/>
        <w:t>Gestionar eficientemente la facturación de servicios ambientales prestados por el MARN a usuarios externos</w:t>
      </w:r>
    </w:p>
    <w:p w14:paraId="53A9CD1C" w14:textId="77777777" w:rsidR="00165AC9" w:rsidRPr="00975B39" w:rsidRDefault="00165AC9" w:rsidP="000525BC">
      <w:pPr>
        <w:numPr>
          <w:ilvl w:val="0"/>
          <w:numId w:val="7"/>
        </w:num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Garantizar el cumplimiento de la normativa legal aplicable, especialmente la Ley LACAP y la Ley del Medio Ambiente</w:t>
      </w:r>
    </w:p>
    <w:p w14:paraId="342EA036" w14:textId="77777777" w:rsidR="00165AC9" w:rsidRPr="00975B39" w:rsidRDefault="00165AC9" w:rsidP="000525BC">
      <w:pPr>
        <w:numPr>
          <w:ilvl w:val="0"/>
          <w:numId w:val="7"/>
        </w:num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Asegurar la calidad, oportunidad y transparencia en todos los procesos de contratación y facturación</w:t>
      </w:r>
    </w:p>
    <w:p w14:paraId="7BC506D0" w14:textId="77777777" w:rsidR="00165AC9" w:rsidRPr="00E371C8" w:rsidRDefault="00165AC9" w:rsidP="000525BC">
      <w:pPr>
        <w:numPr>
          <w:ilvl w:val="0"/>
          <w:numId w:val="7"/>
        </w:num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Optimizar el uso de recursos públicos mediante procedimientos eficientes y controlados</w:t>
      </w:r>
    </w:p>
    <w:p w14:paraId="50A3598A" w14:textId="77777777" w:rsidR="00165AC9" w:rsidRPr="00975B39" w:rsidRDefault="00165AC9" w:rsidP="00165AC9">
      <w:pPr>
        <w:spacing w:after="0" w:line="480" w:lineRule="auto"/>
        <w:outlineLvl w:val="0"/>
        <w:rPr>
          <w:rFonts w:eastAsia="Aptos" w:cs="Times New Roman"/>
          <w:b/>
          <w:bCs/>
          <w:sz w:val="28"/>
          <w:szCs w:val="28"/>
        </w:rPr>
      </w:pPr>
      <w:bookmarkStart w:id="62" w:name="_Toc200489474"/>
      <w:bookmarkStart w:id="63" w:name="_Toc200495234"/>
      <w:bookmarkStart w:id="64" w:name="_Toc200620163"/>
      <w:bookmarkStart w:id="65" w:name="_Toc200620565"/>
      <w:r w:rsidRPr="73868B68">
        <w:rPr>
          <w:rFonts w:eastAsia="Aptos" w:cs="Times New Roman"/>
          <w:b/>
          <w:bCs/>
          <w:sz w:val="28"/>
          <w:szCs w:val="28"/>
        </w:rPr>
        <w:t>3.3. Justificación</w:t>
      </w:r>
      <w:bookmarkEnd w:id="62"/>
      <w:bookmarkEnd w:id="63"/>
      <w:bookmarkEnd w:id="64"/>
      <w:bookmarkEnd w:id="65"/>
    </w:p>
    <w:p w14:paraId="25AEE644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66" w:name="_Toc200489475"/>
      <w:bookmarkStart w:id="67" w:name="_Toc200495235"/>
      <w:bookmarkStart w:id="68" w:name="_Toc200620164"/>
      <w:bookmarkStart w:id="69" w:name="_Toc200620566"/>
      <w:r w:rsidRPr="73868B68">
        <w:rPr>
          <w:rFonts w:eastAsia="Aptos" w:cs="Times New Roman"/>
          <w:b/>
          <w:bCs/>
          <w:sz w:val="28"/>
          <w:szCs w:val="28"/>
        </w:rPr>
        <w:t>3.3.1. Necesidad Institucional</w:t>
      </w:r>
      <w:bookmarkEnd w:id="66"/>
      <w:bookmarkEnd w:id="67"/>
      <w:bookmarkEnd w:id="68"/>
      <w:bookmarkEnd w:id="69"/>
    </w:p>
    <w:p w14:paraId="41C47E18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El MARN requiere de un proceso estructurado para gestionar eficientemente las relaciones con proveedores de servicios ambientales especializados, considerando que:</w:t>
      </w:r>
    </w:p>
    <w:p w14:paraId="2A262BD2" w14:textId="77777777" w:rsidR="00165AC9" w:rsidRPr="00975B39" w:rsidRDefault="00165AC9" w:rsidP="000525BC">
      <w:pPr>
        <w:numPr>
          <w:ilvl w:val="0"/>
          <w:numId w:val="8"/>
        </w:num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El 70% de los estudios de impacto ambiental son realizados por prestadores de servicios externos certificados</w:t>
      </w:r>
    </w:p>
    <w:p w14:paraId="156BED9C" w14:textId="77777777" w:rsidR="00165AC9" w:rsidRPr="00975B39" w:rsidRDefault="00165AC9" w:rsidP="000525BC">
      <w:pPr>
        <w:numPr>
          <w:ilvl w:val="0"/>
          <w:numId w:val="8"/>
        </w:num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La institución genera ingresos por servicios ambientales que requieren facturación transparente y eficiente</w:t>
      </w:r>
    </w:p>
    <w:p w14:paraId="688736BC" w14:textId="77777777" w:rsidR="00165AC9" w:rsidRPr="00975B39" w:rsidRDefault="00165AC9" w:rsidP="000525BC">
      <w:pPr>
        <w:numPr>
          <w:ilvl w:val="0"/>
          <w:numId w:val="8"/>
        </w:num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El cumplimiento de la Ley LACAP es obligatorio para todas las contrataciones públicas</w:t>
      </w:r>
    </w:p>
    <w:p w14:paraId="264BCBED" w14:textId="77777777" w:rsidR="00165AC9" w:rsidRDefault="00165AC9" w:rsidP="000525BC">
      <w:pPr>
        <w:numPr>
          <w:ilvl w:val="0"/>
          <w:numId w:val="8"/>
        </w:num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La certificación ISO 17024 exige procesos documentados y controlados</w:t>
      </w:r>
    </w:p>
    <w:p w14:paraId="44DAFFB7" w14:textId="77777777" w:rsidR="00165AC9" w:rsidRPr="00975B39" w:rsidRDefault="00165AC9" w:rsidP="00165AC9">
      <w:pPr>
        <w:spacing w:line="480" w:lineRule="auto"/>
        <w:ind w:left="1069" w:firstLine="0"/>
        <w:rPr>
          <w:rFonts w:eastAsia="Aptos" w:cs="Times New Roman"/>
        </w:rPr>
      </w:pPr>
    </w:p>
    <w:p w14:paraId="2090E74C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70" w:name="_Toc200489476"/>
      <w:bookmarkStart w:id="71" w:name="_Toc200495236"/>
      <w:bookmarkStart w:id="72" w:name="_Toc200620165"/>
      <w:bookmarkStart w:id="73" w:name="_Toc200620567"/>
      <w:r w:rsidRPr="73868B68">
        <w:rPr>
          <w:rFonts w:eastAsia="Aptos" w:cs="Times New Roman"/>
          <w:b/>
          <w:bCs/>
          <w:sz w:val="28"/>
          <w:szCs w:val="28"/>
        </w:rPr>
        <w:lastRenderedPageBreak/>
        <w:t>3.3.2. Beneficios Esperados</w:t>
      </w:r>
      <w:bookmarkEnd w:id="70"/>
      <w:bookmarkEnd w:id="71"/>
      <w:bookmarkEnd w:id="72"/>
      <w:bookmarkEnd w:id="73"/>
    </w:p>
    <w:p w14:paraId="720623F3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Transparencia:</w:t>
      </w:r>
      <w:r w:rsidRPr="73868B68">
        <w:rPr>
          <w:rFonts w:eastAsia="Aptos" w:cs="Times New Roman"/>
        </w:rPr>
        <w:t xml:space="preserve"> Procesos claros y auditables</w:t>
      </w:r>
    </w:p>
    <w:p w14:paraId="709E1D35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Eficiencia:</w:t>
      </w:r>
      <w:r w:rsidRPr="73868B68">
        <w:rPr>
          <w:rFonts w:eastAsia="Aptos" w:cs="Times New Roman"/>
        </w:rPr>
        <w:t xml:space="preserve"> Reducción de tiempos de respuesta en un 40%</w:t>
      </w:r>
    </w:p>
    <w:p w14:paraId="7CD364E0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Calidad:</w:t>
      </w:r>
      <w:r w:rsidRPr="73868B68">
        <w:rPr>
          <w:rFonts w:eastAsia="Aptos" w:cs="Times New Roman"/>
        </w:rPr>
        <w:t xml:space="preserve"> Mejoramiento continuo de servicios contratados</w:t>
      </w:r>
    </w:p>
    <w:p w14:paraId="54D1D17F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Cumplimiento Legal:</w:t>
      </w:r>
      <w:r w:rsidRPr="73868B68">
        <w:rPr>
          <w:rFonts w:eastAsia="Aptos" w:cs="Times New Roman"/>
        </w:rPr>
        <w:t xml:space="preserve"> 100% de adherencia a normativas aplicables</w:t>
      </w:r>
    </w:p>
    <w:p w14:paraId="105ED32D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Optimización de Recursos:</w:t>
      </w:r>
      <w:r w:rsidRPr="73868B68">
        <w:rPr>
          <w:rFonts w:eastAsia="Aptos" w:cs="Times New Roman"/>
        </w:rPr>
        <w:t xml:space="preserve"> Mejor relación costo-beneficio</w:t>
      </w:r>
    </w:p>
    <w:p w14:paraId="20D81741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74" w:name="_Toc200489477"/>
      <w:bookmarkStart w:id="75" w:name="_Toc200495237"/>
      <w:bookmarkStart w:id="76" w:name="_Toc200620166"/>
      <w:bookmarkStart w:id="77" w:name="_Toc200620568"/>
      <w:r w:rsidRPr="73868B68">
        <w:rPr>
          <w:rFonts w:eastAsia="Aptos" w:cs="Times New Roman"/>
          <w:b/>
          <w:bCs/>
          <w:sz w:val="28"/>
          <w:szCs w:val="28"/>
        </w:rPr>
        <w:t>3.4. Alcance del Proceso</w:t>
      </w:r>
      <w:bookmarkEnd w:id="74"/>
      <w:bookmarkEnd w:id="75"/>
      <w:bookmarkEnd w:id="76"/>
      <w:bookmarkEnd w:id="77"/>
    </w:p>
    <w:p w14:paraId="1D00CB0B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78" w:name="_Toc200489478"/>
      <w:bookmarkStart w:id="79" w:name="_Toc200495238"/>
      <w:bookmarkStart w:id="80" w:name="_Toc200620167"/>
      <w:bookmarkStart w:id="81" w:name="_Toc200620569"/>
      <w:r w:rsidRPr="73868B68">
        <w:rPr>
          <w:rFonts w:eastAsia="Aptos" w:cs="Times New Roman"/>
          <w:b/>
          <w:bCs/>
          <w:sz w:val="28"/>
          <w:szCs w:val="28"/>
        </w:rPr>
        <w:t>3.4.1. Procesos Incluidos</w:t>
      </w:r>
      <w:bookmarkEnd w:id="78"/>
      <w:bookmarkEnd w:id="79"/>
      <w:bookmarkEnd w:id="80"/>
      <w:bookmarkEnd w:id="81"/>
    </w:p>
    <w:p w14:paraId="427A21D7" w14:textId="77777777" w:rsidR="00165AC9" w:rsidRPr="00975B39" w:rsidRDefault="00165AC9" w:rsidP="000525BC">
      <w:pPr>
        <w:numPr>
          <w:ilvl w:val="0"/>
          <w:numId w:val="9"/>
        </w:num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Gestión de Prestadores de Servicios Ambientales</w:t>
      </w:r>
    </w:p>
    <w:p w14:paraId="6270FB76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Registro inicial y renovaciones</w:t>
      </w:r>
    </w:p>
    <w:p w14:paraId="236BCD36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Certificación según ISO 17024</w:t>
      </w:r>
    </w:p>
    <w:p w14:paraId="79AC674E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Evaluación continua de desempeño</w:t>
      </w:r>
    </w:p>
    <w:p w14:paraId="6604219B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Actualización de base de datos</w:t>
      </w:r>
    </w:p>
    <w:p w14:paraId="478A2454" w14:textId="77777777" w:rsidR="00165AC9" w:rsidRPr="00975B39" w:rsidRDefault="00165AC9" w:rsidP="000525BC">
      <w:pPr>
        <w:numPr>
          <w:ilvl w:val="0"/>
          <w:numId w:val="9"/>
        </w:num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Contratación de Servicios Especializados</w:t>
      </w:r>
    </w:p>
    <w:p w14:paraId="19A08F5F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Estudios de impacto ambiental</w:t>
      </w:r>
    </w:p>
    <w:p w14:paraId="3FA8F5B8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Monitoreo ambiental</w:t>
      </w:r>
    </w:p>
    <w:p w14:paraId="4FE77540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Consultoría técnica especializada</w:t>
      </w:r>
    </w:p>
    <w:p w14:paraId="7D89F72E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Servicios de laboratorio</w:t>
      </w:r>
    </w:p>
    <w:p w14:paraId="30DCA53C" w14:textId="77777777" w:rsidR="00165AC9" w:rsidRPr="00975B39" w:rsidRDefault="00165AC9" w:rsidP="000525BC">
      <w:pPr>
        <w:numPr>
          <w:ilvl w:val="0"/>
          <w:numId w:val="9"/>
        </w:num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Facturación de Servicios del MARN</w:t>
      </w:r>
    </w:p>
    <w:p w14:paraId="1BBBBCA6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lastRenderedPageBreak/>
        <w:t>◦ Permisos ambientales</w:t>
      </w:r>
    </w:p>
    <w:p w14:paraId="0C40FB95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Licencias ambientales</w:t>
      </w:r>
    </w:p>
    <w:p w14:paraId="34003D59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Certificaciones</w:t>
      </w:r>
    </w:p>
    <w:p w14:paraId="083E5E58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Servicios de inspección</w:t>
      </w:r>
    </w:p>
    <w:p w14:paraId="5BB615BB" w14:textId="77777777" w:rsidR="00165AC9" w:rsidRPr="00975B39" w:rsidRDefault="00165AC9" w:rsidP="000525BC">
      <w:pPr>
        <w:numPr>
          <w:ilvl w:val="0"/>
          <w:numId w:val="9"/>
        </w:num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Gestión de Proveedores de Equipos</w:t>
      </w:r>
    </w:p>
    <w:p w14:paraId="736C96E0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Equipos de monitoreo ambiental</w:t>
      </w:r>
    </w:p>
    <w:p w14:paraId="27E4F774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Instrumentos de laboratorio</w:t>
      </w:r>
    </w:p>
    <w:p w14:paraId="15F5DC29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Tecnología especializada</w:t>
      </w:r>
    </w:p>
    <w:p w14:paraId="140BBB28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Mantenimiento y calibración</w:t>
      </w:r>
    </w:p>
    <w:p w14:paraId="2117B218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82" w:name="_Toc200489479"/>
      <w:bookmarkStart w:id="83" w:name="_Toc200495239"/>
      <w:bookmarkStart w:id="84" w:name="_Toc200620168"/>
      <w:bookmarkStart w:id="85" w:name="_Toc200620570"/>
      <w:r w:rsidRPr="73868B68">
        <w:rPr>
          <w:rFonts w:eastAsia="Aptos" w:cs="Times New Roman"/>
          <w:b/>
          <w:bCs/>
          <w:sz w:val="28"/>
          <w:szCs w:val="28"/>
        </w:rPr>
        <w:t>3.4.2. Límites del Proceso</w:t>
      </w:r>
      <w:bookmarkEnd w:id="82"/>
      <w:bookmarkEnd w:id="83"/>
      <w:bookmarkEnd w:id="84"/>
      <w:bookmarkEnd w:id="85"/>
    </w:p>
    <w:p w14:paraId="2517FDEA" w14:textId="77777777" w:rsidR="00165AC9" w:rsidRPr="00975B39" w:rsidRDefault="00165AC9" w:rsidP="000525BC">
      <w:pPr>
        <w:numPr>
          <w:ilvl w:val="0"/>
          <w:numId w:val="9"/>
        </w:num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No incluye:</w:t>
      </w:r>
      <w:r w:rsidRPr="73868B68">
        <w:rPr>
          <w:rFonts w:eastAsia="Aptos" w:cs="Times New Roman"/>
        </w:rPr>
        <w:t xml:space="preserve"> Contratación de personal permanente</w:t>
      </w:r>
    </w:p>
    <w:p w14:paraId="2474C084" w14:textId="77777777" w:rsidR="00165AC9" w:rsidRPr="00975B39" w:rsidRDefault="00165AC9" w:rsidP="000525BC">
      <w:pPr>
        <w:numPr>
          <w:ilvl w:val="0"/>
          <w:numId w:val="9"/>
        </w:num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No incluye:</w:t>
      </w:r>
      <w:r w:rsidRPr="73868B68">
        <w:rPr>
          <w:rFonts w:eastAsia="Aptos" w:cs="Times New Roman"/>
        </w:rPr>
        <w:t xml:space="preserve"> Compras menores a $1,000 USD (gestión simplificada)</w:t>
      </w:r>
    </w:p>
    <w:p w14:paraId="2E0A5EDF" w14:textId="77777777" w:rsidR="00165AC9" w:rsidRPr="00975B39" w:rsidRDefault="00165AC9" w:rsidP="000525BC">
      <w:pPr>
        <w:numPr>
          <w:ilvl w:val="0"/>
          <w:numId w:val="9"/>
        </w:num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No incluye:</w:t>
      </w:r>
      <w:r w:rsidRPr="73868B68">
        <w:rPr>
          <w:rFonts w:eastAsia="Aptos" w:cs="Times New Roman"/>
        </w:rPr>
        <w:t xml:space="preserve"> Convenios internacionales (proceso especial)</w:t>
      </w:r>
    </w:p>
    <w:p w14:paraId="5EE65F76" w14:textId="77777777" w:rsidR="00165AC9" w:rsidRDefault="00165AC9" w:rsidP="00165AC9">
      <w:pPr>
        <w:pStyle w:val="APA7ed"/>
      </w:pPr>
      <w:bookmarkStart w:id="86" w:name="_Toc200489480"/>
      <w:bookmarkStart w:id="87" w:name="_Toc200495240"/>
      <w:bookmarkStart w:id="88" w:name="_Toc200620169"/>
      <w:bookmarkStart w:id="89" w:name="_Toc200620571"/>
    </w:p>
    <w:p w14:paraId="46E91286" w14:textId="77777777" w:rsidR="00165AC9" w:rsidRDefault="00165AC9" w:rsidP="00165AC9">
      <w:pPr>
        <w:ind w:firstLine="0"/>
        <w:rPr>
          <w:rFonts w:eastAsia="Aptos" w:cs="Times New Roman"/>
          <w:b/>
          <w:bCs/>
          <w:sz w:val="28"/>
          <w:szCs w:val="28"/>
        </w:rPr>
      </w:pPr>
      <w:r>
        <w:rPr>
          <w:rFonts w:eastAsia="Aptos" w:cs="Times New Roman"/>
          <w:b/>
          <w:bCs/>
          <w:sz w:val="28"/>
          <w:szCs w:val="28"/>
        </w:rPr>
        <w:br w:type="page"/>
      </w:r>
    </w:p>
    <w:p w14:paraId="767884A7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r w:rsidRPr="73868B68">
        <w:rPr>
          <w:rFonts w:eastAsia="Aptos" w:cs="Times New Roman"/>
          <w:b/>
          <w:bCs/>
          <w:sz w:val="28"/>
          <w:szCs w:val="28"/>
        </w:rPr>
        <w:lastRenderedPageBreak/>
        <w:t>Participantes del Proceso</w:t>
      </w:r>
      <w:bookmarkEnd w:id="86"/>
      <w:bookmarkEnd w:id="87"/>
      <w:bookmarkEnd w:id="88"/>
      <w:bookmarkEnd w:id="89"/>
    </w:p>
    <w:p w14:paraId="0886030B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90" w:name="_Toc200489481"/>
      <w:bookmarkStart w:id="91" w:name="_Toc200495241"/>
      <w:bookmarkStart w:id="92" w:name="_Toc200620170"/>
      <w:bookmarkStart w:id="93" w:name="_Toc200620572"/>
      <w:r w:rsidRPr="73868B68">
        <w:rPr>
          <w:rFonts w:eastAsia="Aptos" w:cs="Times New Roman"/>
          <w:b/>
          <w:bCs/>
          <w:sz w:val="28"/>
          <w:szCs w:val="28"/>
        </w:rPr>
        <w:t>3.5.1. Actores Internos</w:t>
      </w:r>
      <w:bookmarkEnd w:id="90"/>
      <w:bookmarkEnd w:id="91"/>
      <w:bookmarkEnd w:id="92"/>
      <w:bookmarkEnd w:id="93"/>
    </w:p>
    <w:tbl>
      <w:tblPr>
        <w:tblStyle w:val="Tablaconcuadrcula2-nfasis41"/>
        <w:tblW w:w="9623" w:type="dxa"/>
        <w:tblLook w:val="04A0" w:firstRow="1" w:lastRow="0" w:firstColumn="1" w:lastColumn="0" w:noHBand="0" w:noVBand="1"/>
      </w:tblPr>
      <w:tblGrid>
        <w:gridCol w:w="5676"/>
        <w:gridCol w:w="3947"/>
      </w:tblGrid>
      <w:tr w:rsidR="00165AC9" w:rsidRPr="00975B39" w14:paraId="4E14800E" w14:textId="77777777" w:rsidTr="00B53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6" w:type="dxa"/>
          </w:tcPr>
          <w:p w14:paraId="182F6097" w14:textId="77777777" w:rsidR="00165AC9" w:rsidRPr="00975B39" w:rsidRDefault="00165AC9" w:rsidP="00B5395B">
            <w:r w:rsidRPr="73868B68">
              <w:t>Puesto/Unidad</w:t>
            </w:r>
          </w:p>
        </w:tc>
        <w:tc>
          <w:tcPr>
            <w:tcW w:w="3947" w:type="dxa"/>
          </w:tcPr>
          <w:p w14:paraId="6C993F0B" w14:textId="77777777" w:rsidR="00165AC9" w:rsidRPr="00975B39" w:rsidRDefault="00165AC9" w:rsidP="00B539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3868B68">
              <w:t>Responsabilidades Principales</w:t>
            </w:r>
          </w:p>
        </w:tc>
      </w:tr>
      <w:tr w:rsidR="00165AC9" w:rsidRPr="00975B39" w14:paraId="074F8E4B" w14:textId="77777777" w:rsidTr="00B5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6" w:type="dxa"/>
          </w:tcPr>
          <w:p w14:paraId="03818B0E" w14:textId="77777777" w:rsidR="00165AC9" w:rsidRPr="00975B39" w:rsidRDefault="00165AC9" w:rsidP="00B5395B">
            <w:r w:rsidRPr="73868B68">
              <w:t>Director General de Evaluación y Cumplimiento</w:t>
            </w:r>
          </w:p>
          <w:p w14:paraId="1BC05621" w14:textId="77777777" w:rsidR="00165AC9" w:rsidRPr="00975B39" w:rsidRDefault="00165AC9" w:rsidP="00B5395B">
            <w:r w:rsidRPr="73868B68">
              <w:t>Ambiental</w:t>
            </w:r>
          </w:p>
        </w:tc>
        <w:tc>
          <w:tcPr>
            <w:tcW w:w="3947" w:type="dxa"/>
          </w:tcPr>
          <w:p w14:paraId="3CB4F2C0" w14:textId="77777777" w:rsidR="00165AC9" w:rsidRPr="00975B39" w:rsidRDefault="00165AC9" w:rsidP="00B53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3868B68">
              <w:t>Aprobación de procesos de contratación mayor</w:t>
            </w:r>
          </w:p>
          <w:p w14:paraId="04D18386" w14:textId="77777777" w:rsidR="00165AC9" w:rsidRPr="00975B39" w:rsidRDefault="00165AC9" w:rsidP="00B53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3868B68">
              <w:t>Supervisión general del proceso</w:t>
            </w:r>
          </w:p>
          <w:p w14:paraId="74AF6200" w14:textId="77777777" w:rsidR="00165AC9" w:rsidRPr="00975B39" w:rsidRDefault="00165AC9" w:rsidP="00B53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3868B68">
              <w:t>Toma de decisiones estratégicas</w:t>
            </w:r>
          </w:p>
        </w:tc>
      </w:tr>
      <w:tr w:rsidR="00165AC9" w:rsidRPr="00975B39" w14:paraId="194A68A9" w14:textId="77777777" w:rsidTr="00B5395B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6" w:type="dxa"/>
          </w:tcPr>
          <w:p w14:paraId="12128321" w14:textId="77777777" w:rsidR="00165AC9" w:rsidRPr="00975B39" w:rsidRDefault="00165AC9" w:rsidP="00B5395B">
            <w:r w:rsidRPr="73868B68">
              <w:t>Jefe de UACI (Unidad de Adquisiciones y Contrataciones</w:t>
            </w:r>
          </w:p>
          <w:p w14:paraId="6B3D3F16" w14:textId="77777777" w:rsidR="00165AC9" w:rsidRPr="00975B39" w:rsidRDefault="00165AC9" w:rsidP="00B5395B">
            <w:r w:rsidRPr="73868B68">
              <w:t>Institucional)</w:t>
            </w:r>
          </w:p>
        </w:tc>
        <w:tc>
          <w:tcPr>
            <w:tcW w:w="3947" w:type="dxa"/>
          </w:tcPr>
          <w:p w14:paraId="27AA0E61" w14:textId="77777777" w:rsidR="00165AC9" w:rsidRPr="00975B39" w:rsidRDefault="00165AC9" w:rsidP="00B5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3868B68">
              <w:t>Coordinación de procesos LACAP</w:t>
            </w:r>
          </w:p>
          <w:p w14:paraId="41F65B8E" w14:textId="77777777" w:rsidR="00165AC9" w:rsidRPr="00975B39" w:rsidRDefault="00165AC9" w:rsidP="00B5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3868B68">
              <w:t>Supervisión de licitaciones</w:t>
            </w:r>
          </w:p>
          <w:p w14:paraId="232338E5" w14:textId="77777777" w:rsidR="00165AC9" w:rsidRPr="00975B39" w:rsidRDefault="00165AC9" w:rsidP="00B5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3868B68">
              <w:t>Cumplimiento normativo</w:t>
            </w:r>
          </w:p>
        </w:tc>
      </w:tr>
      <w:tr w:rsidR="00165AC9" w:rsidRPr="00975B39" w14:paraId="0A652459" w14:textId="77777777" w:rsidTr="00B5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6" w:type="dxa"/>
          </w:tcPr>
          <w:p w14:paraId="569DC91A" w14:textId="77777777" w:rsidR="00165AC9" w:rsidRPr="00975B39" w:rsidRDefault="00165AC9" w:rsidP="00B5395B">
            <w:r w:rsidRPr="73868B68">
              <w:t>Coordinador de Prestadores de Servicios</w:t>
            </w:r>
          </w:p>
        </w:tc>
        <w:tc>
          <w:tcPr>
            <w:tcW w:w="3947" w:type="dxa"/>
          </w:tcPr>
          <w:p w14:paraId="7E38BCA3" w14:textId="77777777" w:rsidR="00165AC9" w:rsidRPr="00975B39" w:rsidRDefault="00165AC9" w:rsidP="00B53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3868B68">
              <w:t>Gestión del registro de prestadores</w:t>
            </w:r>
          </w:p>
          <w:p w14:paraId="61A9C362" w14:textId="77777777" w:rsidR="00165AC9" w:rsidRPr="00975B39" w:rsidRDefault="00165AC9" w:rsidP="00B53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3868B68">
              <w:t>Certificación y renovaciones</w:t>
            </w:r>
          </w:p>
          <w:p w14:paraId="48B95E58" w14:textId="77777777" w:rsidR="00165AC9" w:rsidRPr="00975B39" w:rsidRDefault="00165AC9" w:rsidP="00B53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3868B68">
              <w:t>Control de calidad de servicios</w:t>
            </w:r>
          </w:p>
        </w:tc>
      </w:tr>
      <w:tr w:rsidR="00165AC9" w:rsidRPr="00975B39" w14:paraId="14B955F6" w14:textId="77777777" w:rsidTr="00B5395B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6" w:type="dxa"/>
          </w:tcPr>
          <w:p w14:paraId="65301DA8" w14:textId="77777777" w:rsidR="00165AC9" w:rsidRPr="00975B39" w:rsidRDefault="00165AC9" w:rsidP="00B5395B">
            <w:r w:rsidRPr="73868B68">
              <w:t>Especialista Técnico Ambiental</w:t>
            </w:r>
          </w:p>
        </w:tc>
        <w:tc>
          <w:tcPr>
            <w:tcW w:w="3947" w:type="dxa"/>
          </w:tcPr>
          <w:p w14:paraId="01EEA022" w14:textId="77777777" w:rsidR="00165AC9" w:rsidRPr="00975B39" w:rsidRDefault="00165AC9" w:rsidP="00B5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3868B68">
              <w:t>Evaluación técnica de ofertas</w:t>
            </w:r>
          </w:p>
          <w:p w14:paraId="3A81F39F" w14:textId="77777777" w:rsidR="00165AC9" w:rsidRPr="00975B39" w:rsidRDefault="00165AC9" w:rsidP="00B5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3868B68">
              <w:t>Definición de términos de referencia</w:t>
            </w:r>
          </w:p>
          <w:p w14:paraId="266BE83E" w14:textId="77777777" w:rsidR="00165AC9" w:rsidRPr="00975B39" w:rsidRDefault="00165AC9" w:rsidP="00B5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3868B68">
              <w:t>Supervisión de calidad técnica</w:t>
            </w:r>
          </w:p>
        </w:tc>
      </w:tr>
      <w:tr w:rsidR="00165AC9" w:rsidRPr="00975B39" w14:paraId="6D5F6E13" w14:textId="77777777" w:rsidTr="00B5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6" w:type="dxa"/>
          </w:tcPr>
          <w:p w14:paraId="25238421" w14:textId="77777777" w:rsidR="00165AC9" w:rsidRPr="00975B39" w:rsidRDefault="00165AC9" w:rsidP="00B5395B">
            <w:bookmarkStart w:id="94" w:name="_Hlk200220803"/>
            <w:r w:rsidRPr="73868B68">
              <w:t>Analista Financiero</w:t>
            </w:r>
          </w:p>
        </w:tc>
        <w:tc>
          <w:tcPr>
            <w:tcW w:w="3947" w:type="dxa"/>
          </w:tcPr>
          <w:p w14:paraId="5E909D95" w14:textId="77777777" w:rsidR="00165AC9" w:rsidRPr="00975B39" w:rsidRDefault="00165AC9" w:rsidP="00B53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3868B68">
              <w:t>Gestión de facturación</w:t>
            </w:r>
          </w:p>
          <w:p w14:paraId="6CFA54C9" w14:textId="77777777" w:rsidR="00165AC9" w:rsidRPr="00975B39" w:rsidRDefault="00165AC9" w:rsidP="00B53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3868B68">
              <w:t>Control de pagos</w:t>
            </w:r>
          </w:p>
          <w:p w14:paraId="5A93A64B" w14:textId="77777777" w:rsidR="00165AC9" w:rsidRPr="00975B39" w:rsidRDefault="00165AC9" w:rsidP="00B53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3868B68">
              <w:t>Conciliaciones financieras</w:t>
            </w:r>
          </w:p>
        </w:tc>
      </w:tr>
      <w:tr w:rsidR="00165AC9" w:rsidRPr="00975B39" w14:paraId="701DEBBC" w14:textId="77777777" w:rsidTr="00B5395B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6" w:type="dxa"/>
          </w:tcPr>
          <w:p w14:paraId="010EBF26" w14:textId="77777777" w:rsidR="00165AC9" w:rsidRPr="00975B39" w:rsidRDefault="00165AC9" w:rsidP="00B5395B">
            <w:r w:rsidRPr="73868B68">
              <w:t>Especialista Legal</w:t>
            </w:r>
          </w:p>
        </w:tc>
        <w:tc>
          <w:tcPr>
            <w:tcW w:w="3947" w:type="dxa"/>
          </w:tcPr>
          <w:p w14:paraId="2DC7CC2E" w14:textId="77777777" w:rsidR="00165AC9" w:rsidRPr="00975B39" w:rsidRDefault="00165AC9" w:rsidP="00B5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3868B68">
              <w:t>Revisión de contratos</w:t>
            </w:r>
          </w:p>
          <w:p w14:paraId="64F0BD1A" w14:textId="77777777" w:rsidR="00165AC9" w:rsidRPr="00975B39" w:rsidRDefault="00165AC9" w:rsidP="00B5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3868B68">
              <w:t>Asesoría legal en procesos</w:t>
            </w:r>
          </w:p>
          <w:p w14:paraId="0293833A" w14:textId="77777777" w:rsidR="00165AC9" w:rsidRPr="00975B39" w:rsidRDefault="00165AC9" w:rsidP="00B5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3868B68">
              <w:t>Resolución de controversias</w:t>
            </w:r>
          </w:p>
        </w:tc>
      </w:tr>
      <w:bookmarkEnd w:id="94"/>
    </w:tbl>
    <w:p w14:paraId="46E976D2" w14:textId="77777777" w:rsidR="00165AC9" w:rsidRPr="00975B39" w:rsidRDefault="00165AC9" w:rsidP="00165AC9">
      <w:pPr>
        <w:spacing w:line="480" w:lineRule="auto"/>
        <w:ind w:firstLine="0"/>
        <w:rPr>
          <w:rFonts w:eastAsia="Aptos" w:cs="Times New Roman"/>
        </w:rPr>
      </w:pPr>
    </w:p>
    <w:p w14:paraId="058039DF" w14:textId="77777777" w:rsidR="00165AC9" w:rsidRPr="00E371C8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95" w:name="_Toc200489482"/>
      <w:bookmarkStart w:id="96" w:name="_Toc200495242"/>
      <w:bookmarkStart w:id="97" w:name="_Toc200620171"/>
      <w:bookmarkStart w:id="98" w:name="_Toc200620573"/>
      <w:r w:rsidRPr="73868B68">
        <w:rPr>
          <w:rFonts w:eastAsia="Aptos" w:cs="Times New Roman"/>
          <w:b/>
          <w:bCs/>
          <w:sz w:val="28"/>
          <w:szCs w:val="28"/>
        </w:rPr>
        <w:t>3.5.2. Actores Externos</w:t>
      </w:r>
      <w:bookmarkEnd w:id="95"/>
      <w:bookmarkEnd w:id="96"/>
      <w:bookmarkEnd w:id="97"/>
      <w:bookmarkEnd w:id="98"/>
    </w:p>
    <w:tbl>
      <w:tblPr>
        <w:tblStyle w:val="Tablaconcuadrcula2-nfasis41"/>
        <w:tblW w:w="9623" w:type="dxa"/>
        <w:tblLook w:val="04A0" w:firstRow="1" w:lastRow="0" w:firstColumn="1" w:lastColumn="0" w:noHBand="0" w:noVBand="1"/>
      </w:tblPr>
      <w:tblGrid>
        <w:gridCol w:w="2996"/>
        <w:gridCol w:w="4169"/>
        <w:gridCol w:w="2458"/>
      </w:tblGrid>
      <w:tr w:rsidR="00165AC9" w:rsidRPr="00975B39" w14:paraId="3BA63E9C" w14:textId="77777777" w:rsidTr="00B53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2338E2DA" w14:textId="77777777" w:rsidR="00165AC9" w:rsidRPr="00975B39" w:rsidRDefault="00165AC9" w:rsidP="00B5395B">
            <w:r w:rsidRPr="73868B68">
              <w:t>Tipo de Actor</w:t>
            </w:r>
          </w:p>
        </w:tc>
        <w:tc>
          <w:tcPr>
            <w:tcW w:w="4169" w:type="dxa"/>
          </w:tcPr>
          <w:p w14:paraId="58637992" w14:textId="77777777" w:rsidR="00165AC9" w:rsidRPr="00975B39" w:rsidRDefault="00165AC9" w:rsidP="00B539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3868B68">
              <w:t>Descripción</w:t>
            </w:r>
          </w:p>
        </w:tc>
        <w:tc>
          <w:tcPr>
            <w:tcW w:w="2458" w:type="dxa"/>
          </w:tcPr>
          <w:p w14:paraId="7B3BAE9A" w14:textId="77777777" w:rsidR="00165AC9" w:rsidRPr="00975B39" w:rsidRDefault="00165AC9" w:rsidP="00B539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3868B68">
              <w:t>Participación</w:t>
            </w:r>
          </w:p>
        </w:tc>
      </w:tr>
      <w:tr w:rsidR="00165AC9" w:rsidRPr="00975B39" w14:paraId="26F7D114" w14:textId="77777777" w:rsidTr="00B5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73BCB977" w14:textId="77777777" w:rsidR="00165AC9" w:rsidRPr="00975B39" w:rsidRDefault="00165AC9" w:rsidP="00B5395B">
            <w:r w:rsidRPr="73868B68">
              <w:lastRenderedPageBreak/>
              <w:t>Prestadores de Servicios</w:t>
            </w:r>
          </w:p>
          <w:p w14:paraId="2A23FF6C" w14:textId="77777777" w:rsidR="00165AC9" w:rsidRPr="00975B39" w:rsidRDefault="00165AC9" w:rsidP="00B5395B">
            <w:r w:rsidRPr="73868B68">
              <w:t>Ambientales Certificados</w:t>
            </w:r>
          </w:p>
        </w:tc>
        <w:tc>
          <w:tcPr>
            <w:tcW w:w="4169" w:type="dxa"/>
          </w:tcPr>
          <w:p w14:paraId="420A8902" w14:textId="77777777" w:rsidR="00165AC9" w:rsidRPr="00975B39" w:rsidRDefault="00165AC9" w:rsidP="00B53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3868B68">
              <w:t>Personas naturales o jurídicas certificadas según ISO 17024 para realizar EIA y otros estudios</w:t>
            </w:r>
          </w:p>
        </w:tc>
        <w:tc>
          <w:tcPr>
            <w:tcW w:w="2458" w:type="dxa"/>
          </w:tcPr>
          <w:p w14:paraId="2936E31A" w14:textId="77777777" w:rsidR="00165AC9" w:rsidRPr="00975B39" w:rsidRDefault="00165AC9" w:rsidP="00B53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3868B68">
              <w:t xml:space="preserve">Presentación </w:t>
            </w:r>
            <w:proofErr w:type="spellStart"/>
            <w:r w:rsidRPr="73868B68">
              <w:t>deofertas</w:t>
            </w:r>
            <w:proofErr w:type="spellEnd"/>
          </w:p>
          <w:p w14:paraId="39B319F6" w14:textId="77777777" w:rsidR="00165AC9" w:rsidRPr="00975B39" w:rsidRDefault="00165AC9" w:rsidP="00B53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3868B68">
              <w:t xml:space="preserve">Ejecución de </w:t>
            </w:r>
            <w:proofErr w:type="spellStart"/>
            <w:r w:rsidRPr="73868B68">
              <w:t>servicioscontratados</w:t>
            </w:r>
            <w:proofErr w:type="spellEnd"/>
            <w:r w:rsidRPr="73868B68">
              <w:t xml:space="preserve"> - Cumplimiento de estándares de calidad</w:t>
            </w:r>
          </w:p>
        </w:tc>
      </w:tr>
      <w:tr w:rsidR="00165AC9" w:rsidRPr="00975B39" w14:paraId="0DB7EAFE" w14:textId="77777777" w:rsidTr="00B5395B">
        <w:trPr>
          <w:trHeight w:val="1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0C1CB686" w14:textId="77777777" w:rsidR="00165AC9" w:rsidRPr="00975B39" w:rsidRDefault="00165AC9" w:rsidP="00B5395B">
            <w:r w:rsidRPr="73868B68">
              <w:t>Clientes del MARN</w:t>
            </w:r>
          </w:p>
        </w:tc>
        <w:tc>
          <w:tcPr>
            <w:tcW w:w="4169" w:type="dxa"/>
          </w:tcPr>
          <w:p w14:paraId="4492E661" w14:textId="77777777" w:rsidR="00165AC9" w:rsidRPr="00975B39" w:rsidRDefault="00165AC9" w:rsidP="00B5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3868B68">
              <w:t>Empresas, instituciones y personas que requieren servicios ambientales del MARN</w:t>
            </w:r>
          </w:p>
        </w:tc>
        <w:tc>
          <w:tcPr>
            <w:tcW w:w="2458" w:type="dxa"/>
          </w:tcPr>
          <w:p w14:paraId="529CFDD0" w14:textId="77777777" w:rsidR="00165AC9" w:rsidRPr="00975B39" w:rsidRDefault="00165AC9" w:rsidP="00B5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3868B68">
              <w:t>Solicitud de servicios- Cumplimiento de requisitos</w:t>
            </w:r>
          </w:p>
          <w:p w14:paraId="6BC207F3" w14:textId="77777777" w:rsidR="00165AC9" w:rsidRPr="00975B39" w:rsidRDefault="00165AC9" w:rsidP="00B5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3868B68">
              <w:t>Pago de servicios</w:t>
            </w:r>
          </w:p>
        </w:tc>
      </w:tr>
      <w:tr w:rsidR="00165AC9" w:rsidRPr="00975B39" w14:paraId="1DCA746B" w14:textId="77777777" w:rsidTr="00B5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63BED389" w14:textId="77777777" w:rsidR="00165AC9" w:rsidRPr="00975B39" w:rsidRDefault="00165AC9" w:rsidP="00B5395B">
            <w:r w:rsidRPr="73868B68">
              <w:t>Proveedores de Equipos</w:t>
            </w:r>
          </w:p>
          <w:p w14:paraId="2AC610A1" w14:textId="77777777" w:rsidR="00165AC9" w:rsidRPr="00975B39" w:rsidRDefault="00165AC9" w:rsidP="00B5395B">
            <w:r w:rsidRPr="73868B68">
              <w:t>Especializados</w:t>
            </w:r>
          </w:p>
        </w:tc>
        <w:tc>
          <w:tcPr>
            <w:tcW w:w="4169" w:type="dxa"/>
          </w:tcPr>
          <w:p w14:paraId="0B78AC82" w14:textId="77777777" w:rsidR="00165AC9" w:rsidRPr="00975B39" w:rsidRDefault="00165AC9" w:rsidP="00B53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3868B68">
              <w:t>Empresas que suministran equipos de monitoreo, laboratorio y tecnología ambiental</w:t>
            </w:r>
          </w:p>
        </w:tc>
        <w:tc>
          <w:tcPr>
            <w:tcW w:w="2458" w:type="dxa"/>
          </w:tcPr>
          <w:p w14:paraId="2F7EBDA9" w14:textId="77777777" w:rsidR="00165AC9" w:rsidRPr="00975B39" w:rsidRDefault="00165AC9" w:rsidP="00B53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3868B68">
              <w:t>Cotización de equipos</w:t>
            </w:r>
          </w:p>
          <w:p w14:paraId="2C3ECC58" w14:textId="77777777" w:rsidR="00165AC9" w:rsidRPr="00975B39" w:rsidRDefault="00165AC9" w:rsidP="00B53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3868B68">
              <w:t xml:space="preserve">Suministro </w:t>
            </w:r>
            <w:proofErr w:type="spellStart"/>
            <w:r w:rsidRPr="73868B68">
              <w:t>yinstalación</w:t>
            </w:r>
            <w:proofErr w:type="spellEnd"/>
          </w:p>
          <w:p w14:paraId="00321E8B" w14:textId="77777777" w:rsidR="00165AC9" w:rsidRPr="00975B39" w:rsidRDefault="00165AC9" w:rsidP="00B53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3868B68">
              <w:t xml:space="preserve">Soporte técnico </w:t>
            </w:r>
            <w:proofErr w:type="spellStart"/>
            <w:r w:rsidRPr="73868B68">
              <w:t>ymantenimiento</w:t>
            </w:r>
            <w:proofErr w:type="spellEnd"/>
          </w:p>
        </w:tc>
      </w:tr>
      <w:tr w:rsidR="00165AC9" w:rsidRPr="00975B39" w14:paraId="081EFA69" w14:textId="77777777" w:rsidTr="00B5395B">
        <w:trPr>
          <w:trHeight w:val="1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7AE0F001" w14:textId="77777777" w:rsidR="00165AC9" w:rsidRPr="00975B39" w:rsidRDefault="00165AC9" w:rsidP="00B5395B">
            <w:r w:rsidRPr="73868B68">
              <w:t>UNAC (Unidad Normativa de</w:t>
            </w:r>
          </w:p>
          <w:p w14:paraId="22645B5D" w14:textId="77777777" w:rsidR="00165AC9" w:rsidRPr="00975B39" w:rsidRDefault="00165AC9" w:rsidP="00B5395B">
            <w:r w:rsidRPr="73868B68">
              <w:t>Adquisiciones)</w:t>
            </w:r>
          </w:p>
        </w:tc>
        <w:tc>
          <w:tcPr>
            <w:tcW w:w="4169" w:type="dxa"/>
          </w:tcPr>
          <w:p w14:paraId="7F11C224" w14:textId="77777777" w:rsidR="00165AC9" w:rsidRPr="00975B39" w:rsidRDefault="00165AC9" w:rsidP="00B5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3868B68">
              <w:t>Ente rector de compras públicas adscrito al</w:t>
            </w:r>
          </w:p>
          <w:p w14:paraId="6751EA98" w14:textId="77777777" w:rsidR="00165AC9" w:rsidRPr="00975B39" w:rsidRDefault="00165AC9" w:rsidP="00B5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3868B68">
              <w:t>Ministerio de Hacienda</w:t>
            </w:r>
          </w:p>
        </w:tc>
        <w:tc>
          <w:tcPr>
            <w:tcW w:w="2458" w:type="dxa"/>
          </w:tcPr>
          <w:p w14:paraId="4CA1AB73" w14:textId="77777777" w:rsidR="00165AC9" w:rsidRPr="00975B39" w:rsidRDefault="00165AC9" w:rsidP="00B5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3868B68">
              <w:t xml:space="preserve">Normativas </w:t>
            </w:r>
            <w:proofErr w:type="spellStart"/>
            <w:r w:rsidRPr="73868B68">
              <w:t>ylineamientos</w:t>
            </w:r>
            <w:proofErr w:type="spellEnd"/>
            <w:r w:rsidRPr="73868B68">
              <w:t xml:space="preserve"> - Supervisión de cumplimiento LACAP</w:t>
            </w:r>
          </w:p>
          <w:p w14:paraId="713B39A2" w14:textId="77777777" w:rsidR="00165AC9" w:rsidRPr="00975B39" w:rsidRDefault="00165AC9" w:rsidP="00B53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3868B68">
              <w:t>Asesoría técnica</w:t>
            </w:r>
          </w:p>
        </w:tc>
      </w:tr>
      <w:tr w:rsidR="00165AC9" w:rsidRPr="00975B39" w14:paraId="61CF2F03" w14:textId="77777777" w:rsidTr="00B5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6" w:type="dxa"/>
          </w:tcPr>
          <w:p w14:paraId="277939AE" w14:textId="77777777" w:rsidR="00165AC9" w:rsidRPr="00975B39" w:rsidRDefault="00165AC9" w:rsidP="00B5395B">
            <w:r w:rsidRPr="73868B68">
              <w:t>Organismo Salvadoreño de</w:t>
            </w:r>
          </w:p>
          <w:p w14:paraId="70A69024" w14:textId="77777777" w:rsidR="00165AC9" w:rsidRPr="00975B39" w:rsidRDefault="00165AC9" w:rsidP="00B5395B">
            <w:r w:rsidRPr="73868B68">
              <w:t>Normalización (OSN)</w:t>
            </w:r>
          </w:p>
        </w:tc>
        <w:tc>
          <w:tcPr>
            <w:tcW w:w="4169" w:type="dxa"/>
          </w:tcPr>
          <w:p w14:paraId="40F49D4E" w14:textId="77777777" w:rsidR="00165AC9" w:rsidRPr="00975B39" w:rsidRDefault="00165AC9" w:rsidP="00B53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3868B68">
              <w:t>Entidad responsable de la certificación ISO</w:t>
            </w:r>
          </w:p>
          <w:p w14:paraId="0343864B" w14:textId="77777777" w:rsidR="00165AC9" w:rsidRPr="00975B39" w:rsidRDefault="00165AC9" w:rsidP="00B53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3868B68">
              <w:t>17024</w:t>
            </w:r>
          </w:p>
        </w:tc>
        <w:tc>
          <w:tcPr>
            <w:tcW w:w="2458" w:type="dxa"/>
          </w:tcPr>
          <w:p w14:paraId="50838D43" w14:textId="77777777" w:rsidR="00165AC9" w:rsidRPr="00975B39" w:rsidRDefault="00165AC9" w:rsidP="00B53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3868B68">
              <w:t>- Certificación de prestadores - Auditorías de competencia - Renovación de certificaciones</w:t>
            </w:r>
          </w:p>
        </w:tc>
      </w:tr>
    </w:tbl>
    <w:p w14:paraId="644B779B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</w:p>
    <w:p w14:paraId="3E385644" w14:textId="77777777" w:rsidR="00165AC9" w:rsidRDefault="00165AC9" w:rsidP="00165AC9">
      <w:bookmarkStart w:id="99" w:name="_Toc200489483"/>
      <w:bookmarkStart w:id="100" w:name="_Toc200495243"/>
      <w:bookmarkStart w:id="101" w:name="_Toc200620172"/>
      <w:bookmarkStart w:id="102" w:name="_Toc200620574"/>
    </w:p>
    <w:p w14:paraId="12524A32" w14:textId="77777777" w:rsidR="00165AC9" w:rsidRDefault="00165AC9" w:rsidP="00165AC9">
      <w:pPr>
        <w:ind w:firstLine="0"/>
        <w:rPr>
          <w:rFonts w:eastAsia="Aptos" w:cs="Times New Roman"/>
          <w:b/>
          <w:bCs/>
          <w:sz w:val="28"/>
          <w:szCs w:val="28"/>
        </w:rPr>
      </w:pPr>
      <w:r>
        <w:rPr>
          <w:rFonts w:eastAsia="Aptos" w:cs="Times New Roman"/>
          <w:b/>
          <w:bCs/>
          <w:sz w:val="28"/>
          <w:szCs w:val="28"/>
        </w:rPr>
        <w:br w:type="page"/>
      </w:r>
    </w:p>
    <w:p w14:paraId="79F50B52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r w:rsidRPr="73868B68">
        <w:rPr>
          <w:rFonts w:eastAsia="Aptos" w:cs="Times New Roman"/>
          <w:b/>
          <w:bCs/>
          <w:sz w:val="28"/>
          <w:szCs w:val="28"/>
        </w:rPr>
        <w:lastRenderedPageBreak/>
        <w:t>DESCRIPCIÓN DETALLADA DEL PROCESO</w:t>
      </w:r>
      <w:bookmarkEnd w:id="99"/>
      <w:bookmarkEnd w:id="100"/>
      <w:bookmarkEnd w:id="101"/>
      <w:bookmarkEnd w:id="102"/>
    </w:p>
    <w:p w14:paraId="48C03A9B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103" w:name="_Toc200489484"/>
      <w:bookmarkStart w:id="104" w:name="_Toc200495244"/>
      <w:bookmarkStart w:id="105" w:name="_Toc200620173"/>
      <w:bookmarkStart w:id="106" w:name="_Toc200620575"/>
      <w:r w:rsidRPr="73868B68">
        <w:rPr>
          <w:rFonts w:eastAsia="Aptos" w:cs="Times New Roman"/>
          <w:b/>
          <w:bCs/>
          <w:sz w:val="28"/>
          <w:szCs w:val="28"/>
        </w:rPr>
        <w:t>4.1. Fases del Proceso</w:t>
      </w:r>
      <w:bookmarkEnd w:id="103"/>
      <w:bookmarkEnd w:id="104"/>
      <w:bookmarkEnd w:id="105"/>
      <w:bookmarkEnd w:id="106"/>
    </w:p>
    <w:p w14:paraId="119522DB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107" w:name="_Toc200489485"/>
      <w:bookmarkStart w:id="108" w:name="_Toc200495245"/>
      <w:bookmarkStart w:id="109" w:name="_Toc200620174"/>
      <w:bookmarkStart w:id="110" w:name="_Toc200620576"/>
      <w:r w:rsidRPr="73868B68">
        <w:rPr>
          <w:rFonts w:eastAsia="Aptos" w:cs="Times New Roman"/>
          <w:b/>
          <w:bCs/>
          <w:sz w:val="28"/>
          <w:szCs w:val="28"/>
        </w:rPr>
        <w:t>4.1.1. FASE I: PLANIFICACIÓN Y PREPARACIÓN</w:t>
      </w:r>
      <w:bookmarkEnd w:id="107"/>
      <w:bookmarkEnd w:id="108"/>
      <w:bookmarkEnd w:id="109"/>
      <w:bookmarkEnd w:id="110"/>
    </w:p>
    <w:p w14:paraId="2166D72B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Duración:</w:t>
      </w:r>
      <w:r w:rsidRPr="73868B68">
        <w:rPr>
          <w:rFonts w:eastAsia="Aptos" w:cs="Times New Roman"/>
        </w:rPr>
        <w:t xml:space="preserve"> 15-30 días calendario</w:t>
      </w:r>
    </w:p>
    <w:p w14:paraId="01595B86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Responsable Principal:</w:t>
      </w:r>
      <w:r w:rsidRPr="73868B68">
        <w:rPr>
          <w:rFonts w:eastAsia="Aptos" w:cs="Times New Roman"/>
        </w:rPr>
        <w:t xml:space="preserve"> UACI en coordinación con área técnica solicitante</w:t>
      </w:r>
    </w:p>
    <w:p w14:paraId="5C18E16B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Actividades Principales:</w:t>
      </w:r>
    </w:p>
    <w:p w14:paraId="418CB97D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 xml:space="preserve">1. </w:t>
      </w:r>
      <w:r w:rsidRPr="73868B68">
        <w:rPr>
          <w:rFonts w:eastAsia="Aptos" w:cs="Times New Roman"/>
          <w:b/>
          <w:bCs/>
        </w:rPr>
        <w:t>Identificación de Necesidades</w:t>
      </w:r>
    </w:p>
    <w:p w14:paraId="4EB4B9C4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Análisis de requerimientos técnicos</w:t>
      </w:r>
    </w:p>
    <w:p w14:paraId="06476761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Definición de alcance y especificaciones</w:t>
      </w:r>
    </w:p>
    <w:p w14:paraId="7C55992D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Estimación presupuestaria</w:t>
      </w:r>
    </w:p>
    <w:p w14:paraId="7AE2423D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Programación temporal</w:t>
      </w:r>
    </w:p>
    <w:p w14:paraId="551417C5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Elaboración de Documentos Base</w:t>
      </w:r>
    </w:p>
    <w:p w14:paraId="7EE0B2E9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Términos de Referencia (TDR)</w:t>
      </w:r>
    </w:p>
    <w:p w14:paraId="0D3C8664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Bases de licitación</w:t>
      </w:r>
    </w:p>
    <w:p w14:paraId="65FC539D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Criterios de evaluación</w:t>
      </w:r>
    </w:p>
    <w:p w14:paraId="1C208B19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Cronograma del proceso</w:t>
      </w:r>
    </w:p>
    <w:p w14:paraId="2785087D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Aprobaciones Internas</w:t>
      </w:r>
    </w:p>
    <w:p w14:paraId="35A3650C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Validación técnica por área especializada</w:t>
      </w:r>
    </w:p>
    <w:p w14:paraId="58685BB1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Aprobación presupuestaria</w:t>
      </w:r>
    </w:p>
    <w:p w14:paraId="36928971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lastRenderedPageBreak/>
        <w:t>◦ Autorización de la Dirección General</w:t>
      </w:r>
    </w:p>
    <w:p w14:paraId="2EAF7C5C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Visto bueno legal</w:t>
      </w:r>
    </w:p>
    <w:p w14:paraId="1D4293C4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111" w:name="_Toc200489486"/>
      <w:bookmarkStart w:id="112" w:name="_Toc200495246"/>
      <w:bookmarkStart w:id="113" w:name="_Toc200620175"/>
      <w:bookmarkStart w:id="114" w:name="_Toc200620577"/>
      <w:r w:rsidRPr="73868B68">
        <w:rPr>
          <w:rFonts w:eastAsia="Aptos" w:cs="Times New Roman"/>
          <w:b/>
          <w:bCs/>
          <w:sz w:val="28"/>
          <w:szCs w:val="28"/>
        </w:rPr>
        <w:t>4.1.2. FASE II: CONVOCATORIA Y RECEPCIÓN DE OFERTAS</w:t>
      </w:r>
      <w:bookmarkEnd w:id="111"/>
      <w:bookmarkEnd w:id="112"/>
      <w:bookmarkEnd w:id="113"/>
      <w:bookmarkEnd w:id="114"/>
    </w:p>
    <w:p w14:paraId="1E2B7E7A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Duración:</w:t>
      </w:r>
      <w:r w:rsidRPr="73868B68">
        <w:rPr>
          <w:rFonts w:eastAsia="Aptos" w:cs="Times New Roman"/>
        </w:rPr>
        <w:t xml:space="preserve"> 20-45 días calendario (según modalidad LACAP)</w:t>
      </w:r>
    </w:p>
    <w:p w14:paraId="059FD19C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Responsable Principal:</w:t>
      </w:r>
      <w:r w:rsidRPr="73868B68">
        <w:rPr>
          <w:rFonts w:eastAsia="Aptos" w:cs="Times New Roman"/>
        </w:rPr>
        <w:t xml:space="preserve"> UACI</w:t>
      </w:r>
    </w:p>
    <w:p w14:paraId="5F39057E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Actividades Principales:</w:t>
      </w:r>
    </w:p>
    <w:p w14:paraId="299498FA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 xml:space="preserve">1. </w:t>
      </w:r>
      <w:r w:rsidRPr="73868B68">
        <w:rPr>
          <w:rFonts w:eastAsia="Aptos" w:cs="Times New Roman"/>
          <w:b/>
          <w:bCs/>
        </w:rPr>
        <w:t>Publicación de Convocatoria</w:t>
      </w:r>
    </w:p>
    <w:p w14:paraId="44BD7F5E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 xml:space="preserve">Publicación en </w:t>
      </w:r>
      <w:proofErr w:type="spellStart"/>
      <w:r w:rsidRPr="73868B68">
        <w:rPr>
          <w:rFonts w:eastAsia="Aptos" w:cs="Times New Roman"/>
        </w:rPr>
        <w:t>ComprasalWeb</w:t>
      </w:r>
      <w:proofErr w:type="spellEnd"/>
      <w:r w:rsidRPr="73868B68">
        <w:rPr>
          <w:rFonts w:eastAsia="Aptos" w:cs="Times New Roman"/>
        </w:rPr>
        <w:t xml:space="preserve"> (sistema oficial)</w:t>
      </w:r>
    </w:p>
    <w:p w14:paraId="34CC1D1B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Notificación a prestadores registrados</w:t>
      </w:r>
    </w:p>
    <w:p w14:paraId="15855420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Distribución de bases de licitación</w:t>
      </w:r>
    </w:p>
    <w:p w14:paraId="36F915C2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Respuesta a consultas</w:t>
      </w:r>
    </w:p>
    <w:p w14:paraId="0CC48DEB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Proceso de Licitación</w:t>
      </w:r>
    </w:p>
    <w:p w14:paraId="6B852D10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Acto de apertura de ofertas</w:t>
      </w:r>
    </w:p>
    <w:p w14:paraId="6F1E9D98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Verificación de documentación</w:t>
      </w:r>
    </w:p>
    <w:p w14:paraId="0490C7E2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Registro de participantes</w:t>
      </w:r>
    </w:p>
    <w:p w14:paraId="4150DFB9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Control de plazos</w:t>
      </w:r>
    </w:p>
    <w:p w14:paraId="56A3A601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Recepción y Custodia</w:t>
      </w:r>
    </w:p>
    <w:p w14:paraId="5F24607C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Recepción formal de ofertas</w:t>
      </w:r>
    </w:p>
    <w:p w14:paraId="11965303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lastRenderedPageBreak/>
        <w:t>◦ Verificación de requisitos administrativos</w:t>
      </w:r>
    </w:p>
    <w:p w14:paraId="4EFB4506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Custodia segura de documentos</w:t>
      </w:r>
    </w:p>
    <w:p w14:paraId="1893D418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Registro en sistema</w:t>
      </w:r>
    </w:p>
    <w:p w14:paraId="7A3C592F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115" w:name="_Toc200489487"/>
      <w:bookmarkStart w:id="116" w:name="_Toc200495247"/>
      <w:bookmarkStart w:id="117" w:name="_Toc200620176"/>
      <w:bookmarkStart w:id="118" w:name="_Toc200620578"/>
      <w:r w:rsidRPr="73868B68">
        <w:rPr>
          <w:rFonts w:eastAsia="Aptos" w:cs="Times New Roman"/>
          <w:b/>
          <w:bCs/>
          <w:sz w:val="28"/>
          <w:szCs w:val="28"/>
        </w:rPr>
        <w:t>4.1.3. FASE III: EVALUACIÓN Y ADJUDICACIÓN</w:t>
      </w:r>
      <w:bookmarkEnd w:id="115"/>
      <w:bookmarkEnd w:id="116"/>
      <w:bookmarkEnd w:id="117"/>
      <w:bookmarkEnd w:id="118"/>
    </w:p>
    <w:p w14:paraId="78365050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Duración:</w:t>
      </w:r>
      <w:r w:rsidRPr="73868B68">
        <w:rPr>
          <w:rFonts w:eastAsia="Aptos" w:cs="Times New Roman"/>
        </w:rPr>
        <w:t xml:space="preserve"> 15-25 días calendario </w:t>
      </w:r>
      <w:r w:rsidRPr="73868B68">
        <w:rPr>
          <w:rFonts w:eastAsia="Aptos" w:cs="Times New Roman"/>
          <w:b/>
          <w:bCs/>
        </w:rPr>
        <w:t>Responsable Principal:</w:t>
      </w:r>
      <w:r w:rsidRPr="73868B68">
        <w:rPr>
          <w:rFonts w:eastAsia="Aptos" w:cs="Times New Roman"/>
        </w:rPr>
        <w:t xml:space="preserve"> Comisión de Evaluación</w:t>
      </w:r>
    </w:p>
    <w:p w14:paraId="56B41129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Actividades Principales:</w:t>
      </w:r>
    </w:p>
    <w:p w14:paraId="550334B9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 xml:space="preserve">1. </w:t>
      </w:r>
      <w:r w:rsidRPr="73868B68">
        <w:rPr>
          <w:rFonts w:eastAsia="Aptos" w:cs="Times New Roman"/>
          <w:b/>
          <w:bCs/>
        </w:rPr>
        <w:t>Evaluación Técnica</w:t>
      </w:r>
    </w:p>
    <w:p w14:paraId="770A8D72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Conformación de comisión evaluadora</w:t>
      </w:r>
    </w:p>
    <w:p w14:paraId="6AE1525C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Aplicación de criterios técnicos</w:t>
      </w:r>
    </w:p>
    <w:p w14:paraId="61218EAD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Verificación de competencias profesionales</w:t>
      </w:r>
    </w:p>
    <w:p w14:paraId="5F6B7B68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Evaluación de propuesta metodológica</w:t>
      </w:r>
    </w:p>
    <w:p w14:paraId="396A2896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Evaluación Económica</w:t>
      </w:r>
    </w:p>
    <w:p w14:paraId="38A3DA3C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Análisis de ofertas económicas</w:t>
      </w:r>
    </w:p>
    <w:p w14:paraId="00F7FE2D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Verificación de presupuestos</w:t>
      </w:r>
    </w:p>
    <w:p w14:paraId="44DEB7AC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Aplicación de fórmulas de evaluación</w:t>
      </w:r>
    </w:p>
    <w:p w14:paraId="2F392B96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Determinación de mejor oferta</w:t>
      </w:r>
    </w:p>
    <w:p w14:paraId="3F49E03A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Adjudicación</w:t>
      </w:r>
    </w:p>
    <w:p w14:paraId="102BD688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Elaboración de informe de evaluación ◦ Recomendación de adjudicación</w:t>
      </w:r>
    </w:p>
    <w:p w14:paraId="7CD1E17D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lastRenderedPageBreak/>
        <w:t>◦ Aprobación por autoridad competente</w:t>
      </w:r>
    </w:p>
    <w:p w14:paraId="1AC4808F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Notificación a participantes</w:t>
      </w:r>
    </w:p>
    <w:p w14:paraId="7F84A312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119" w:name="_Toc200489488"/>
      <w:bookmarkStart w:id="120" w:name="_Toc200495248"/>
      <w:bookmarkStart w:id="121" w:name="_Toc200620177"/>
      <w:bookmarkStart w:id="122" w:name="_Toc200620579"/>
      <w:r w:rsidRPr="73868B68">
        <w:rPr>
          <w:rFonts w:eastAsia="Aptos" w:cs="Times New Roman"/>
          <w:b/>
          <w:bCs/>
          <w:sz w:val="28"/>
          <w:szCs w:val="28"/>
        </w:rPr>
        <w:t>4.1.4. FASE IV: CONTRATACIÓN Y EJECUCIÓN</w:t>
      </w:r>
      <w:bookmarkEnd w:id="119"/>
      <w:bookmarkEnd w:id="120"/>
      <w:bookmarkEnd w:id="121"/>
      <w:bookmarkEnd w:id="122"/>
    </w:p>
    <w:p w14:paraId="1E70E16D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Duración:</w:t>
      </w:r>
      <w:r w:rsidRPr="73868B68">
        <w:rPr>
          <w:rFonts w:eastAsia="Aptos" w:cs="Times New Roman"/>
        </w:rPr>
        <w:t xml:space="preserve"> Variable según tipo de servicio </w:t>
      </w:r>
      <w:r w:rsidRPr="73868B68">
        <w:rPr>
          <w:rFonts w:eastAsia="Aptos" w:cs="Times New Roman"/>
          <w:b/>
          <w:bCs/>
        </w:rPr>
        <w:t>Responsable Principal:</w:t>
      </w:r>
      <w:r w:rsidRPr="73868B68">
        <w:rPr>
          <w:rFonts w:eastAsia="Aptos" w:cs="Times New Roman"/>
        </w:rPr>
        <w:t xml:space="preserve"> Área técnica supervisora</w:t>
      </w:r>
    </w:p>
    <w:p w14:paraId="6B84DE0C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Actividades Principales:</w:t>
      </w:r>
    </w:p>
    <w:p w14:paraId="63476F30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 xml:space="preserve">1. </w:t>
      </w:r>
      <w:r w:rsidRPr="73868B68">
        <w:rPr>
          <w:rFonts w:eastAsia="Aptos" w:cs="Times New Roman"/>
          <w:b/>
          <w:bCs/>
        </w:rPr>
        <w:t>Formalización Contractual</w:t>
      </w:r>
    </w:p>
    <w:p w14:paraId="468175F4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Elaboración de contrato</w:t>
      </w:r>
    </w:p>
    <w:p w14:paraId="6F96F298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Suscripción de documentos</w:t>
      </w:r>
    </w:p>
    <w:p w14:paraId="0CE5B313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Constitución de garantías</w:t>
      </w:r>
    </w:p>
    <w:p w14:paraId="63138B22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Inicio de servicios</w:t>
      </w:r>
    </w:p>
    <w:p w14:paraId="7FCD9022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Supervisión y Seguimiento</w:t>
      </w:r>
    </w:p>
    <w:p w14:paraId="0C1F6111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Designación de supervisor técnico</w:t>
      </w:r>
    </w:p>
    <w:p w14:paraId="2ADB6E44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Control de avance y calidad</w:t>
      </w:r>
    </w:p>
    <w:p w14:paraId="3F21FD2C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Revisión de entregables</w:t>
      </w:r>
    </w:p>
    <w:p w14:paraId="15FA4BFE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Gestión de modificaciones</w:t>
      </w:r>
    </w:p>
    <w:p w14:paraId="3E41FBEE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Recepción y Liquidación</w:t>
      </w:r>
    </w:p>
    <w:p w14:paraId="046ABD32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Recepción provisional y definitiva</w:t>
      </w:r>
    </w:p>
    <w:p w14:paraId="0DE8D194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Evaluación de calidad</w:t>
      </w:r>
    </w:p>
    <w:p w14:paraId="37BCC6E6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lastRenderedPageBreak/>
        <w:t>◦ Liquidación contractual</w:t>
      </w:r>
    </w:p>
    <w:p w14:paraId="60273EDE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Liberación de garantías</w:t>
      </w:r>
    </w:p>
    <w:p w14:paraId="5CA3B844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123" w:name="_Toc200489489"/>
      <w:bookmarkStart w:id="124" w:name="_Toc200495249"/>
      <w:bookmarkStart w:id="125" w:name="_Toc200620178"/>
      <w:bookmarkStart w:id="126" w:name="_Toc200620580"/>
      <w:r w:rsidRPr="73868B68">
        <w:rPr>
          <w:rFonts w:eastAsia="Aptos" w:cs="Times New Roman"/>
          <w:b/>
          <w:bCs/>
          <w:sz w:val="28"/>
          <w:szCs w:val="28"/>
        </w:rPr>
        <w:t>4.1.5. FASE V: FACTURACIÓN Y PAGO</w:t>
      </w:r>
      <w:bookmarkEnd w:id="123"/>
      <w:bookmarkEnd w:id="124"/>
      <w:bookmarkEnd w:id="125"/>
      <w:bookmarkEnd w:id="126"/>
    </w:p>
    <w:p w14:paraId="0FE0FEF1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Duración:</w:t>
      </w:r>
      <w:r w:rsidRPr="73868B68">
        <w:rPr>
          <w:rFonts w:eastAsia="Aptos" w:cs="Times New Roman"/>
        </w:rPr>
        <w:t xml:space="preserve"> 10-15 días calendario </w:t>
      </w:r>
      <w:r w:rsidRPr="73868B68">
        <w:rPr>
          <w:rFonts w:eastAsia="Aptos" w:cs="Times New Roman"/>
          <w:b/>
          <w:bCs/>
        </w:rPr>
        <w:t>Responsable Principal:</w:t>
      </w:r>
      <w:r w:rsidRPr="73868B68">
        <w:rPr>
          <w:rFonts w:eastAsia="Aptos" w:cs="Times New Roman"/>
        </w:rPr>
        <w:t xml:space="preserve"> Unidad Financiera</w:t>
      </w:r>
    </w:p>
    <w:p w14:paraId="45A12F27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Actividades Principales:</w:t>
      </w:r>
    </w:p>
    <w:p w14:paraId="539ACF92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 xml:space="preserve">1. </w:t>
      </w:r>
      <w:r w:rsidRPr="73868B68">
        <w:rPr>
          <w:rFonts w:eastAsia="Aptos" w:cs="Times New Roman"/>
          <w:b/>
          <w:bCs/>
        </w:rPr>
        <w:t>Procesamiento de Facturas</w:t>
      </w:r>
    </w:p>
    <w:p w14:paraId="7519FD29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Recepción de documentos de cobro</w:t>
      </w:r>
    </w:p>
    <w:p w14:paraId="01120808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Verificación de cumplimiento</w:t>
      </w:r>
    </w:p>
    <w:p w14:paraId="2BCAD161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Validación técnica y financiera</w:t>
      </w:r>
    </w:p>
    <w:p w14:paraId="1ECF521B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Autorización de pago</w:t>
      </w:r>
    </w:p>
    <w:p w14:paraId="128D88F3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 xml:space="preserve">1. </w:t>
      </w:r>
      <w:r w:rsidRPr="73868B68">
        <w:rPr>
          <w:rFonts w:eastAsia="Aptos" w:cs="Times New Roman"/>
          <w:b/>
          <w:bCs/>
        </w:rPr>
        <w:t>Gestión de Pagos</w:t>
      </w:r>
    </w:p>
    <w:p w14:paraId="5ACB97C6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Programación de pagos</w:t>
      </w:r>
    </w:p>
    <w:p w14:paraId="4F8A5FAE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Gestión presupuestaria</w:t>
      </w:r>
    </w:p>
    <w:p w14:paraId="0A858928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Ejecución de transferencias</w:t>
      </w:r>
    </w:p>
    <w:p w14:paraId="3FEB6912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Registro contable</w:t>
      </w:r>
    </w:p>
    <w:p w14:paraId="452AB174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127" w:name="_Toc200489490"/>
      <w:bookmarkStart w:id="128" w:name="_Toc200495250"/>
      <w:bookmarkStart w:id="129" w:name="_Toc200620179"/>
      <w:bookmarkStart w:id="130" w:name="_Toc200620581"/>
      <w:r w:rsidRPr="73868B68">
        <w:rPr>
          <w:rFonts w:eastAsia="Aptos" w:cs="Times New Roman"/>
          <w:b/>
          <w:bCs/>
          <w:sz w:val="28"/>
          <w:szCs w:val="28"/>
        </w:rPr>
        <w:t>4.2. Subprocesos Integrados</w:t>
      </w:r>
      <w:bookmarkEnd w:id="127"/>
      <w:bookmarkEnd w:id="128"/>
      <w:bookmarkEnd w:id="129"/>
      <w:bookmarkEnd w:id="130"/>
    </w:p>
    <w:p w14:paraId="11E687C9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131" w:name="_Toc200489491"/>
      <w:bookmarkStart w:id="132" w:name="_Toc200495251"/>
      <w:bookmarkStart w:id="133" w:name="_Toc200620180"/>
      <w:bookmarkStart w:id="134" w:name="_Toc200620582"/>
      <w:r w:rsidRPr="73868B68">
        <w:rPr>
          <w:rFonts w:eastAsia="Aptos" w:cs="Times New Roman"/>
          <w:b/>
          <w:bCs/>
          <w:sz w:val="28"/>
          <w:szCs w:val="28"/>
        </w:rPr>
        <w:t>4.2.1. Gestión de Prestadores de Servicios Ambientales</w:t>
      </w:r>
      <w:bookmarkEnd w:id="131"/>
      <w:bookmarkEnd w:id="132"/>
      <w:bookmarkEnd w:id="133"/>
      <w:bookmarkEnd w:id="134"/>
    </w:p>
    <w:p w14:paraId="53F3D8EC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Objetivo:</w:t>
      </w:r>
      <w:r w:rsidRPr="73868B68">
        <w:rPr>
          <w:rFonts w:eastAsia="Aptos" w:cs="Times New Roman"/>
        </w:rPr>
        <w:t xml:space="preserve"> Mantener un registro actualizado y certificado de prestadores competentes.</w:t>
      </w:r>
    </w:p>
    <w:p w14:paraId="4CD5CAB2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lastRenderedPageBreak/>
        <w:t>Actividades Clave:</w:t>
      </w:r>
    </w:p>
    <w:p w14:paraId="40CDFD42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Registro inicial con requisitos ISO 17024</w:t>
      </w:r>
    </w:p>
    <w:p w14:paraId="3979AAB6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Renovación periódica de certificaciones</w:t>
      </w:r>
    </w:p>
    <w:p w14:paraId="0B96EAE0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Evaluación continua de desempeño</w:t>
      </w:r>
    </w:p>
    <w:p w14:paraId="37BD5649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Actualización de base de datos</w:t>
      </w:r>
    </w:p>
    <w:p w14:paraId="75A41039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Capacitación y desarrollo profesional</w:t>
      </w:r>
    </w:p>
    <w:p w14:paraId="320F5584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135" w:name="_Toc200489492"/>
      <w:bookmarkStart w:id="136" w:name="_Toc200495252"/>
      <w:bookmarkStart w:id="137" w:name="_Toc200620181"/>
      <w:bookmarkStart w:id="138" w:name="_Toc200620583"/>
      <w:r w:rsidRPr="73868B68">
        <w:rPr>
          <w:rFonts w:eastAsia="Aptos" w:cs="Times New Roman"/>
          <w:b/>
          <w:bCs/>
          <w:sz w:val="28"/>
          <w:szCs w:val="28"/>
        </w:rPr>
        <w:t>4.2.2. Facturación de Servicios del MARN</w:t>
      </w:r>
      <w:bookmarkEnd w:id="135"/>
      <w:bookmarkEnd w:id="136"/>
      <w:bookmarkEnd w:id="137"/>
      <w:bookmarkEnd w:id="138"/>
    </w:p>
    <w:p w14:paraId="115077B5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Objetivo:</w:t>
      </w:r>
      <w:r w:rsidRPr="73868B68">
        <w:rPr>
          <w:rFonts w:eastAsia="Aptos" w:cs="Times New Roman"/>
        </w:rPr>
        <w:t xml:space="preserve"> Gestionar eficientemente los ingresos por servicios ambientales.</w:t>
      </w:r>
    </w:p>
    <w:p w14:paraId="570D0A8F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Servicios Facturables:</w:t>
      </w:r>
    </w:p>
    <w:p w14:paraId="2A5AE572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Permisos ambientales: $150 - $5,000 USD</w:t>
      </w:r>
    </w:p>
    <w:p w14:paraId="7C21038D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Licencias ambientales: $500 - $15,000 USD</w:t>
      </w:r>
    </w:p>
    <w:p w14:paraId="199240D2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Certificaciones especiales: $200 - $2,000 USD</w:t>
      </w:r>
    </w:p>
    <w:p w14:paraId="1ACD70DD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Servicios de inspección: $100 - $800 USD</w:t>
      </w:r>
    </w:p>
    <w:p w14:paraId="566F8714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Estudios especializados: Variable según alcance</w:t>
      </w:r>
    </w:p>
    <w:p w14:paraId="0F9DFE55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139" w:name="_Toc200489493"/>
      <w:bookmarkStart w:id="140" w:name="_Toc200495253"/>
      <w:bookmarkStart w:id="141" w:name="_Toc200620182"/>
      <w:bookmarkStart w:id="142" w:name="_Toc200620584"/>
      <w:r w:rsidRPr="73868B68">
        <w:rPr>
          <w:rFonts w:eastAsia="Aptos" w:cs="Times New Roman"/>
          <w:b/>
          <w:bCs/>
          <w:sz w:val="28"/>
          <w:szCs w:val="28"/>
        </w:rPr>
        <w:t>4.3. Criterios de Calidad</w:t>
      </w:r>
      <w:bookmarkEnd w:id="139"/>
      <w:bookmarkEnd w:id="140"/>
      <w:bookmarkEnd w:id="141"/>
      <w:bookmarkEnd w:id="142"/>
    </w:p>
    <w:p w14:paraId="3B32C438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143" w:name="_Toc200489494"/>
      <w:bookmarkStart w:id="144" w:name="_Toc200495254"/>
      <w:bookmarkStart w:id="145" w:name="_Toc200620183"/>
      <w:bookmarkStart w:id="146" w:name="_Toc200620585"/>
      <w:r w:rsidRPr="73868B68">
        <w:rPr>
          <w:rFonts w:eastAsia="Aptos" w:cs="Times New Roman"/>
          <w:b/>
          <w:bCs/>
          <w:sz w:val="28"/>
          <w:szCs w:val="28"/>
        </w:rPr>
        <w:t>4.3.1. Criterios Técnicos</w:t>
      </w:r>
      <w:bookmarkEnd w:id="143"/>
      <w:bookmarkEnd w:id="144"/>
      <w:bookmarkEnd w:id="145"/>
      <w:bookmarkEnd w:id="146"/>
    </w:p>
    <w:p w14:paraId="259E5ACF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Competencia Profesional:</w:t>
      </w:r>
      <w:r w:rsidRPr="73868B68">
        <w:rPr>
          <w:rFonts w:eastAsia="Aptos" w:cs="Times New Roman"/>
        </w:rPr>
        <w:t xml:space="preserve"> Certificación vigente ISO 17024</w:t>
      </w:r>
    </w:p>
    <w:p w14:paraId="470E6F18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Experiencia Específica:</w:t>
      </w:r>
      <w:r w:rsidRPr="73868B68">
        <w:rPr>
          <w:rFonts w:eastAsia="Aptos" w:cs="Times New Roman"/>
        </w:rPr>
        <w:t xml:space="preserve"> Mínimo 3 proyectos similares en últimos 5 años</w:t>
      </w:r>
    </w:p>
    <w:p w14:paraId="0FC8D8E4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Capacidad Técnica:</w:t>
      </w:r>
      <w:r w:rsidRPr="73868B68">
        <w:rPr>
          <w:rFonts w:eastAsia="Aptos" w:cs="Times New Roman"/>
        </w:rPr>
        <w:t xml:space="preserve"> Equipo profesional calificado</w:t>
      </w:r>
    </w:p>
    <w:p w14:paraId="27356F42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lastRenderedPageBreak/>
        <w:t>Metodología:</w:t>
      </w:r>
      <w:r w:rsidRPr="73868B68">
        <w:rPr>
          <w:rFonts w:eastAsia="Aptos" w:cs="Times New Roman"/>
        </w:rPr>
        <w:t xml:space="preserve"> Propuesta técnica acorde a estándares internacionales</w:t>
      </w:r>
    </w:p>
    <w:p w14:paraId="47F9F4F1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147" w:name="_Toc200489495"/>
      <w:bookmarkStart w:id="148" w:name="_Toc200495255"/>
      <w:bookmarkStart w:id="149" w:name="_Toc200620184"/>
      <w:bookmarkStart w:id="150" w:name="_Toc200620586"/>
      <w:r w:rsidRPr="73868B68">
        <w:rPr>
          <w:rFonts w:eastAsia="Aptos" w:cs="Times New Roman"/>
          <w:b/>
          <w:bCs/>
          <w:sz w:val="28"/>
          <w:szCs w:val="28"/>
        </w:rPr>
        <w:t>4.3.2. Criterios Administrativos</w:t>
      </w:r>
      <w:bookmarkEnd w:id="147"/>
      <w:bookmarkEnd w:id="148"/>
      <w:bookmarkEnd w:id="149"/>
      <w:bookmarkEnd w:id="150"/>
    </w:p>
    <w:p w14:paraId="5B36A3B5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Documentación Legal:</w:t>
      </w:r>
      <w:r w:rsidRPr="73868B68">
        <w:rPr>
          <w:rFonts w:eastAsia="Aptos" w:cs="Times New Roman"/>
        </w:rPr>
        <w:t xml:space="preserve"> Constitución, solvencias, poderes</w:t>
      </w:r>
    </w:p>
    <w:p w14:paraId="5A332EA5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Capacidad Financiera:</w:t>
      </w:r>
      <w:r w:rsidRPr="73868B68">
        <w:rPr>
          <w:rFonts w:eastAsia="Aptos" w:cs="Times New Roman"/>
        </w:rPr>
        <w:t xml:space="preserve"> Estados financieros auditados</w:t>
      </w:r>
    </w:p>
    <w:p w14:paraId="78914C40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Referencias Comerciales:</w:t>
      </w:r>
      <w:r w:rsidRPr="73868B68">
        <w:rPr>
          <w:rFonts w:eastAsia="Aptos" w:cs="Times New Roman"/>
        </w:rPr>
        <w:t xml:space="preserve"> Certificaciones de clientes anteriores</w:t>
      </w:r>
    </w:p>
    <w:p w14:paraId="79272B0F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Seguros:</w:t>
      </w:r>
      <w:r w:rsidRPr="73868B68">
        <w:rPr>
          <w:rFonts w:eastAsia="Aptos" w:cs="Times New Roman"/>
        </w:rPr>
        <w:t xml:space="preserve"> Pólizas de responsabilidad civil vigentes</w:t>
      </w:r>
    </w:p>
    <w:p w14:paraId="6EABC95F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151" w:name="_Toc200489496"/>
      <w:bookmarkStart w:id="152" w:name="_Toc200495256"/>
      <w:bookmarkStart w:id="153" w:name="_Toc200620185"/>
      <w:bookmarkStart w:id="154" w:name="_Toc200620587"/>
      <w:r w:rsidRPr="73868B68">
        <w:rPr>
          <w:rFonts w:eastAsia="Aptos" w:cs="Times New Roman"/>
          <w:b/>
          <w:bCs/>
          <w:sz w:val="28"/>
          <w:szCs w:val="28"/>
        </w:rPr>
        <w:t>4.4. Indicadores de Desempeño</w:t>
      </w:r>
      <w:bookmarkEnd w:id="151"/>
      <w:bookmarkEnd w:id="152"/>
      <w:bookmarkEnd w:id="153"/>
      <w:bookmarkEnd w:id="154"/>
    </w:p>
    <w:tbl>
      <w:tblPr>
        <w:tblStyle w:val="Tablaconcuadrcula2-nfasis41"/>
        <w:tblW w:w="9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3"/>
        <w:gridCol w:w="4571"/>
        <w:gridCol w:w="988"/>
        <w:gridCol w:w="1311"/>
      </w:tblGrid>
      <w:tr w:rsidR="00165AC9" w:rsidRPr="00975B39" w14:paraId="7EF8A7C0" w14:textId="77777777" w:rsidTr="00B53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3" w:type="dxa"/>
          </w:tcPr>
          <w:p w14:paraId="4F592325" w14:textId="77777777" w:rsidR="00165AC9" w:rsidRPr="00975B39" w:rsidRDefault="00165AC9" w:rsidP="00B5395B">
            <w:pPr>
              <w:pStyle w:val="Sinespaciado"/>
              <w:rPr>
                <w:rFonts w:eastAsia="Aptos" w:cs="Times New Roman"/>
              </w:rPr>
            </w:pPr>
            <w:r>
              <w:t>Indicador</w:t>
            </w:r>
          </w:p>
        </w:tc>
        <w:tc>
          <w:tcPr>
            <w:tcW w:w="4571" w:type="dxa"/>
          </w:tcPr>
          <w:p w14:paraId="29A60FFE" w14:textId="77777777" w:rsidR="00165AC9" w:rsidRPr="00975B39" w:rsidRDefault="00165AC9" w:rsidP="00B5395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Times New Roman"/>
              </w:rPr>
            </w:pPr>
            <w:r>
              <w:t>Fórmula</w:t>
            </w:r>
          </w:p>
        </w:tc>
        <w:tc>
          <w:tcPr>
            <w:tcW w:w="988" w:type="dxa"/>
          </w:tcPr>
          <w:p w14:paraId="62C05D09" w14:textId="77777777" w:rsidR="00165AC9" w:rsidRPr="00975B39" w:rsidRDefault="00165AC9" w:rsidP="00B5395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Times New Roman"/>
              </w:rPr>
            </w:pPr>
            <w:r>
              <w:t>Meta</w:t>
            </w:r>
          </w:p>
        </w:tc>
        <w:tc>
          <w:tcPr>
            <w:tcW w:w="1311" w:type="dxa"/>
          </w:tcPr>
          <w:p w14:paraId="08BE1357" w14:textId="77777777" w:rsidR="00165AC9" w:rsidRPr="00975B39" w:rsidRDefault="00165AC9" w:rsidP="00B5395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Times New Roman"/>
              </w:rPr>
            </w:pPr>
            <w:r>
              <w:t>Frecuencia</w:t>
            </w:r>
          </w:p>
        </w:tc>
      </w:tr>
      <w:tr w:rsidR="00165AC9" w:rsidRPr="00975B39" w14:paraId="27F19D1B" w14:textId="77777777" w:rsidTr="00B5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3" w:type="dxa"/>
          </w:tcPr>
          <w:p w14:paraId="244864F7" w14:textId="77777777" w:rsidR="00165AC9" w:rsidRPr="00975B39" w:rsidRDefault="00165AC9" w:rsidP="00B5395B">
            <w:pPr>
              <w:pStyle w:val="Sinespaciado"/>
              <w:rPr>
                <w:rFonts w:eastAsia="Aptos" w:cs="Times New Roman"/>
              </w:rPr>
            </w:pPr>
            <w:r>
              <w:t>Tiempo Promedio de</w:t>
            </w:r>
          </w:p>
          <w:p w14:paraId="08562715" w14:textId="77777777" w:rsidR="00165AC9" w:rsidRPr="00975B39" w:rsidRDefault="00165AC9" w:rsidP="00B5395B">
            <w:pPr>
              <w:pStyle w:val="Sinespaciado"/>
              <w:rPr>
                <w:rFonts w:eastAsia="Aptos" w:cs="Times New Roman"/>
              </w:rPr>
            </w:pPr>
            <w:r>
              <w:t>Contratación</w:t>
            </w:r>
          </w:p>
        </w:tc>
        <w:tc>
          <w:tcPr>
            <w:tcW w:w="4571" w:type="dxa"/>
          </w:tcPr>
          <w:p w14:paraId="6C2611D0" w14:textId="77777777" w:rsidR="00165AC9" w:rsidRPr="00975B39" w:rsidRDefault="00165AC9" w:rsidP="00B5395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 w:cs="Times New Roman"/>
              </w:rPr>
            </w:pPr>
            <w:r>
              <w:t>Días desde convocatoria hasta adjudicación</w:t>
            </w:r>
          </w:p>
        </w:tc>
        <w:tc>
          <w:tcPr>
            <w:tcW w:w="988" w:type="dxa"/>
          </w:tcPr>
          <w:p w14:paraId="0B8659D1" w14:textId="77777777" w:rsidR="00165AC9" w:rsidRPr="00975B39" w:rsidRDefault="00165AC9" w:rsidP="00B5395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 w:cs="Times New Roman"/>
              </w:rPr>
            </w:pPr>
            <w:r>
              <w:t>≤ 60 días</w:t>
            </w:r>
          </w:p>
        </w:tc>
        <w:tc>
          <w:tcPr>
            <w:tcW w:w="1311" w:type="dxa"/>
          </w:tcPr>
          <w:p w14:paraId="3C306724" w14:textId="77777777" w:rsidR="00165AC9" w:rsidRPr="00975B39" w:rsidRDefault="00165AC9" w:rsidP="00B5395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 w:cs="Times New Roman"/>
              </w:rPr>
            </w:pPr>
            <w:r>
              <w:t>Mensual</w:t>
            </w:r>
          </w:p>
        </w:tc>
      </w:tr>
      <w:tr w:rsidR="00165AC9" w:rsidRPr="00975B39" w14:paraId="79D6FA57" w14:textId="77777777" w:rsidTr="00B5395B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3" w:type="dxa"/>
          </w:tcPr>
          <w:p w14:paraId="7B24E428" w14:textId="77777777" w:rsidR="00165AC9" w:rsidRPr="00975B39" w:rsidRDefault="00165AC9" w:rsidP="00B5395B">
            <w:pPr>
              <w:pStyle w:val="Sinespaciado"/>
              <w:rPr>
                <w:rFonts w:eastAsia="Aptos" w:cs="Times New Roman"/>
              </w:rPr>
            </w:pPr>
            <w:r>
              <w:t>Cumplimiento de Plazos de Pago</w:t>
            </w:r>
          </w:p>
        </w:tc>
        <w:tc>
          <w:tcPr>
            <w:tcW w:w="4571" w:type="dxa"/>
          </w:tcPr>
          <w:p w14:paraId="5151BA15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Times New Roman"/>
              </w:rPr>
            </w:pPr>
            <w:r>
              <w:t>(Pagos a tiempo / Total pagos) × 100</w:t>
            </w:r>
          </w:p>
        </w:tc>
        <w:tc>
          <w:tcPr>
            <w:tcW w:w="988" w:type="dxa"/>
          </w:tcPr>
          <w:p w14:paraId="475C92AB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Times New Roman"/>
              </w:rPr>
            </w:pPr>
            <w:r>
              <w:t>≥ 95%</w:t>
            </w:r>
          </w:p>
        </w:tc>
        <w:tc>
          <w:tcPr>
            <w:tcW w:w="1311" w:type="dxa"/>
          </w:tcPr>
          <w:p w14:paraId="45737832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Times New Roman"/>
              </w:rPr>
            </w:pPr>
            <w:r>
              <w:t>Mensual</w:t>
            </w:r>
          </w:p>
        </w:tc>
      </w:tr>
      <w:tr w:rsidR="00165AC9" w:rsidRPr="00975B39" w14:paraId="4C9563E0" w14:textId="77777777" w:rsidTr="00B5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3" w:type="dxa"/>
          </w:tcPr>
          <w:p w14:paraId="474ED630" w14:textId="77777777" w:rsidR="00165AC9" w:rsidRPr="00975B39" w:rsidRDefault="00165AC9" w:rsidP="00B5395B">
            <w:pPr>
              <w:pStyle w:val="Sinespaciado"/>
              <w:rPr>
                <w:rFonts w:eastAsia="Aptos" w:cs="Times New Roman"/>
              </w:rPr>
            </w:pPr>
            <w:r>
              <w:t>Satisfacción de</w:t>
            </w:r>
          </w:p>
          <w:p w14:paraId="367BCF92" w14:textId="77777777" w:rsidR="00165AC9" w:rsidRPr="00975B39" w:rsidRDefault="00165AC9" w:rsidP="00B5395B">
            <w:pPr>
              <w:pStyle w:val="Sinespaciado"/>
              <w:rPr>
                <w:rFonts w:eastAsia="Aptos" w:cs="Times New Roman"/>
              </w:rPr>
            </w:pPr>
            <w:r>
              <w:t>Prestadores</w:t>
            </w:r>
          </w:p>
        </w:tc>
        <w:tc>
          <w:tcPr>
            <w:tcW w:w="4571" w:type="dxa"/>
          </w:tcPr>
          <w:p w14:paraId="46D6EF9A" w14:textId="77777777" w:rsidR="00165AC9" w:rsidRPr="00975B39" w:rsidRDefault="00165AC9" w:rsidP="00B5395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 w:cs="Times New Roman"/>
              </w:rPr>
            </w:pPr>
            <w:r>
              <w:t>Encuesta de satisfacción</w:t>
            </w:r>
          </w:p>
        </w:tc>
        <w:tc>
          <w:tcPr>
            <w:tcW w:w="988" w:type="dxa"/>
          </w:tcPr>
          <w:p w14:paraId="3EB2BF70" w14:textId="77777777" w:rsidR="00165AC9" w:rsidRPr="00975B39" w:rsidRDefault="00165AC9" w:rsidP="00B5395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 w:cs="Times New Roman"/>
              </w:rPr>
            </w:pPr>
            <w:r>
              <w:t>≥</w:t>
            </w:r>
          </w:p>
          <w:p w14:paraId="6A66F304" w14:textId="77777777" w:rsidR="00165AC9" w:rsidRPr="00975B39" w:rsidRDefault="00165AC9" w:rsidP="00B5395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 w:cs="Times New Roman"/>
              </w:rPr>
            </w:pPr>
            <w:r>
              <w:t>4.0/5.0</w:t>
            </w:r>
          </w:p>
        </w:tc>
        <w:tc>
          <w:tcPr>
            <w:tcW w:w="1311" w:type="dxa"/>
          </w:tcPr>
          <w:p w14:paraId="0A85DDA9" w14:textId="77777777" w:rsidR="00165AC9" w:rsidRPr="00975B39" w:rsidRDefault="00165AC9" w:rsidP="00B5395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 w:cs="Times New Roman"/>
              </w:rPr>
            </w:pPr>
            <w:r>
              <w:t>Semestral</w:t>
            </w:r>
          </w:p>
        </w:tc>
      </w:tr>
      <w:tr w:rsidR="00165AC9" w:rsidRPr="00975B39" w14:paraId="25B1C60A" w14:textId="77777777" w:rsidTr="00B5395B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3" w:type="dxa"/>
          </w:tcPr>
          <w:p w14:paraId="1A256D28" w14:textId="77777777" w:rsidR="00165AC9" w:rsidRPr="00975B39" w:rsidRDefault="00165AC9" w:rsidP="00B5395B">
            <w:pPr>
              <w:pStyle w:val="Sinespaciado"/>
              <w:rPr>
                <w:rFonts w:eastAsia="Aptos" w:cs="Times New Roman"/>
              </w:rPr>
            </w:pPr>
            <w:r>
              <w:t>Calidad de Servicios</w:t>
            </w:r>
          </w:p>
          <w:p w14:paraId="28D956C6" w14:textId="77777777" w:rsidR="00165AC9" w:rsidRPr="00975B39" w:rsidRDefault="00165AC9" w:rsidP="00B5395B">
            <w:pPr>
              <w:pStyle w:val="Sinespaciado"/>
              <w:rPr>
                <w:rFonts w:eastAsia="Aptos" w:cs="Times New Roman"/>
              </w:rPr>
            </w:pPr>
            <w:r>
              <w:t>Contratados</w:t>
            </w:r>
          </w:p>
        </w:tc>
        <w:tc>
          <w:tcPr>
            <w:tcW w:w="4571" w:type="dxa"/>
          </w:tcPr>
          <w:p w14:paraId="34E2A918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Times New Roman"/>
              </w:rPr>
            </w:pPr>
            <w:r>
              <w:t>Evaluación técnica promedio</w:t>
            </w:r>
          </w:p>
        </w:tc>
        <w:tc>
          <w:tcPr>
            <w:tcW w:w="988" w:type="dxa"/>
          </w:tcPr>
          <w:p w14:paraId="767DDC46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Times New Roman"/>
              </w:rPr>
            </w:pPr>
            <w:r>
              <w:t>≥</w:t>
            </w:r>
          </w:p>
          <w:p w14:paraId="55787279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Times New Roman"/>
              </w:rPr>
            </w:pPr>
            <w:r>
              <w:t>85/100</w:t>
            </w:r>
          </w:p>
        </w:tc>
        <w:tc>
          <w:tcPr>
            <w:tcW w:w="1311" w:type="dxa"/>
          </w:tcPr>
          <w:p w14:paraId="08CC6E57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Times New Roman"/>
              </w:rPr>
            </w:pPr>
            <w:r>
              <w:t>Trimestral</w:t>
            </w:r>
          </w:p>
        </w:tc>
      </w:tr>
      <w:tr w:rsidR="00165AC9" w:rsidRPr="00975B39" w14:paraId="25197C60" w14:textId="77777777" w:rsidTr="00B5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3" w:type="dxa"/>
          </w:tcPr>
          <w:p w14:paraId="30073D95" w14:textId="77777777" w:rsidR="00165AC9" w:rsidRPr="00975B39" w:rsidRDefault="00165AC9" w:rsidP="00B5395B">
            <w:pPr>
              <w:pStyle w:val="Sinespaciado"/>
              <w:rPr>
                <w:rFonts w:eastAsia="Aptos" w:cs="Times New Roman"/>
              </w:rPr>
            </w:pPr>
            <w:r>
              <w:t>Ahorro en Contrataciones</w:t>
            </w:r>
          </w:p>
        </w:tc>
        <w:tc>
          <w:tcPr>
            <w:tcW w:w="4571" w:type="dxa"/>
          </w:tcPr>
          <w:p w14:paraId="20D24FB4" w14:textId="77777777" w:rsidR="00165AC9" w:rsidRPr="00975B39" w:rsidRDefault="00165AC9" w:rsidP="00B5395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 w:cs="Times New Roman"/>
              </w:rPr>
            </w:pPr>
            <w:r>
              <w:t>(Presupuesto estimado - Precio adjudicado) /</w:t>
            </w:r>
          </w:p>
          <w:p w14:paraId="3F486650" w14:textId="77777777" w:rsidR="00165AC9" w:rsidRPr="00975B39" w:rsidRDefault="00165AC9" w:rsidP="00B5395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 w:cs="Times New Roman"/>
              </w:rPr>
            </w:pPr>
            <w:r>
              <w:t>Presupuesto estimado × 100</w:t>
            </w:r>
          </w:p>
        </w:tc>
        <w:tc>
          <w:tcPr>
            <w:tcW w:w="988" w:type="dxa"/>
          </w:tcPr>
          <w:p w14:paraId="5789CE32" w14:textId="77777777" w:rsidR="00165AC9" w:rsidRPr="00975B39" w:rsidRDefault="00165AC9" w:rsidP="00B5395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 w:cs="Times New Roman"/>
              </w:rPr>
            </w:pPr>
            <w:r>
              <w:t>≥ 10%</w:t>
            </w:r>
          </w:p>
        </w:tc>
        <w:tc>
          <w:tcPr>
            <w:tcW w:w="1311" w:type="dxa"/>
          </w:tcPr>
          <w:p w14:paraId="5CB84AC6" w14:textId="77777777" w:rsidR="00165AC9" w:rsidRPr="00975B39" w:rsidRDefault="00165AC9" w:rsidP="00B5395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ptos" w:cs="Times New Roman"/>
              </w:rPr>
            </w:pPr>
            <w:r>
              <w:t>Anual</w:t>
            </w:r>
          </w:p>
        </w:tc>
      </w:tr>
    </w:tbl>
    <w:p w14:paraId="5DC53EAC" w14:textId="77777777" w:rsidR="00165AC9" w:rsidRPr="00975B39" w:rsidRDefault="00165AC9" w:rsidP="00165AC9">
      <w:pPr>
        <w:spacing w:after="509" w:line="480" w:lineRule="auto"/>
        <w:ind w:firstLine="0"/>
        <w:rPr>
          <w:rFonts w:ascii="Aptos" w:eastAsia="Aptos" w:hAnsi="Aptos" w:cs="Times New Roman"/>
          <w:sz w:val="22"/>
          <w:szCs w:val="22"/>
        </w:rPr>
      </w:pPr>
    </w:p>
    <w:p w14:paraId="7302377B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155" w:name="_Toc200489497"/>
      <w:bookmarkStart w:id="156" w:name="_Toc200495257"/>
      <w:bookmarkStart w:id="157" w:name="_Toc200620186"/>
      <w:bookmarkStart w:id="158" w:name="_Toc200620588"/>
      <w:r w:rsidRPr="73868B68">
        <w:rPr>
          <w:rFonts w:eastAsia="Aptos" w:cs="Times New Roman"/>
          <w:b/>
          <w:bCs/>
          <w:sz w:val="28"/>
          <w:szCs w:val="28"/>
        </w:rPr>
        <w:t>5. DIAGRAMA DEL PROCESO</w:t>
      </w:r>
      <w:bookmarkEnd w:id="155"/>
      <w:bookmarkEnd w:id="156"/>
      <w:bookmarkEnd w:id="157"/>
      <w:bookmarkEnd w:id="158"/>
    </w:p>
    <w:p w14:paraId="37175236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159" w:name="_Toc200489498"/>
      <w:bookmarkStart w:id="160" w:name="_Toc200495258"/>
      <w:bookmarkStart w:id="161" w:name="_Toc200620187"/>
      <w:bookmarkStart w:id="162" w:name="_Toc200620589"/>
      <w:r w:rsidRPr="73868B68">
        <w:rPr>
          <w:rFonts w:eastAsia="Aptos" w:cs="Times New Roman"/>
          <w:b/>
          <w:bCs/>
          <w:sz w:val="28"/>
          <w:szCs w:val="28"/>
        </w:rPr>
        <w:t>5.1. Representación Gráfica del Flujo</w:t>
      </w:r>
      <w:bookmarkEnd w:id="159"/>
      <w:bookmarkEnd w:id="160"/>
      <w:bookmarkEnd w:id="161"/>
      <w:bookmarkEnd w:id="162"/>
    </w:p>
    <w:p w14:paraId="14B9A415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163" w:name="_Toc200489499"/>
      <w:bookmarkStart w:id="164" w:name="_Toc200495259"/>
      <w:bookmarkStart w:id="165" w:name="_Toc200620188"/>
      <w:bookmarkStart w:id="166" w:name="_Toc200620590"/>
      <w:r w:rsidRPr="73868B68">
        <w:rPr>
          <w:rFonts w:eastAsia="Aptos" w:cs="Times New Roman"/>
          <w:b/>
          <w:bCs/>
          <w:sz w:val="28"/>
          <w:szCs w:val="28"/>
        </w:rPr>
        <w:lastRenderedPageBreak/>
        <w:t>5.2. Puntos de Control y Decisión</w:t>
      </w:r>
      <w:bookmarkEnd w:id="163"/>
      <w:bookmarkEnd w:id="164"/>
      <w:bookmarkEnd w:id="165"/>
      <w:bookmarkEnd w:id="166"/>
    </w:p>
    <w:p w14:paraId="30D87187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167" w:name="_Toc200489500"/>
      <w:bookmarkStart w:id="168" w:name="_Toc200495260"/>
      <w:bookmarkStart w:id="169" w:name="_Toc200620189"/>
      <w:bookmarkStart w:id="170" w:name="_Toc200620591"/>
      <w:r w:rsidRPr="73868B68">
        <w:rPr>
          <w:rFonts w:eastAsia="Aptos" w:cs="Times New Roman"/>
          <w:b/>
          <w:bCs/>
          <w:sz w:val="28"/>
          <w:szCs w:val="28"/>
        </w:rPr>
        <w:t>5.2.1. Puntos de Control Críticos</w:t>
      </w:r>
      <w:bookmarkEnd w:id="167"/>
      <w:bookmarkEnd w:id="168"/>
      <w:bookmarkEnd w:id="169"/>
      <w:bookmarkEnd w:id="170"/>
    </w:p>
    <w:p w14:paraId="7A880ED9" w14:textId="77777777" w:rsidR="00165AC9" w:rsidRPr="00975B39" w:rsidRDefault="00165AC9" w:rsidP="00165AC9">
      <w:pPr>
        <w:spacing w:line="480" w:lineRule="auto"/>
        <w:ind w:left="720" w:firstLine="0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Control PC-01:</w:t>
      </w:r>
      <w:r w:rsidRPr="73868B68">
        <w:rPr>
          <w:rFonts w:eastAsia="Aptos" w:cs="Times New Roman"/>
        </w:rPr>
        <w:t xml:space="preserve"> Verificación de completitud de documentación (Fase II)</w:t>
      </w:r>
    </w:p>
    <w:p w14:paraId="50AE8D9F" w14:textId="77777777" w:rsidR="00165AC9" w:rsidRPr="00975B39" w:rsidRDefault="00165AC9" w:rsidP="00165AC9">
      <w:pPr>
        <w:spacing w:line="480" w:lineRule="auto"/>
        <w:ind w:left="720" w:firstLine="0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Control PC-02:</w:t>
      </w:r>
      <w:r w:rsidRPr="73868B68">
        <w:rPr>
          <w:rFonts w:eastAsia="Aptos" w:cs="Times New Roman"/>
        </w:rPr>
        <w:t xml:space="preserve"> Validación de competencias técnicas (Fase III)</w:t>
      </w:r>
    </w:p>
    <w:p w14:paraId="537BF117" w14:textId="77777777" w:rsidR="00165AC9" w:rsidRPr="00975B39" w:rsidRDefault="00165AC9" w:rsidP="00165AC9">
      <w:pPr>
        <w:spacing w:line="480" w:lineRule="auto"/>
        <w:ind w:left="720" w:firstLine="0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Control PC-03:</w:t>
      </w:r>
      <w:r w:rsidRPr="73868B68">
        <w:rPr>
          <w:rFonts w:eastAsia="Aptos" w:cs="Times New Roman"/>
        </w:rPr>
        <w:t xml:space="preserve"> Cumplimiento de especificaciones contractuales (Fase IV)</w:t>
      </w:r>
    </w:p>
    <w:p w14:paraId="54DCE183" w14:textId="77777777" w:rsidR="00165AC9" w:rsidRPr="00975B39" w:rsidRDefault="00165AC9" w:rsidP="00165AC9">
      <w:pPr>
        <w:spacing w:line="480" w:lineRule="auto"/>
        <w:ind w:left="720" w:firstLine="0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Control PC-04:</w:t>
      </w:r>
      <w:r w:rsidRPr="73868B68">
        <w:rPr>
          <w:rFonts w:eastAsia="Aptos" w:cs="Times New Roman"/>
        </w:rPr>
        <w:t xml:space="preserve"> Verificación de documentos de facturación (Fase V)</w:t>
      </w:r>
    </w:p>
    <w:p w14:paraId="38C4367B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171" w:name="_Toc200489501"/>
      <w:bookmarkStart w:id="172" w:name="_Toc200495261"/>
      <w:bookmarkStart w:id="173" w:name="_Toc200620190"/>
      <w:bookmarkStart w:id="174" w:name="_Toc200620592"/>
      <w:r w:rsidRPr="73868B68">
        <w:rPr>
          <w:rFonts w:eastAsia="Aptos" w:cs="Times New Roman"/>
          <w:b/>
          <w:bCs/>
          <w:sz w:val="28"/>
          <w:szCs w:val="28"/>
        </w:rPr>
        <w:t>5.2.2. Puntos de Decisión</w:t>
      </w:r>
      <w:bookmarkEnd w:id="171"/>
      <w:bookmarkEnd w:id="172"/>
      <w:bookmarkEnd w:id="173"/>
      <w:bookmarkEnd w:id="174"/>
    </w:p>
    <w:p w14:paraId="5A6AE8FE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Decisión PD-01:</w:t>
      </w:r>
      <w:r w:rsidRPr="73868B68">
        <w:rPr>
          <w:rFonts w:eastAsia="Aptos" w:cs="Times New Roman"/>
        </w:rPr>
        <w:t xml:space="preserve"> ¿Cumple requisitos mínimos? (Evaluación)</w:t>
      </w:r>
    </w:p>
    <w:p w14:paraId="52795015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Decisión PD-02:</w:t>
      </w:r>
      <w:r w:rsidRPr="73868B68">
        <w:rPr>
          <w:rFonts w:eastAsia="Aptos" w:cs="Times New Roman"/>
        </w:rPr>
        <w:t xml:space="preserve"> ¿Se presentan recursos administrativos? (</w:t>
      </w:r>
      <w:proofErr w:type="spellStart"/>
      <w:r w:rsidRPr="73868B68">
        <w:rPr>
          <w:rFonts w:eastAsia="Aptos" w:cs="Times New Roman"/>
        </w:rPr>
        <w:t>Post-adjudicación</w:t>
      </w:r>
      <w:proofErr w:type="spellEnd"/>
      <w:r w:rsidRPr="73868B68">
        <w:rPr>
          <w:rFonts w:eastAsia="Aptos" w:cs="Times New Roman"/>
        </w:rPr>
        <w:t>)</w:t>
      </w:r>
    </w:p>
    <w:p w14:paraId="1302207B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Decisión PD-03:</w:t>
      </w:r>
      <w:r w:rsidRPr="73868B68">
        <w:rPr>
          <w:rFonts w:eastAsia="Aptos" w:cs="Times New Roman"/>
        </w:rPr>
        <w:t xml:space="preserve"> ¿Cumple especificaciones técnicas? (Ejecución)</w:t>
      </w:r>
    </w:p>
    <w:p w14:paraId="53A4C2E8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Decisión PD-04:</w:t>
      </w:r>
      <w:r w:rsidRPr="73868B68">
        <w:rPr>
          <w:rFonts w:eastAsia="Aptos" w:cs="Times New Roman"/>
        </w:rPr>
        <w:t xml:space="preserve"> ¿Documentos de pago completos? (Facturación)</w:t>
      </w:r>
    </w:p>
    <w:p w14:paraId="72D62F45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175" w:name="_Toc200489502"/>
      <w:bookmarkStart w:id="176" w:name="_Toc200495262"/>
      <w:bookmarkStart w:id="177" w:name="_Toc200620191"/>
      <w:bookmarkStart w:id="178" w:name="_Toc200620593"/>
      <w:r w:rsidRPr="73868B68">
        <w:rPr>
          <w:rFonts w:eastAsia="Aptos" w:cs="Times New Roman"/>
          <w:b/>
          <w:bCs/>
          <w:sz w:val="28"/>
          <w:szCs w:val="28"/>
        </w:rPr>
        <w:t>5.3. Interfaces con Otros Procesos</w:t>
      </w:r>
      <w:bookmarkEnd w:id="175"/>
      <w:bookmarkEnd w:id="176"/>
      <w:bookmarkEnd w:id="177"/>
      <w:bookmarkEnd w:id="178"/>
    </w:p>
    <w:p w14:paraId="1DE066F9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 xml:space="preserve">Sistema </w:t>
      </w:r>
      <w:proofErr w:type="spellStart"/>
      <w:r w:rsidRPr="73868B68">
        <w:rPr>
          <w:rFonts w:eastAsia="Aptos" w:cs="Times New Roman"/>
          <w:b/>
          <w:bCs/>
        </w:rPr>
        <w:t>ComprasalWeb</w:t>
      </w:r>
      <w:proofErr w:type="spellEnd"/>
      <w:r w:rsidRPr="73868B68">
        <w:rPr>
          <w:rFonts w:eastAsia="Aptos" w:cs="Times New Roman"/>
          <w:b/>
          <w:bCs/>
        </w:rPr>
        <w:t>:</w:t>
      </w:r>
      <w:r w:rsidRPr="73868B68">
        <w:rPr>
          <w:rFonts w:eastAsia="Aptos" w:cs="Times New Roman"/>
        </w:rPr>
        <w:t xml:space="preserve"> Integración para publicación y gestión de licitaciones</w:t>
      </w:r>
    </w:p>
    <w:p w14:paraId="44DB3081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Sistema Financiero MARN:</w:t>
      </w:r>
      <w:r w:rsidRPr="73868B68">
        <w:rPr>
          <w:rFonts w:eastAsia="Aptos" w:cs="Times New Roman"/>
        </w:rPr>
        <w:t xml:space="preserve"> Interfaz para programación presupuestaria y pagos</w:t>
      </w:r>
    </w:p>
    <w:p w14:paraId="27E09ABC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Base de Datos de Prestadores:</w:t>
      </w:r>
      <w:r w:rsidRPr="73868B68">
        <w:rPr>
          <w:rFonts w:eastAsia="Aptos" w:cs="Times New Roman"/>
        </w:rPr>
        <w:t xml:space="preserve"> Consulta de certificaciones </w:t>
      </w:r>
      <w:proofErr w:type="spellStart"/>
      <w:r w:rsidRPr="73868B68">
        <w:rPr>
          <w:rFonts w:eastAsia="Aptos" w:cs="Times New Roman"/>
        </w:rPr>
        <w:t>y</w:t>
      </w:r>
      <w:proofErr w:type="spellEnd"/>
      <w:r w:rsidRPr="73868B68">
        <w:rPr>
          <w:rFonts w:eastAsia="Aptos" w:cs="Times New Roman"/>
        </w:rPr>
        <w:t xml:space="preserve"> historial</w:t>
      </w:r>
    </w:p>
    <w:p w14:paraId="6E9CD7EA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Sistema de Permisos Ambientales:</w:t>
      </w:r>
      <w:r w:rsidRPr="73868B68">
        <w:rPr>
          <w:rFonts w:eastAsia="Aptos" w:cs="Times New Roman"/>
        </w:rPr>
        <w:t xml:space="preserve"> Validación de cumplimiento para facturación</w:t>
      </w:r>
    </w:p>
    <w:p w14:paraId="12142000" w14:textId="77777777" w:rsidR="00165AC9" w:rsidRPr="00975B39" w:rsidRDefault="00165AC9" w:rsidP="00165AC9">
      <w:pPr>
        <w:spacing w:line="480" w:lineRule="auto"/>
        <w:ind w:firstLine="0"/>
        <w:rPr>
          <w:rFonts w:ascii="Aptos" w:eastAsia="Aptos" w:hAnsi="Aptos" w:cs="Times New Roman"/>
          <w:sz w:val="22"/>
          <w:szCs w:val="22"/>
        </w:rPr>
      </w:pPr>
      <w:r w:rsidRPr="73868B68">
        <w:rPr>
          <w:rFonts w:ascii="Aptos" w:eastAsia="Aptos" w:hAnsi="Aptos" w:cs="Times New Roman"/>
          <w:sz w:val="22"/>
          <w:szCs w:val="22"/>
        </w:rPr>
        <w:br w:type="page"/>
      </w:r>
    </w:p>
    <w:p w14:paraId="291C5A5F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179" w:name="_Toc200489503"/>
      <w:bookmarkStart w:id="180" w:name="_Toc200495263"/>
      <w:bookmarkStart w:id="181" w:name="_Toc200620192"/>
      <w:bookmarkStart w:id="182" w:name="_Toc200620594"/>
      <w:r w:rsidRPr="73868B68">
        <w:rPr>
          <w:rFonts w:eastAsia="Aptos" w:cs="Times New Roman"/>
          <w:b/>
          <w:bCs/>
          <w:sz w:val="28"/>
          <w:szCs w:val="28"/>
        </w:rPr>
        <w:lastRenderedPageBreak/>
        <w:t>5.4. FLUJOGRAMAS VISUALES DEL PROCESO</w:t>
      </w:r>
      <w:bookmarkEnd w:id="179"/>
      <w:bookmarkEnd w:id="180"/>
      <w:bookmarkEnd w:id="181"/>
      <w:bookmarkEnd w:id="182"/>
    </w:p>
    <w:p w14:paraId="3FC3B518" w14:textId="77777777" w:rsidR="00165AC9" w:rsidRPr="00975B39" w:rsidRDefault="00165AC9" w:rsidP="00165AC9">
      <w:pPr>
        <w:spacing w:line="480" w:lineRule="auto"/>
        <w:ind w:firstLine="0"/>
        <w:rPr>
          <w:rFonts w:ascii="Aptos" w:eastAsia="Aptos" w:hAnsi="Aptos" w:cs="Times New Roman"/>
          <w:sz w:val="22"/>
          <w:szCs w:val="22"/>
        </w:rPr>
      </w:pPr>
    </w:p>
    <w:p w14:paraId="5207379A" w14:textId="77777777" w:rsidR="00165AC9" w:rsidRPr="00975B39" w:rsidRDefault="00165AC9" w:rsidP="00165AC9">
      <w:pPr>
        <w:spacing w:line="480" w:lineRule="auto"/>
        <w:ind w:left="-567"/>
        <w:jc w:val="both"/>
        <w:rPr>
          <w:rFonts w:eastAsia="Aptos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1808FC1B" wp14:editId="2BBC5194">
            <wp:extent cx="5612130" cy="748344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FFA2" w14:textId="77777777" w:rsidR="00165AC9" w:rsidRDefault="00165AC9" w:rsidP="00165AC9">
      <w:pPr>
        <w:ind w:firstLine="0"/>
        <w:rPr>
          <w:rFonts w:eastAsia="Aptos" w:cs="Times New Roman"/>
          <w:b/>
          <w:bCs/>
          <w:sz w:val="28"/>
          <w:szCs w:val="28"/>
        </w:rPr>
      </w:pPr>
      <w:bookmarkStart w:id="183" w:name="_Toc200489504"/>
      <w:bookmarkStart w:id="184" w:name="_Toc200495264"/>
      <w:bookmarkStart w:id="185" w:name="_Toc200620193"/>
      <w:bookmarkStart w:id="186" w:name="_Toc200620595"/>
      <w:r>
        <w:rPr>
          <w:rFonts w:eastAsia="Aptos" w:cs="Times New Roman"/>
          <w:b/>
          <w:bCs/>
          <w:sz w:val="28"/>
          <w:szCs w:val="28"/>
        </w:rPr>
        <w:br w:type="page"/>
      </w:r>
    </w:p>
    <w:p w14:paraId="1417F140" w14:textId="77777777" w:rsidR="00165AC9" w:rsidRPr="00975B39" w:rsidRDefault="00165AC9" w:rsidP="000525BC">
      <w:pPr>
        <w:numPr>
          <w:ilvl w:val="0"/>
          <w:numId w:val="6"/>
        </w:num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r w:rsidRPr="73868B68">
        <w:rPr>
          <w:rFonts w:eastAsia="Aptos" w:cs="Times New Roman"/>
          <w:b/>
          <w:bCs/>
          <w:sz w:val="28"/>
          <w:szCs w:val="28"/>
        </w:rPr>
        <w:lastRenderedPageBreak/>
        <w:t>DOCUMENTACIÓN DE ACTIVIDADES</w:t>
      </w:r>
      <w:bookmarkEnd w:id="183"/>
      <w:bookmarkEnd w:id="184"/>
      <w:bookmarkEnd w:id="185"/>
      <w:bookmarkEnd w:id="186"/>
    </w:p>
    <w:p w14:paraId="758EE06A" w14:textId="77777777" w:rsidR="00165AC9" w:rsidRPr="00975B39" w:rsidRDefault="00165AC9" w:rsidP="000525BC">
      <w:pPr>
        <w:numPr>
          <w:ilvl w:val="1"/>
          <w:numId w:val="6"/>
        </w:num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187" w:name="_Toc200489505"/>
      <w:bookmarkStart w:id="188" w:name="_Toc200495265"/>
      <w:bookmarkStart w:id="189" w:name="_Toc200620194"/>
      <w:bookmarkStart w:id="190" w:name="_Toc200620596"/>
      <w:r w:rsidRPr="73868B68">
        <w:rPr>
          <w:rFonts w:eastAsia="Aptos" w:cs="Times New Roman"/>
          <w:b/>
          <w:bCs/>
          <w:sz w:val="28"/>
          <w:szCs w:val="28"/>
        </w:rPr>
        <w:t>Tabla Detallada de Actividades</w:t>
      </w:r>
      <w:bookmarkEnd w:id="187"/>
      <w:bookmarkEnd w:id="188"/>
      <w:bookmarkEnd w:id="189"/>
      <w:bookmarkEnd w:id="190"/>
    </w:p>
    <w:tbl>
      <w:tblPr>
        <w:tblStyle w:val="Tablaconcuadrcula1clara-nfasis41"/>
        <w:tblW w:w="9756" w:type="dxa"/>
        <w:tblLayout w:type="fixed"/>
        <w:tblLook w:val="04A0" w:firstRow="1" w:lastRow="0" w:firstColumn="1" w:lastColumn="0" w:noHBand="0" w:noVBand="1"/>
      </w:tblPr>
      <w:tblGrid>
        <w:gridCol w:w="723"/>
        <w:gridCol w:w="1702"/>
        <w:gridCol w:w="1650"/>
        <w:gridCol w:w="1307"/>
        <w:gridCol w:w="1984"/>
        <w:gridCol w:w="2390"/>
      </w:tblGrid>
      <w:tr w:rsidR="00165AC9" w:rsidRPr="00975B39" w14:paraId="352A1B7E" w14:textId="77777777" w:rsidTr="00B53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14:paraId="05443D3F" w14:textId="77777777" w:rsidR="00165AC9" w:rsidRPr="00975B39" w:rsidRDefault="00165AC9" w:rsidP="00B5395B">
            <w:pPr>
              <w:pStyle w:val="Sinespaciado"/>
              <w:rPr>
                <w:rFonts w:ascii="Calibri" w:eastAsia="Aptos" w:hAnsi="Calibri" w:cs="Calibri"/>
              </w:rPr>
            </w:pPr>
            <w:r>
              <w:t>No.</w:t>
            </w:r>
          </w:p>
        </w:tc>
        <w:tc>
          <w:tcPr>
            <w:tcW w:w="1702" w:type="dxa"/>
          </w:tcPr>
          <w:p w14:paraId="25EE3B62" w14:textId="77777777" w:rsidR="00165AC9" w:rsidRPr="00975B39" w:rsidRDefault="00165AC9" w:rsidP="00B5395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Nombre de la</w:t>
            </w:r>
          </w:p>
          <w:p w14:paraId="3F68D97F" w14:textId="77777777" w:rsidR="00165AC9" w:rsidRPr="00975B39" w:rsidRDefault="00165AC9" w:rsidP="00B5395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Actividad</w:t>
            </w:r>
          </w:p>
        </w:tc>
        <w:tc>
          <w:tcPr>
            <w:tcW w:w="1650" w:type="dxa"/>
          </w:tcPr>
          <w:p w14:paraId="346CAE23" w14:textId="77777777" w:rsidR="00165AC9" w:rsidRPr="00975B39" w:rsidRDefault="00165AC9" w:rsidP="00B5395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proofErr w:type="spellStart"/>
            <w:r>
              <w:t>Respnsable</w:t>
            </w:r>
            <w:proofErr w:type="spellEnd"/>
          </w:p>
        </w:tc>
        <w:tc>
          <w:tcPr>
            <w:tcW w:w="1307" w:type="dxa"/>
          </w:tcPr>
          <w:p w14:paraId="486135C1" w14:textId="77777777" w:rsidR="00165AC9" w:rsidRPr="00975B39" w:rsidRDefault="00165AC9" w:rsidP="00B5395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Entradas</w:t>
            </w:r>
          </w:p>
        </w:tc>
        <w:tc>
          <w:tcPr>
            <w:tcW w:w="1984" w:type="dxa"/>
          </w:tcPr>
          <w:p w14:paraId="5457FA10" w14:textId="77777777" w:rsidR="00165AC9" w:rsidRPr="00975B39" w:rsidRDefault="00165AC9" w:rsidP="00B5395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Salidas</w:t>
            </w:r>
          </w:p>
        </w:tc>
        <w:tc>
          <w:tcPr>
            <w:tcW w:w="2390" w:type="dxa"/>
          </w:tcPr>
          <w:p w14:paraId="4E21268E" w14:textId="77777777" w:rsidR="00165AC9" w:rsidRPr="00975B39" w:rsidRDefault="00165AC9" w:rsidP="00B5395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Descripción</w:t>
            </w:r>
          </w:p>
          <w:p w14:paraId="68D10141" w14:textId="77777777" w:rsidR="00165AC9" w:rsidRPr="00975B39" w:rsidRDefault="00165AC9" w:rsidP="00B5395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Detallada</w:t>
            </w:r>
          </w:p>
        </w:tc>
      </w:tr>
      <w:tr w:rsidR="00165AC9" w:rsidRPr="00975B39" w14:paraId="1DE9AD22" w14:textId="77777777" w:rsidTr="00B5395B">
        <w:trPr>
          <w:trHeight w:val="2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14:paraId="2B6D746F" w14:textId="77777777" w:rsidR="00165AC9" w:rsidRPr="00975B39" w:rsidRDefault="00165AC9" w:rsidP="00B5395B">
            <w:pPr>
              <w:pStyle w:val="Sinespaciado"/>
              <w:rPr>
                <w:rFonts w:ascii="Calibri" w:eastAsia="Aptos" w:hAnsi="Calibri" w:cs="Calibri"/>
              </w:rPr>
            </w:pPr>
            <w:r>
              <w:t>01</w:t>
            </w:r>
          </w:p>
        </w:tc>
        <w:tc>
          <w:tcPr>
            <w:tcW w:w="1702" w:type="dxa"/>
          </w:tcPr>
          <w:p w14:paraId="2118A0FD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Identificación de</w:t>
            </w:r>
          </w:p>
          <w:p w14:paraId="48E4DB82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Necesidades de</w:t>
            </w:r>
          </w:p>
          <w:p w14:paraId="0EC5DCA7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Contratación</w:t>
            </w:r>
          </w:p>
        </w:tc>
        <w:tc>
          <w:tcPr>
            <w:tcW w:w="1650" w:type="dxa"/>
          </w:tcPr>
          <w:p w14:paraId="57AE9EA6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Área Técnica</w:t>
            </w:r>
          </w:p>
          <w:p w14:paraId="6109380B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Solicitante</w:t>
            </w:r>
          </w:p>
        </w:tc>
        <w:tc>
          <w:tcPr>
            <w:tcW w:w="1307" w:type="dxa"/>
          </w:tcPr>
          <w:p w14:paraId="39B7F3DC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- Solicitud de servicio - Presupuesto disponible - Cronograma</w:t>
            </w:r>
          </w:p>
          <w:p w14:paraId="61130E0B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institucional</w:t>
            </w:r>
          </w:p>
        </w:tc>
        <w:tc>
          <w:tcPr>
            <w:tcW w:w="1984" w:type="dxa"/>
          </w:tcPr>
          <w:p w14:paraId="330EB502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 xml:space="preserve">Documento </w:t>
            </w:r>
            <w:proofErr w:type="spellStart"/>
            <w:r>
              <w:t>denecesidad</w:t>
            </w:r>
            <w:proofErr w:type="spellEnd"/>
          </w:p>
          <w:p w14:paraId="5642CE9D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proofErr w:type="spellStart"/>
            <w:r>
              <w:t>Justificacióntécnica</w:t>
            </w:r>
            <w:proofErr w:type="spellEnd"/>
            <w:r>
              <w:t xml:space="preserve"> - Estimación presupuestaria</w:t>
            </w:r>
          </w:p>
        </w:tc>
        <w:tc>
          <w:tcPr>
            <w:tcW w:w="2390" w:type="dxa"/>
          </w:tcPr>
          <w:p w14:paraId="5BFD4269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Análisis detallado de los requerimientos técnicos para determinar la necesidad de contratar servicios externos. Incluye definición de alcance, especificaciones técnicas y estimación de recursos necesarios.</w:t>
            </w:r>
          </w:p>
        </w:tc>
      </w:tr>
      <w:tr w:rsidR="00165AC9" w:rsidRPr="00975B39" w14:paraId="1C36032B" w14:textId="77777777" w:rsidTr="00B5395B">
        <w:trPr>
          <w:trHeight w:val="2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14:paraId="28A3B5EA" w14:textId="77777777" w:rsidR="00165AC9" w:rsidRPr="00975B39" w:rsidRDefault="00165AC9" w:rsidP="00B5395B">
            <w:pPr>
              <w:pStyle w:val="Sinespaciado"/>
              <w:rPr>
                <w:rFonts w:ascii="Calibri" w:eastAsia="Aptos" w:hAnsi="Calibri" w:cs="Calibri"/>
              </w:rPr>
            </w:pPr>
            <w:r>
              <w:t>02</w:t>
            </w:r>
          </w:p>
        </w:tc>
        <w:tc>
          <w:tcPr>
            <w:tcW w:w="1702" w:type="dxa"/>
          </w:tcPr>
          <w:p w14:paraId="2B868D34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Elaboración de</w:t>
            </w:r>
          </w:p>
          <w:p w14:paraId="63E3CA65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Términos de</w:t>
            </w:r>
          </w:p>
          <w:p w14:paraId="34D881F9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Referencia</w:t>
            </w:r>
          </w:p>
          <w:p w14:paraId="70FEFBE7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(TDR)</w:t>
            </w:r>
          </w:p>
        </w:tc>
        <w:tc>
          <w:tcPr>
            <w:tcW w:w="1650" w:type="dxa"/>
          </w:tcPr>
          <w:p w14:paraId="0112D3F1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Especialista</w:t>
            </w:r>
          </w:p>
          <w:p w14:paraId="4A598451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Técnico</w:t>
            </w:r>
          </w:p>
          <w:p w14:paraId="6735E101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Ambiental</w:t>
            </w:r>
          </w:p>
        </w:tc>
        <w:tc>
          <w:tcPr>
            <w:tcW w:w="1307" w:type="dxa"/>
          </w:tcPr>
          <w:p w14:paraId="1905D6E8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- Documento de necesidad - Normativa técnica aplicable - Presupuesto referencial</w:t>
            </w:r>
          </w:p>
        </w:tc>
        <w:tc>
          <w:tcPr>
            <w:tcW w:w="1984" w:type="dxa"/>
          </w:tcPr>
          <w:p w14:paraId="10123935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- TDR aprobados - Especificaciones técnicas - Criterios de evaluación</w:t>
            </w:r>
          </w:p>
        </w:tc>
        <w:tc>
          <w:tcPr>
            <w:tcW w:w="2390" w:type="dxa"/>
          </w:tcPr>
          <w:p w14:paraId="26295F34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Desarrollo de documento técnico que define alcance, objetivos, metodología, entregables, cronograma y requisitos específicos del servicio a contratar. Base fundamental para la licitación.</w:t>
            </w:r>
          </w:p>
        </w:tc>
      </w:tr>
      <w:tr w:rsidR="00165AC9" w:rsidRPr="00975B39" w14:paraId="0852F869" w14:textId="77777777" w:rsidTr="00B5395B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14:paraId="5F2441B7" w14:textId="77777777" w:rsidR="00165AC9" w:rsidRPr="00975B39" w:rsidRDefault="00165AC9" w:rsidP="00B5395B">
            <w:pPr>
              <w:pStyle w:val="Sinespaciado"/>
              <w:rPr>
                <w:rFonts w:ascii="Calibri" w:eastAsia="Aptos" w:hAnsi="Calibri" w:cs="Calibri"/>
              </w:rPr>
            </w:pPr>
            <w:r>
              <w:t>03</w:t>
            </w:r>
          </w:p>
        </w:tc>
        <w:tc>
          <w:tcPr>
            <w:tcW w:w="1702" w:type="dxa"/>
          </w:tcPr>
          <w:p w14:paraId="0CF9F30F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Elaboración de</w:t>
            </w:r>
          </w:p>
          <w:p w14:paraId="6BEE374D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Bases de</w:t>
            </w:r>
          </w:p>
          <w:p w14:paraId="2CCC6F4C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Licitación</w:t>
            </w:r>
          </w:p>
        </w:tc>
        <w:tc>
          <w:tcPr>
            <w:tcW w:w="1650" w:type="dxa"/>
          </w:tcPr>
          <w:p w14:paraId="39D686DC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UACI</w:t>
            </w:r>
          </w:p>
        </w:tc>
        <w:tc>
          <w:tcPr>
            <w:tcW w:w="1307" w:type="dxa"/>
          </w:tcPr>
          <w:p w14:paraId="76006E00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proofErr w:type="spellStart"/>
            <w:r>
              <w:t>TDRaprobados</w:t>
            </w:r>
            <w:proofErr w:type="spellEnd"/>
            <w:r>
              <w:t xml:space="preserve"> - Presupuesto referencial</w:t>
            </w:r>
          </w:p>
          <w:p w14:paraId="0988EC2A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Normativa</w:t>
            </w:r>
          </w:p>
          <w:p w14:paraId="64D8CBF7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LACAP</w:t>
            </w:r>
          </w:p>
        </w:tc>
        <w:tc>
          <w:tcPr>
            <w:tcW w:w="1984" w:type="dxa"/>
          </w:tcPr>
          <w:p w14:paraId="6C15B239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 xml:space="preserve">Bases </w:t>
            </w:r>
            <w:proofErr w:type="spellStart"/>
            <w:r>
              <w:t>delicitación</w:t>
            </w:r>
            <w:proofErr w:type="spellEnd"/>
          </w:p>
          <w:p w14:paraId="17631957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 xml:space="preserve">Cronograma </w:t>
            </w:r>
            <w:proofErr w:type="spellStart"/>
            <w:r>
              <w:t>delproceso</w:t>
            </w:r>
            <w:proofErr w:type="spellEnd"/>
          </w:p>
          <w:p w14:paraId="4FCFCFFC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 xml:space="preserve">Formularios </w:t>
            </w:r>
            <w:proofErr w:type="spellStart"/>
            <w:r>
              <w:t>departicipación</w:t>
            </w:r>
            <w:proofErr w:type="spellEnd"/>
          </w:p>
        </w:tc>
        <w:tc>
          <w:tcPr>
            <w:tcW w:w="2390" w:type="dxa"/>
          </w:tcPr>
          <w:p w14:paraId="726AC4EB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Preparación de documentos legales y administrativos que regirán el proceso de licitación,</w:t>
            </w:r>
          </w:p>
          <w:p w14:paraId="05116B6D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 xml:space="preserve">incluyendo requisitos, procedimientos, </w:t>
            </w:r>
            <w:r>
              <w:lastRenderedPageBreak/>
              <w:t>criterios de evaluación y</w:t>
            </w:r>
          </w:p>
        </w:tc>
      </w:tr>
    </w:tbl>
    <w:p w14:paraId="72109661" w14:textId="77777777" w:rsidR="00165AC9" w:rsidRPr="00975B39" w:rsidRDefault="00165AC9" w:rsidP="00165AC9">
      <w:pPr>
        <w:spacing w:line="480" w:lineRule="auto"/>
        <w:ind w:firstLine="0"/>
        <w:rPr>
          <w:rFonts w:ascii="Calibri" w:eastAsia="Aptos" w:hAnsi="Calibri" w:cs="Calibri"/>
          <w:sz w:val="22"/>
          <w:szCs w:val="22"/>
        </w:rPr>
      </w:pPr>
    </w:p>
    <w:p w14:paraId="0165F6F6" w14:textId="77777777" w:rsidR="00165AC9" w:rsidRDefault="00165AC9" w:rsidP="00165AC9">
      <w:pPr>
        <w:spacing w:line="480" w:lineRule="auto"/>
        <w:ind w:firstLine="0"/>
        <w:rPr>
          <w:rFonts w:ascii="Calibri" w:eastAsia="Aptos" w:hAnsi="Calibri" w:cs="Calibri"/>
          <w:sz w:val="22"/>
          <w:szCs w:val="22"/>
        </w:rPr>
      </w:pPr>
    </w:p>
    <w:p w14:paraId="3FBFE840" w14:textId="77777777" w:rsidR="00165AC9" w:rsidRDefault="00165AC9" w:rsidP="00165AC9">
      <w:pPr>
        <w:spacing w:line="480" w:lineRule="auto"/>
        <w:ind w:firstLine="0"/>
        <w:rPr>
          <w:rFonts w:ascii="Calibri" w:eastAsia="Aptos" w:hAnsi="Calibri" w:cs="Calibri"/>
          <w:sz w:val="22"/>
          <w:szCs w:val="22"/>
        </w:rPr>
      </w:pPr>
    </w:p>
    <w:p w14:paraId="403DB186" w14:textId="77777777" w:rsidR="00165AC9" w:rsidRPr="00975B39" w:rsidRDefault="00165AC9" w:rsidP="00165AC9">
      <w:pPr>
        <w:spacing w:line="480" w:lineRule="auto"/>
        <w:ind w:firstLine="0"/>
        <w:rPr>
          <w:rFonts w:ascii="Calibri" w:eastAsia="Aptos" w:hAnsi="Calibri" w:cs="Calibri"/>
          <w:sz w:val="22"/>
          <w:szCs w:val="22"/>
        </w:rPr>
      </w:pPr>
    </w:p>
    <w:tbl>
      <w:tblPr>
        <w:tblStyle w:val="Tablaconcuadrcula1clara-nfasis41"/>
        <w:tblW w:w="9776" w:type="dxa"/>
        <w:tblLayout w:type="fixed"/>
        <w:tblLook w:val="04A0" w:firstRow="1" w:lastRow="0" w:firstColumn="1" w:lastColumn="0" w:noHBand="0" w:noVBand="1"/>
      </w:tblPr>
      <w:tblGrid>
        <w:gridCol w:w="563"/>
        <w:gridCol w:w="1275"/>
        <w:gridCol w:w="1276"/>
        <w:gridCol w:w="2268"/>
        <w:gridCol w:w="1984"/>
        <w:gridCol w:w="2410"/>
      </w:tblGrid>
      <w:tr w:rsidR="00165AC9" w:rsidRPr="00975B39" w14:paraId="003207F6" w14:textId="77777777" w:rsidTr="00B53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19D0318E" w14:textId="77777777" w:rsidR="00165AC9" w:rsidRPr="00975B39" w:rsidRDefault="00165AC9" w:rsidP="00B5395B">
            <w:pPr>
              <w:pStyle w:val="Sinespaciado"/>
              <w:rPr>
                <w:rFonts w:ascii="Calibri" w:eastAsia="Aptos" w:hAnsi="Calibri" w:cs="Calibri"/>
              </w:rPr>
            </w:pPr>
            <w:r>
              <w:t>No.</w:t>
            </w:r>
          </w:p>
        </w:tc>
        <w:tc>
          <w:tcPr>
            <w:tcW w:w="1275" w:type="dxa"/>
          </w:tcPr>
          <w:p w14:paraId="6309E030" w14:textId="77777777" w:rsidR="00165AC9" w:rsidRPr="00975B39" w:rsidRDefault="00165AC9" w:rsidP="00B5395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Nombre de la</w:t>
            </w:r>
          </w:p>
          <w:p w14:paraId="0CEA75D8" w14:textId="77777777" w:rsidR="00165AC9" w:rsidRPr="00975B39" w:rsidRDefault="00165AC9" w:rsidP="00B5395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Actividad</w:t>
            </w:r>
          </w:p>
        </w:tc>
        <w:tc>
          <w:tcPr>
            <w:tcW w:w="1276" w:type="dxa"/>
          </w:tcPr>
          <w:p w14:paraId="19B7A23C" w14:textId="77777777" w:rsidR="00165AC9" w:rsidRPr="00975B39" w:rsidRDefault="00165AC9" w:rsidP="00B5395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Responsable</w:t>
            </w:r>
          </w:p>
        </w:tc>
        <w:tc>
          <w:tcPr>
            <w:tcW w:w="2268" w:type="dxa"/>
          </w:tcPr>
          <w:p w14:paraId="34D78534" w14:textId="77777777" w:rsidR="00165AC9" w:rsidRPr="00975B39" w:rsidRDefault="00165AC9" w:rsidP="00B5395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Entradas</w:t>
            </w:r>
          </w:p>
        </w:tc>
        <w:tc>
          <w:tcPr>
            <w:tcW w:w="1984" w:type="dxa"/>
          </w:tcPr>
          <w:p w14:paraId="4B1DF894" w14:textId="77777777" w:rsidR="00165AC9" w:rsidRPr="00975B39" w:rsidRDefault="00165AC9" w:rsidP="00B5395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Salidas</w:t>
            </w:r>
          </w:p>
        </w:tc>
        <w:tc>
          <w:tcPr>
            <w:tcW w:w="2410" w:type="dxa"/>
          </w:tcPr>
          <w:p w14:paraId="57D613B1" w14:textId="77777777" w:rsidR="00165AC9" w:rsidRPr="00975B39" w:rsidRDefault="00165AC9" w:rsidP="00B5395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Descripción</w:t>
            </w:r>
          </w:p>
          <w:p w14:paraId="4ABE438B" w14:textId="77777777" w:rsidR="00165AC9" w:rsidRPr="00975B39" w:rsidRDefault="00165AC9" w:rsidP="00B5395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Detallada</w:t>
            </w:r>
          </w:p>
        </w:tc>
      </w:tr>
      <w:tr w:rsidR="00165AC9" w:rsidRPr="00975B39" w14:paraId="59A130D3" w14:textId="77777777" w:rsidTr="00B5395B">
        <w:trPr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1A682164" w14:textId="77777777" w:rsidR="00165AC9" w:rsidRPr="00975B39" w:rsidRDefault="00165AC9" w:rsidP="00B5395B">
            <w:pPr>
              <w:pStyle w:val="Sinespaciado"/>
            </w:pPr>
          </w:p>
        </w:tc>
        <w:tc>
          <w:tcPr>
            <w:tcW w:w="1275" w:type="dxa"/>
          </w:tcPr>
          <w:p w14:paraId="27D5B593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4CA38BBE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934E50B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D43BBDA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6A8A6067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condiciones contractuales.</w:t>
            </w:r>
          </w:p>
        </w:tc>
      </w:tr>
      <w:tr w:rsidR="00165AC9" w:rsidRPr="00975B39" w14:paraId="1CFAC8C5" w14:textId="77777777" w:rsidTr="00B5395B">
        <w:trPr>
          <w:trHeight w:val="2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17DAED97" w14:textId="77777777" w:rsidR="00165AC9" w:rsidRPr="00975B39" w:rsidRDefault="00165AC9" w:rsidP="00B5395B">
            <w:pPr>
              <w:pStyle w:val="Sinespaciado"/>
              <w:rPr>
                <w:rFonts w:ascii="Calibri" w:eastAsia="Aptos" w:hAnsi="Calibri" w:cs="Calibri"/>
              </w:rPr>
            </w:pPr>
            <w:r>
              <w:t>04</w:t>
            </w:r>
          </w:p>
        </w:tc>
        <w:tc>
          <w:tcPr>
            <w:tcW w:w="1275" w:type="dxa"/>
          </w:tcPr>
          <w:p w14:paraId="44D972A7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Aprobación</w:t>
            </w:r>
          </w:p>
          <w:p w14:paraId="65103E5E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Interna del</w:t>
            </w:r>
          </w:p>
          <w:p w14:paraId="3B3583DA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Proceso</w:t>
            </w:r>
          </w:p>
        </w:tc>
        <w:tc>
          <w:tcPr>
            <w:tcW w:w="1276" w:type="dxa"/>
          </w:tcPr>
          <w:p w14:paraId="0F1004A9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Director</w:t>
            </w:r>
          </w:p>
          <w:p w14:paraId="748F7F4A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General</w:t>
            </w:r>
          </w:p>
        </w:tc>
        <w:tc>
          <w:tcPr>
            <w:tcW w:w="2268" w:type="dxa"/>
          </w:tcPr>
          <w:p w14:paraId="4013270E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 xml:space="preserve">Bases </w:t>
            </w:r>
            <w:proofErr w:type="spellStart"/>
            <w:r>
              <w:t>delicitación</w:t>
            </w:r>
            <w:proofErr w:type="spellEnd"/>
          </w:p>
          <w:p w14:paraId="39CE1097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TDR</w:t>
            </w:r>
          </w:p>
          <w:p w14:paraId="315F35CA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proofErr w:type="spellStart"/>
            <w:r>
              <w:t>Justificaciónpresupuestaria</w:t>
            </w:r>
            <w:proofErr w:type="spellEnd"/>
          </w:p>
        </w:tc>
        <w:tc>
          <w:tcPr>
            <w:tcW w:w="1984" w:type="dxa"/>
          </w:tcPr>
          <w:p w14:paraId="2C9F646B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 xml:space="preserve">Autorización </w:t>
            </w:r>
            <w:proofErr w:type="spellStart"/>
            <w:r>
              <w:t>deproceso</w:t>
            </w:r>
            <w:proofErr w:type="spellEnd"/>
          </w:p>
          <w:p w14:paraId="79DC3522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 xml:space="preserve">Conformación </w:t>
            </w:r>
            <w:proofErr w:type="spellStart"/>
            <w:r>
              <w:t>decomisión</w:t>
            </w:r>
            <w:proofErr w:type="spellEnd"/>
          </w:p>
          <w:p w14:paraId="0FEF5882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 xml:space="preserve">Designación </w:t>
            </w:r>
            <w:proofErr w:type="spellStart"/>
            <w:r>
              <w:t>desupervisores</w:t>
            </w:r>
            <w:proofErr w:type="spellEnd"/>
          </w:p>
        </w:tc>
        <w:tc>
          <w:tcPr>
            <w:tcW w:w="2410" w:type="dxa"/>
          </w:tcPr>
          <w:p w14:paraId="6C233024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Revisión y aprobación de toda la documentación del proceso de contratación, incluyendo aspectos técnicos, legales y presupuestarios. Autorización formal para iniciar licitación.</w:t>
            </w:r>
          </w:p>
        </w:tc>
      </w:tr>
      <w:tr w:rsidR="00165AC9" w:rsidRPr="00975B39" w14:paraId="66D9E4B6" w14:textId="77777777" w:rsidTr="00B5395B">
        <w:trPr>
          <w:trHeight w:val="2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5BF4F26D" w14:textId="77777777" w:rsidR="00165AC9" w:rsidRPr="00975B39" w:rsidRDefault="00165AC9" w:rsidP="00B5395B">
            <w:pPr>
              <w:pStyle w:val="Sinespaciado"/>
              <w:rPr>
                <w:rFonts w:ascii="Calibri" w:eastAsia="Aptos" w:hAnsi="Calibri" w:cs="Calibri"/>
              </w:rPr>
            </w:pPr>
            <w:r>
              <w:lastRenderedPageBreak/>
              <w:t>05</w:t>
            </w:r>
          </w:p>
        </w:tc>
        <w:tc>
          <w:tcPr>
            <w:tcW w:w="1275" w:type="dxa"/>
          </w:tcPr>
          <w:p w14:paraId="5F0516AA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Publicación en</w:t>
            </w:r>
          </w:p>
          <w:p w14:paraId="61435425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proofErr w:type="spellStart"/>
            <w:r>
              <w:t>ComprasalWeb</w:t>
            </w:r>
            <w:proofErr w:type="spellEnd"/>
          </w:p>
        </w:tc>
        <w:tc>
          <w:tcPr>
            <w:tcW w:w="1276" w:type="dxa"/>
          </w:tcPr>
          <w:p w14:paraId="6EFFE7DB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UACI</w:t>
            </w:r>
          </w:p>
        </w:tc>
        <w:tc>
          <w:tcPr>
            <w:tcW w:w="2268" w:type="dxa"/>
          </w:tcPr>
          <w:p w14:paraId="6A6EA348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proofErr w:type="spellStart"/>
            <w:r>
              <w:t>Basesaprobadas</w:t>
            </w:r>
            <w:proofErr w:type="spellEnd"/>
          </w:p>
          <w:p w14:paraId="317B028F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Cronograma- Documentos adjuntos</w:t>
            </w:r>
          </w:p>
        </w:tc>
        <w:tc>
          <w:tcPr>
            <w:tcW w:w="1984" w:type="dxa"/>
          </w:tcPr>
          <w:p w14:paraId="571DF606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proofErr w:type="spellStart"/>
            <w:r>
              <w:t>Convocatoriapublicada</w:t>
            </w:r>
            <w:proofErr w:type="spellEnd"/>
            <w:r>
              <w:t xml:space="preserve"> - Código de proceso</w:t>
            </w:r>
          </w:p>
          <w:p w14:paraId="3374285C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proofErr w:type="spellStart"/>
            <w:r>
              <w:t>Notificacionesenviadas</w:t>
            </w:r>
            <w:proofErr w:type="spellEnd"/>
          </w:p>
        </w:tc>
        <w:tc>
          <w:tcPr>
            <w:tcW w:w="2410" w:type="dxa"/>
          </w:tcPr>
          <w:p w14:paraId="0A3D25A5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Publicación oficial de la convocatoria en el sistema nacional de compras públicas, incluyendo carga de documentos, establecimiento de plazos y notificación a prestadores registrados.</w:t>
            </w:r>
          </w:p>
        </w:tc>
      </w:tr>
      <w:tr w:rsidR="00165AC9" w:rsidRPr="00975B39" w14:paraId="6406F5D2" w14:textId="77777777" w:rsidTr="00B5395B">
        <w:trPr>
          <w:trHeight w:val="1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5027F5AE" w14:textId="77777777" w:rsidR="00165AC9" w:rsidRPr="00975B39" w:rsidRDefault="00165AC9" w:rsidP="00B5395B">
            <w:pPr>
              <w:pStyle w:val="Sinespaciado"/>
              <w:rPr>
                <w:rFonts w:ascii="Calibri" w:eastAsia="Aptos" w:hAnsi="Calibri" w:cs="Calibri"/>
              </w:rPr>
            </w:pPr>
            <w:r>
              <w:t>06</w:t>
            </w:r>
          </w:p>
        </w:tc>
        <w:tc>
          <w:tcPr>
            <w:tcW w:w="1275" w:type="dxa"/>
          </w:tcPr>
          <w:p w14:paraId="2808ECB4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Distribución de</w:t>
            </w:r>
          </w:p>
          <w:p w14:paraId="796D7CB8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Bases y</w:t>
            </w:r>
          </w:p>
          <w:p w14:paraId="78569C0C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Respuesta a Consultas</w:t>
            </w:r>
          </w:p>
        </w:tc>
        <w:tc>
          <w:tcPr>
            <w:tcW w:w="1276" w:type="dxa"/>
          </w:tcPr>
          <w:p w14:paraId="2DAD6648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UACI</w:t>
            </w:r>
          </w:p>
        </w:tc>
        <w:tc>
          <w:tcPr>
            <w:tcW w:w="2268" w:type="dxa"/>
          </w:tcPr>
          <w:p w14:paraId="70399D9D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 xml:space="preserve">Solicitudes </w:t>
            </w:r>
            <w:proofErr w:type="spellStart"/>
            <w:r>
              <w:t>debases</w:t>
            </w:r>
            <w:proofErr w:type="spellEnd"/>
          </w:p>
          <w:p w14:paraId="6D60787C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 xml:space="preserve">Consultas </w:t>
            </w:r>
            <w:proofErr w:type="spellStart"/>
            <w:r>
              <w:t>departicipantes</w:t>
            </w:r>
            <w:proofErr w:type="spellEnd"/>
            <w:r>
              <w:t xml:space="preserve"> - Aclaraciones técnicas</w:t>
            </w:r>
          </w:p>
        </w:tc>
        <w:tc>
          <w:tcPr>
            <w:tcW w:w="1984" w:type="dxa"/>
          </w:tcPr>
          <w:p w14:paraId="28FB0EFB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- Bases distribuidas - Respuestas oficiales - Actas de consulta</w:t>
            </w:r>
          </w:p>
        </w:tc>
        <w:tc>
          <w:tcPr>
            <w:tcW w:w="2410" w:type="dxa"/>
          </w:tcPr>
          <w:p w14:paraId="427A763F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Gestión de distribución de documentos de</w:t>
            </w:r>
          </w:p>
          <w:p w14:paraId="6F17182A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licitación y atención de consultas de potenciales oferentes, garantizando transparencia e igualdad de condiciones.</w:t>
            </w:r>
          </w:p>
        </w:tc>
      </w:tr>
      <w:tr w:rsidR="00165AC9" w:rsidRPr="00975B39" w14:paraId="3869CF5B" w14:textId="77777777" w:rsidTr="00B5395B">
        <w:trPr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7A116F26" w14:textId="77777777" w:rsidR="00165AC9" w:rsidRPr="00975B39" w:rsidRDefault="00165AC9" w:rsidP="00B5395B">
            <w:pPr>
              <w:pStyle w:val="Sinespaciado"/>
              <w:rPr>
                <w:rFonts w:ascii="Calibri" w:eastAsia="Aptos" w:hAnsi="Calibri" w:cs="Calibri"/>
              </w:rPr>
            </w:pPr>
            <w:r>
              <w:t>07</w:t>
            </w:r>
          </w:p>
        </w:tc>
        <w:tc>
          <w:tcPr>
            <w:tcW w:w="1275" w:type="dxa"/>
          </w:tcPr>
          <w:p w14:paraId="09E1FA4C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3D4BE1E4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UACI</w:t>
            </w:r>
          </w:p>
        </w:tc>
        <w:tc>
          <w:tcPr>
            <w:tcW w:w="2268" w:type="dxa"/>
          </w:tcPr>
          <w:p w14:paraId="2325CF15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- Ofertas de participantes</w:t>
            </w:r>
          </w:p>
        </w:tc>
        <w:tc>
          <w:tcPr>
            <w:tcW w:w="1984" w:type="dxa"/>
          </w:tcPr>
          <w:p w14:paraId="7C8617A4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Ofertas recibidas</w:t>
            </w:r>
          </w:p>
          <w:p w14:paraId="3F45E591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Registro de</w:t>
            </w:r>
          </w:p>
        </w:tc>
        <w:tc>
          <w:tcPr>
            <w:tcW w:w="2410" w:type="dxa"/>
          </w:tcPr>
          <w:p w14:paraId="7784B03B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Recepción formal de propuestas en</w:t>
            </w:r>
          </w:p>
        </w:tc>
      </w:tr>
      <w:tr w:rsidR="00165AC9" w:rsidRPr="00975B39" w14:paraId="4303F808" w14:textId="77777777" w:rsidTr="00B5395B">
        <w:trPr>
          <w:trHeight w:val="1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4E449CB7" w14:textId="77777777" w:rsidR="00165AC9" w:rsidRPr="00975B39" w:rsidRDefault="00165AC9" w:rsidP="00B5395B">
            <w:pPr>
              <w:pStyle w:val="Sinespaciado"/>
              <w:rPr>
                <w:rFonts w:ascii="Calibri" w:eastAsia="Aptos" w:hAnsi="Calibri" w:cs="Calibri"/>
              </w:rPr>
            </w:pPr>
            <w:r>
              <w:t>No.</w:t>
            </w:r>
          </w:p>
        </w:tc>
        <w:tc>
          <w:tcPr>
            <w:tcW w:w="1275" w:type="dxa"/>
          </w:tcPr>
          <w:p w14:paraId="393CFD56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Nombre de la</w:t>
            </w:r>
          </w:p>
          <w:p w14:paraId="73CF9272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Actividad</w:t>
            </w:r>
          </w:p>
        </w:tc>
        <w:tc>
          <w:tcPr>
            <w:tcW w:w="1276" w:type="dxa"/>
          </w:tcPr>
          <w:p w14:paraId="7D32272E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Responsable</w:t>
            </w:r>
          </w:p>
        </w:tc>
        <w:tc>
          <w:tcPr>
            <w:tcW w:w="2268" w:type="dxa"/>
          </w:tcPr>
          <w:p w14:paraId="08161503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Entradas</w:t>
            </w:r>
          </w:p>
        </w:tc>
        <w:tc>
          <w:tcPr>
            <w:tcW w:w="1984" w:type="dxa"/>
          </w:tcPr>
          <w:p w14:paraId="5230CCF6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Salidas</w:t>
            </w:r>
          </w:p>
        </w:tc>
        <w:tc>
          <w:tcPr>
            <w:tcW w:w="2410" w:type="dxa"/>
          </w:tcPr>
          <w:p w14:paraId="3533CE0A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Descripción</w:t>
            </w:r>
          </w:p>
          <w:p w14:paraId="1F7412DA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Detallada</w:t>
            </w:r>
          </w:p>
        </w:tc>
      </w:tr>
      <w:tr w:rsidR="00165AC9" w:rsidRPr="00975B39" w14:paraId="0B9CD0C1" w14:textId="77777777" w:rsidTr="00B5395B">
        <w:trPr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0A4F25A6" w14:textId="77777777" w:rsidR="00165AC9" w:rsidRPr="00975B39" w:rsidRDefault="00165AC9" w:rsidP="00B5395B">
            <w:pPr>
              <w:pStyle w:val="Sinespaciado"/>
            </w:pPr>
          </w:p>
        </w:tc>
        <w:tc>
          <w:tcPr>
            <w:tcW w:w="1275" w:type="dxa"/>
          </w:tcPr>
          <w:p w14:paraId="19640382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2CE76087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36EEDC4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1A44010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653A60B4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condiciones contractuales.</w:t>
            </w:r>
          </w:p>
        </w:tc>
      </w:tr>
      <w:tr w:rsidR="00165AC9" w:rsidRPr="00975B39" w14:paraId="4093D82F" w14:textId="77777777" w:rsidTr="00B5395B">
        <w:trPr>
          <w:trHeight w:val="2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1A013D27" w14:textId="77777777" w:rsidR="00165AC9" w:rsidRPr="00975B39" w:rsidRDefault="00165AC9" w:rsidP="00B5395B">
            <w:pPr>
              <w:pStyle w:val="Sinespaciado"/>
              <w:rPr>
                <w:rFonts w:ascii="Calibri" w:eastAsia="Aptos" w:hAnsi="Calibri" w:cs="Calibri"/>
              </w:rPr>
            </w:pPr>
            <w:r>
              <w:t>04</w:t>
            </w:r>
          </w:p>
        </w:tc>
        <w:tc>
          <w:tcPr>
            <w:tcW w:w="1275" w:type="dxa"/>
          </w:tcPr>
          <w:p w14:paraId="3C93CE1F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Aprobación</w:t>
            </w:r>
          </w:p>
          <w:p w14:paraId="0D5743A5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Interna del</w:t>
            </w:r>
          </w:p>
          <w:p w14:paraId="67CAD63F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Proceso</w:t>
            </w:r>
          </w:p>
        </w:tc>
        <w:tc>
          <w:tcPr>
            <w:tcW w:w="1276" w:type="dxa"/>
          </w:tcPr>
          <w:p w14:paraId="6B8A2FC3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Director</w:t>
            </w:r>
          </w:p>
          <w:p w14:paraId="2F5735DD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General</w:t>
            </w:r>
          </w:p>
        </w:tc>
        <w:tc>
          <w:tcPr>
            <w:tcW w:w="2268" w:type="dxa"/>
          </w:tcPr>
          <w:p w14:paraId="3FBA3A06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 xml:space="preserve">Bases </w:t>
            </w:r>
            <w:proofErr w:type="spellStart"/>
            <w:r>
              <w:t>delicitación</w:t>
            </w:r>
            <w:proofErr w:type="spellEnd"/>
          </w:p>
          <w:p w14:paraId="6650D0BE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TDR</w:t>
            </w:r>
          </w:p>
          <w:p w14:paraId="4564FDB0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proofErr w:type="spellStart"/>
            <w:r>
              <w:t>Justificaciónpresupuestaria</w:t>
            </w:r>
            <w:proofErr w:type="spellEnd"/>
          </w:p>
        </w:tc>
        <w:tc>
          <w:tcPr>
            <w:tcW w:w="1984" w:type="dxa"/>
          </w:tcPr>
          <w:p w14:paraId="4E651BA8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 xml:space="preserve">Autorización </w:t>
            </w:r>
            <w:proofErr w:type="spellStart"/>
            <w:r>
              <w:t>deproceso</w:t>
            </w:r>
            <w:proofErr w:type="spellEnd"/>
          </w:p>
          <w:p w14:paraId="17E2EA41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 xml:space="preserve">Conformación </w:t>
            </w:r>
            <w:proofErr w:type="spellStart"/>
            <w:r>
              <w:t>decomisión</w:t>
            </w:r>
            <w:proofErr w:type="spellEnd"/>
          </w:p>
          <w:p w14:paraId="77417A81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 xml:space="preserve">Designación </w:t>
            </w:r>
            <w:proofErr w:type="spellStart"/>
            <w:r>
              <w:t>desupervisores</w:t>
            </w:r>
            <w:proofErr w:type="spellEnd"/>
          </w:p>
        </w:tc>
        <w:tc>
          <w:tcPr>
            <w:tcW w:w="2410" w:type="dxa"/>
          </w:tcPr>
          <w:p w14:paraId="26059E3A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 xml:space="preserve">Revisión y aprobación de toda la documentación del proceso de contratación, incluyendo aspectos técnicos, legales y presupuestarios. </w:t>
            </w:r>
            <w:r>
              <w:lastRenderedPageBreak/>
              <w:t>Autorización formal para iniciar licitación.</w:t>
            </w:r>
          </w:p>
        </w:tc>
      </w:tr>
      <w:tr w:rsidR="00165AC9" w:rsidRPr="00975B39" w14:paraId="7207F8CB" w14:textId="77777777" w:rsidTr="00B5395B">
        <w:trPr>
          <w:trHeight w:val="2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02D956FF" w14:textId="77777777" w:rsidR="00165AC9" w:rsidRPr="00975B39" w:rsidRDefault="00165AC9" w:rsidP="00B5395B">
            <w:pPr>
              <w:pStyle w:val="Sinespaciado"/>
              <w:rPr>
                <w:rFonts w:ascii="Calibri" w:eastAsia="Aptos" w:hAnsi="Calibri" w:cs="Calibri"/>
              </w:rPr>
            </w:pPr>
            <w:r>
              <w:lastRenderedPageBreak/>
              <w:t>05</w:t>
            </w:r>
          </w:p>
        </w:tc>
        <w:tc>
          <w:tcPr>
            <w:tcW w:w="1275" w:type="dxa"/>
          </w:tcPr>
          <w:p w14:paraId="66EB38E5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Publicación en</w:t>
            </w:r>
          </w:p>
          <w:p w14:paraId="68F2953D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proofErr w:type="spellStart"/>
            <w:r>
              <w:t>ComprasalWeb</w:t>
            </w:r>
            <w:proofErr w:type="spellEnd"/>
          </w:p>
        </w:tc>
        <w:tc>
          <w:tcPr>
            <w:tcW w:w="1276" w:type="dxa"/>
          </w:tcPr>
          <w:p w14:paraId="3D543328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UACI</w:t>
            </w:r>
          </w:p>
        </w:tc>
        <w:tc>
          <w:tcPr>
            <w:tcW w:w="2268" w:type="dxa"/>
          </w:tcPr>
          <w:p w14:paraId="623B51E2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proofErr w:type="spellStart"/>
            <w:r>
              <w:t>Basesaprobadas</w:t>
            </w:r>
            <w:proofErr w:type="spellEnd"/>
          </w:p>
          <w:p w14:paraId="18C12877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Cronograma- Documentos adjuntos</w:t>
            </w:r>
          </w:p>
        </w:tc>
        <w:tc>
          <w:tcPr>
            <w:tcW w:w="1984" w:type="dxa"/>
          </w:tcPr>
          <w:p w14:paraId="453A1D25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proofErr w:type="spellStart"/>
            <w:r>
              <w:t>Convocatoriapublicada</w:t>
            </w:r>
            <w:proofErr w:type="spellEnd"/>
            <w:r>
              <w:t xml:space="preserve"> - Código de proceso</w:t>
            </w:r>
          </w:p>
          <w:p w14:paraId="617CEBF5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proofErr w:type="spellStart"/>
            <w:r>
              <w:t>Notificacionesenviadas</w:t>
            </w:r>
            <w:proofErr w:type="spellEnd"/>
          </w:p>
        </w:tc>
        <w:tc>
          <w:tcPr>
            <w:tcW w:w="2410" w:type="dxa"/>
          </w:tcPr>
          <w:p w14:paraId="1074F5D7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Publicación oficial de la convocatoria en el sistema nacional de compras públicas, incluyendo carga de documentos, establecimiento de plazos y notificación a prestadores registrados.</w:t>
            </w:r>
          </w:p>
        </w:tc>
      </w:tr>
      <w:tr w:rsidR="00165AC9" w:rsidRPr="00975B39" w14:paraId="3B8FEE72" w14:textId="77777777" w:rsidTr="00B5395B">
        <w:trPr>
          <w:trHeight w:val="2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36E06CB9" w14:textId="77777777" w:rsidR="00165AC9" w:rsidRPr="00975B39" w:rsidRDefault="00165AC9" w:rsidP="00B5395B">
            <w:pPr>
              <w:pStyle w:val="Sinespaciado"/>
              <w:rPr>
                <w:rFonts w:ascii="Calibri" w:eastAsia="Aptos" w:hAnsi="Calibri" w:cs="Calibri"/>
              </w:rPr>
            </w:pPr>
            <w:r>
              <w:t>06</w:t>
            </w:r>
          </w:p>
        </w:tc>
        <w:tc>
          <w:tcPr>
            <w:tcW w:w="1275" w:type="dxa"/>
          </w:tcPr>
          <w:p w14:paraId="5AB7BB1D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Distribución de</w:t>
            </w:r>
          </w:p>
          <w:p w14:paraId="5592336E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Bases y</w:t>
            </w:r>
          </w:p>
          <w:p w14:paraId="64CBF261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Respuesta a Consultas</w:t>
            </w:r>
          </w:p>
        </w:tc>
        <w:tc>
          <w:tcPr>
            <w:tcW w:w="1276" w:type="dxa"/>
          </w:tcPr>
          <w:p w14:paraId="7F1E50E5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UACI</w:t>
            </w:r>
          </w:p>
        </w:tc>
        <w:tc>
          <w:tcPr>
            <w:tcW w:w="2268" w:type="dxa"/>
          </w:tcPr>
          <w:p w14:paraId="49126357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 xml:space="preserve">Solicitudes </w:t>
            </w:r>
            <w:proofErr w:type="spellStart"/>
            <w:r>
              <w:t>debases</w:t>
            </w:r>
            <w:proofErr w:type="spellEnd"/>
          </w:p>
          <w:p w14:paraId="6179EE13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 xml:space="preserve">Consultas </w:t>
            </w:r>
            <w:proofErr w:type="spellStart"/>
            <w:r>
              <w:t>departicipantes</w:t>
            </w:r>
            <w:proofErr w:type="spellEnd"/>
            <w:r>
              <w:t xml:space="preserve"> - Aclaraciones técnicas</w:t>
            </w:r>
          </w:p>
        </w:tc>
        <w:tc>
          <w:tcPr>
            <w:tcW w:w="1984" w:type="dxa"/>
          </w:tcPr>
          <w:p w14:paraId="1DAF3734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- Bases distribuidas - Respuestas oficiales - Actas de consulta</w:t>
            </w:r>
          </w:p>
        </w:tc>
        <w:tc>
          <w:tcPr>
            <w:tcW w:w="2410" w:type="dxa"/>
          </w:tcPr>
          <w:p w14:paraId="65E599BC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Gestión de distribución de documentos de</w:t>
            </w:r>
          </w:p>
          <w:p w14:paraId="3447A4F4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licitación y atención de consultas de potenciales oferentes, garantizando transparencia e igualdad de condiciones.</w:t>
            </w:r>
          </w:p>
        </w:tc>
      </w:tr>
      <w:tr w:rsidR="00165AC9" w:rsidRPr="00975B39" w14:paraId="6FB10DA7" w14:textId="77777777" w:rsidTr="00B5395B">
        <w:trPr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1BBB6209" w14:textId="77777777" w:rsidR="00165AC9" w:rsidRPr="00975B39" w:rsidRDefault="00165AC9" w:rsidP="00B5395B">
            <w:pPr>
              <w:pStyle w:val="Sinespaciado"/>
              <w:rPr>
                <w:rFonts w:ascii="Calibri" w:eastAsia="Aptos" w:hAnsi="Calibri" w:cs="Calibri"/>
              </w:rPr>
            </w:pPr>
            <w:r>
              <w:t>07</w:t>
            </w:r>
          </w:p>
        </w:tc>
        <w:tc>
          <w:tcPr>
            <w:tcW w:w="1275" w:type="dxa"/>
          </w:tcPr>
          <w:p w14:paraId="7EACA5D8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4063409C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UACI</w:t>
            </w:r>
          </w:p>
        </w:tc>
        <w:tc>
          <w:tcPr>
            <w:tcW w:w="2268" w:type="dxa"/>
          </w:tcPr>
          <w:p w14:paraId="3AB2854D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- Ofertas de participantes</w:t>
            </w:r>
          </w:p>
        </w:tc>
        <w:tc>
          <w:tcPr>
            <w:tcW w:w="1984" w:type="dxa"/>
          </w:tcPr>
          <w:p w14:paraId="6DB0B2A3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Ofertas recibidas</w:t>
            </w:r>
          </w:p>
          <w:p w14:paraId="2EC204FC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Registro de</w:t>
            </w:r>
          </w:p>
        </w:tc>
        <w:tc>
          <w:tcPr>
            <w:tcW w:w="2410" w:type="dxa"/>
          </w:tcPr>
          <w:p w14:paraId="6446156E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  <w:color w:val="333333"/>
              </w:rPr>
            </w:pPr>
            <w:r>
              <w:t>Recepción formal de propuestas en</w:t>
            </w:r>
          </w:p>
        </w:tc>
      </w:tr>
      <w:tr w:rsidR="00165AC9" w:rsidRPr="00975B39" w14:paraId="22A298DA" w14:textId="77777777" w:rsidTr="00B5395B">
        <w:trPr>
          <w:trHeight w:val="1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7665A0B2" w14:textId="77777777" w:rsidR="00165AC9" w:rsidRPr="00975B39" w:rsidRDefault="00165AC9" w:rsidP="00B5395B">
            <w:pPr>
              <w:pStyle w:val="Sinespaciado"/>
              <w:rPr>
                <w:rFonts w:ascii="Calibri" w:eastAsia="Aptos" w:hAnsi="Calibri" w:cs="Calibri"/>
              </w:rPr>
            </w:pPr>
            <w:r>
              <w:t>No.</w:t>
            </w:r>
          </w:p>
        </w:tc>
        <w:tc>
          <w:tcPr>
            <w:tcW w:w="1275" w:type="dxa"/>
          </w:tcPr>
          <w:p w14:paraId="33D2D58F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Nombre de la</w:t>
            </w:r>
          </w:p>
          <w:p w14:paraId="3A57A365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Actividad</w:t>
            </w:r>
          </w:p>
        </w:tc>
        <w:tc>
          <w:tcPr>
            <w:tcW w:w="1276" w:type="dxa"/>
          </w:tcPr>
          <w:p w14:paraId="4F24285E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Responsable</w:t>
            </w:r>
          </w:p>
        </w:tc>
        <w:tc>
          <w:tcPr>
            <w:tcW w:w="2268" w:type="dxa"/>
          </w:tcPr>
          <w:p w14:paraId="392D6D59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Entradas</w:t>
            </w:r>
          </w:p>
        </w:tc>
        <w:tc>
          <w:tcPr>
            <w:tcW w:w="1984" w:type="dxa"/>
          </w:tcPr>
          <w:p w14:paraId="1EC8C8F3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Salidas</w:t>
            </w:r>
          </w:p>
        </w:tc>
        <w:tc>
          <w:tcPr>
            <w:tcW w:w="2410" w:type="dxa"/>
          </w:tcPr>
          <w:p w14:paraId="17D1CF0C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Descripción</w:t>
            </w:r>
          </w:p>
          <w:p w14:paraId="6700BEBF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Detallada</w:t>
            </w:r>
          </w:p>
        </w:tc>
      </w:tr>
      <w:tr w:rsidR="00165AC9" w:rsidRPr="00975B39" w14:paraId="4E42E61B" w14:textId="77777777" w:rsidTr="00B5395B">
        <w:trPr>
          <w:trHeight w:val="2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52CEB983" w14:textId="77777777" w:rsidR="00165AC9" w:rsidRPr="00975B39" w:rsidRDefault="00165AC9" w:rsidP="00B5395B">
            <w:pPr>
              <w:pStyle w:val="Sinespaciado"/>
            </w:pPr>
          </w:p>
        </w:tc>
        <w:tc>
          <w:tcPr>
            <w:tcW w:w="1275" w:type="dxa"/>
          </w:tcPr>
          <w:p w14:paraId="5FAFBA05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Recepción de</w:t>
            </w:r>
          </w:p>
          <w:p w14:paraId="73802D14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Ofertas</w:t>
            </w:r>
          </w:p>
        </w:tc>
        <w:tc>
          <w:tcPr>
            <w:tcW w:w="1276" w:type="dxa"/>
          </w:tcPr>
          <w:p w14:paraId="174E3B40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43B7C7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-</w:t>
            </w:r>
          </w:p>
          <w:p w14:paraId="53EE299B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Documentación requerida - Acta de apertura</w:t>
            </w:r>
          </w:p>
        </w:tc>
        <w:tc>
          <w:tcPr>
            <w:tcW w:w="1984" w:type="dxa"/>
          </w:tcPr>
          <w:p w14:paraId="72BEF0C1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participantes - Verificación administrativa</w:t>
            </w:r>
          </w:p>
        </w:tc>
        <w:tc>
          <w:tcPr>
            <w:tcW w:w="2410" w:type="dxa"/>
          </w:tcPr>
          <w:p w14:paraId="222706F7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acto público, verificación de requisitos administrativos y registro oficial de participantes en el proceso.</w:t>
            </w:r>
          </w:p>
        </w:tc>
      </w:tr>
      <w:tr w:rsidR="00165AC9" w:rsidRPr="00975B39" w14:paraId="4E566294" w14:textId="77777777" w:rsidTr="00B5395B">
        <w:trPr>
          <w:trHeight w:val="2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7782725F" w14:textId="77777777" w:rsidR="00165AC9" w:rsidRPr="00975B39" w:rsidRDefault="00165AC9" w:rsidP="00B5395B">
            <w:pPr>
              <w:pStyle w:val="Sinespaciado"/>
              <w:rPr>
                <w:rFonts w:ascii="Calibri" w:eastAsia="Aptos" w:hAnsi="Calibri" w:cs="Calibri"/>
              </w:rPr>
            </w:pPr>
            <w:r>
              <w:t>08</w:t>
            </w:r>
          </w:p>
        </w:tc>
        <w:tc>
          <w:tcPr>
            <w:tcW w:w="1275" w:type="dxa"/>
          </w:tcPr>
          <w:p w14:paraId="626A9B2C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Conformación de Comisión Evaluadora</w:t>
            </w:r>
          </w:p>
        </w:tc>
        <w:tc>
          <w:tcPr>
            <w:tcW w:w="1276" w:type="dxa"/>
          </w:tcPr>
          <w:p w14:paraId="2ECFE025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Director</w:t>
            </w:r>
          </w:p>
          <w:p w14:paraId="77D6BA43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General</w:t>
            </w:r>
          </w:p>
        </w:tc>
        <w:tc>
          <w:tcPr>
            <w:tcW w:w="2268" w:type="dxa"/>
          </w:tcPr>
          <w:p w14:paraId="03B49FD8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 xml:space="preserve">Lista </w:t>
            </w:r>
            <w:proofErr w:type="spellStart"/>
            <w:r>
              <w:t>departicipantes</w:t>
            </w:r>
            <w:proofErr w:type="spellEnd"/>
          </w:p>
          <w:p w14:paraId="4364CC8D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Perfil de</w:t>
            </w:r>
          </w:p>
          <w:p w14:paraId="0D082813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evaluadores - Designación</w:t>
            </w:r>
          </w:p>
          <w:p w14:paraId="0CF61521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oficial</w:t>
            </w:r>
          </w:p>
        </w:tc>
        <w:tc>
          <w:tcPr>
            <w:tcW w:w="1984" w:type="dxa"/>
          </w:tcPr>
          <w:p w14:paraId="57955D9E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proofErr w:type="spellStart"/>
            <w:r>
              <w:t>Comisiónconformada</w:t>
            </w:r>
            <w:proofErr w:type="spellEnd"/>
          </w:p>
          <w:p w14:paraId="18354CF2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 xml:space="preserve">Acta </w:t>
            </w:r>
            <w:proofErr w:type="spellStart"/>
            <w:r>
              <w:t>deinstalación</w:t>
            </w:r>
            <w:proofErr w:type="spellEnd"/>
            <w:r>
              <w:t xml:space="preserve"> - Calendario de evaluación</w:t>
            </w:r>
          </w:p>
        </w:tc>
        <w:tc>
          <w:tcPr>
            <w:tcW w:w="2410" w:type="dxa"/>
          </w:tcPr>
          <w:p w14:paraId="4FD58B86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Designación oficial de comisión evaluadora integrada por mínimo 3 miembros con competencia técnica y administrativa para evaluar ofertas recibidas.</w:t>
            </w:r>
          </w:p>
        </w:tc>
      </w:tr>
      <w:tr w:rsidR="00165AC9" w:rsidRPr="00975B39" w14:paraId="403DD024" w14:textId="77777777" w:rsidTr="00B5395B">
        <w:trPr>
          <w:trHeight w:val="3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6310ABDE" w14:textId="77777777" w:rsidR="00165AC9" w:rsidRPr="00975B39" w:rsidRDefault="00165AC9" w:rsidP="00B5395B">
            <w:pPr>
              <w:pStyle w:val="Sinespaciado"/>
              <w:rPr>
                <w:rFonts w:ascii="Calibri" w:eastAsia="Aptos" w:hAnsi="Calibri" w:cs="Calibri"/>
              </w:rPr>
            </w:pPr>
            <w:r>
              <w:t>09</w:t>
            </w:r>
          </w:p>
        </w:tc>
        <w:tc>
          <w:tcPr>
            <w:tcW w:w="1275" w:type="dxa"/>
          </w:tcPr>
          <w:p w14:paraId="119E5744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Evaluación</w:t>
            </w:r>
          </w:p>
          <w:p w14:paraId="02868999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Técnica de</w:t>
            </w:r>
          </w:p>
          <w:p w14:paraId="7E596767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Ofertas</w:t>
            </w:r>
          </w:p>
        </w:tc>
        <w:tc>
          <w:tcPr>
            <w:tcW w:w="1276" w:type="dxa"/>
          </w:tcPr>
          <w:p w14:paraId="46E0DCCC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Comisión</w:t>
            </w:r>
          </w:p>
          <w:p w14:paraId="3B834AC3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Evaluadora</w:t>
            </w:r>
          </w:p>
        </w:tc>
        <w:tc>
          <w:tcPr>
            <w:tcW w:w="2268" w:type="dxa"/>
          </w:tcPr>
          <w:p w14:paraId="36D7EDB6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- Ofertas técnicas - Criterios de evaluación - TDR de referencia</w:t>
            </w:r>
          </w:p>
        </w:tc>
        <w:tc>
          <w:tcPr>
            <w:tcW w:w="1984" w:type="dxa"/>
          </w:tcPr>
          <w:p w14:paraId="14C734EA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- Calificación técnica - Informe de evaluación - Ofertas habilitadas</w:t>
            </w:r>
          </w:p>
        </w:tc>
        <w:tc>
          <w:tcPr>
            <w:tcW w:w="2410" w:type="dxa"/>
          </w:tcPr>
          <w:p w14:paraId="3945A7A9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Análisis detallado de propuestas técnicas aplicando criterios establecidos: competencia profesional, metodología, experiencia, recursos disponibles y cumplimiento de especificaciones.</w:t>
            </w:r>
          </w:p>
        </w:tc>
      </w:tr>
      <w:tr w:rsidR="00165AC9" w:rsidRPr="00975B39" w14:paraId="270CCB9E" w14:textId="77777777" w:rsidTr="00B5395B">
        <w:trPr>
          <w:trHeight w:val="1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1E66D570" w14:textId="77777777" w:rsidR="00165AC9" w:rsidRPr="00975B39" w:rsidRDefault="00165AC9" w:rsidP="00B5395B">
            <w:pPr>
              <w:pStyle w:val="Sinespaciado"/>
              <w:rPr>
                <w:rFonts w:ascii="Calibri" w:eastAsia="Aptos" w:hAnsi="Calibri" w:cs="Calibri"/>
              </w:rPr>
            </w:pPr>
            <w:r>
              <w:t>10</w:t>
            </w:r>
          </w:p>
        </w:tc>
        <w:tc>
          <w:tcPr>
            <w:tcW w:w="1275" w:type="dxa"/>
          </w:tcPr>
          <w:p w14:paraId="6A16F3CA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Evaluación</w:t>
            </w:r>
          </w:p>
          <w:p w14:paraId="0D937EE0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Económica</w:t>
            </w:r>
          </w:p>
        </w:tc>
        <w:tc>
          <w:tcPr>
            <w:tcW w:w="1276" w:type="dxa"/>
          </w:tcPr>
          <w:p w14:paraId="6E771FD4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Comisión</w:t>
            </w:r>
          </w:p>
          <w:p w14:paraId="6B0CFAA7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Evaluadora</w:t>
            </w:r>
          </w:p>
        </w:tc>
        <w:tc>
          <w:tcPr>
            <w:tcW w:w="2268" w:type="dxa"/>
          </w:tcPr>
          <w:p w14:paraId="6BF8D592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- Ofertas económicas - Presupuesto referencial - Fórmula de evaluación</w:t>
            </w:r>
          </w:p>
        </w:tc>
        <w:tc>
          <w:tcPr>
            <w:tcW w:w="1984" w:type="dxa"/>
          </w:tcPr>
          <w:p w14:paraId="44263A73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proofErr w:type="spellStart"/>
            <w:r>
              <w:t>Calificacióneconómica</w:t>
            </w:r>
            <w:proofErr w:type="spellEnd"/>
          </w:p>
          <w:p w14:paraId="099D23B9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 xml:space="preserve">Análisis </w:t>
            </w:r>
            <w:proofErr w:type="spellStart"/>
            <w:r>
              <w:t>deprecios</w:t>
            </w:r>
            <w:proofErr w:type="spellEnd"/>
            <w:r>
              <w:t xml:space="preserve"> - Ranking de ofertas</w:t>
            </w:r>
          </w:p>
        </w:tc>
        <w:tc>
          <w:tcPr>
            <w:tcW w:w="2410" w:type="dxa"/>
          </w:tcPr>
          <w:p w14:paraId="6C7030CB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Análisis de propuestas económicas de ofertas que superaron evaluación técnica, aplicando fórmulas establecidas para</w:t>
            </w:r>
          </w:p>
        </w:tc>
      </w:tr>
      <w:tr w:rsidR="00165AC9" w:rsidRPr="00975B39" w14:paraId="44E6E2C3" w14:textId="77777777" w:rsidTr="00B5395B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30EC2738" w14:textId="77777777" w:rsidR="00165AC9" w:rsidRPr="00975B39" w:rsidRDefault="00165AC9" w:rsidP="00B5395B">
            <w:pPr>
              <w:pStyle w:val="Sinespaciado"/>
              <w:rPr>
                <w:rFonts w:ascii="Calibri" w:eastAsia="Aptos" w:hAnsi="Calibri" w:cs="Calibri"/>
              </w:rPr>
            </w:pPr>
            <w:r>
              <w:t>No.</w:t>
            </w:r>
          </w:p>
        </w:tc>
        <w:tc>
          <w:tcPr>
            <w:tcW w:w="1275" w:type="dxa"/>
          </w:tcPr>
          <w:p w14:paraId="6EA9595F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Nombre de la</w:t>
            </w:r>
          </w:p>
          <w:p w14:paraId="71D67D08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Actividad</w:t>
            </w:r>
          </w:p>
        </w:tc>
        <w:tc>
          <w:tcPr>
            <w:tcW w:w="1276" w:type="dxa"/>
          </w:tcPr>
          <w:p w14:paraId="4C878EEC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Responsable</w:t>
            </w:r>
          </w:p>
        </w:tc>
        <w:tc>
          <w:tcPr>
            <w:tcW w:w="2268" w:type="dxa"/>
          </w:tcPr>
          <w:p w14:paraId="0782C6AF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Entradas</w:t>
            </w:r>
          </w:p>
        </w:tc>
        <w:tc>
          <w:tcPr>
            <w:tcW w:w="1984" w:type="dxa"/>
          </w:tcPr>
          <w:p w14:paraId="3F0CDDF9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Salidas</w:t>
            </w:r>
          </w:p>
        </w:tc>
        <w:tc>
          <w:tcPr>
            <w:tcW w:w="2410" w:type="dxa"/>
          </w:tcPr>
          <w:p w14:paraId="6BAC6E59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Descripción</w:t>
            </w:r>
          </w:p>
          <w:p w14:paraId="511244D1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Detallada</w:t>
            </w:r>
          </w:p>
        </w:tc>
      </w:tr>
      <w:tr w:rsidR="00165AC9" w:rsidRPr="00975B39" w14:paraId="40610969" w14:textId="77777777" w:rsidTr="00B5395B">
        <w:trPr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68962EB3" w14:textId="77777777" w:rsidR="00165AC9" w:rsidRPr="00975B39" w:rsidRDefault="00165AC9" w:rsidP="00B5395B">
            <w:pPr>
              <w:pStyle w:val="Sinespaciado"/>
            </w:pPr>
          </w:p>
        </w:tc>
        <w:tc>
          <w:tcPr>
            <w:tcW w:w="1275" w:type="dxa"/>
          </w:tcPr>
          <w:p w14:paraId="648A7D64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2FF9428A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7A807A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5E9F81B7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8402891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 xml:space="preserve">determinar mejor relación </w:t>
            </w:r>
            <w:proofErr w:type="spellStart"/>
            <w:r>
              <w:t>preciocalidad</w:t>
            </w:r>
            <w:proofErr w:type="spellEnd"/>
            <w:r>
              <w:t>.</w:t>
            </w:r>
          </w:p>
        </w:tc>
      </w:tr>
      <w:tr w:rsidR="00165AC9" w:rsidRPr="00975B39" w14:paraId="5BF09E65" w14:textId="77777777" w:rsidTr="00B5395B">
        <w:trPr>
          <w:trHeight w:val="3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65B2C69A" w14:textId="77777777" w:rsidR="00165AC9" w:rsidRPr="00975B39" w:rsidRDefault="00165AC9" w:rsidP="00B5395B">
            <w:pPr>
              <w:pStyle w:val="Sinespaciado"/>
              <w:rPr>
                <w:rFonts w:ascii="Calibri" w:eastAsia="Aptos" w:hAnsi="Calibri" w:cs="Calibri"/>
              </w:rPr>
            </w:pPr>
            <w:r>
              <w:t>11</w:t>
            </w:r>
          </w:p>
        </w:tc>
        <w:tc>
          <w:tcPr>
            <w:tcW w:w="1275" w:type="dxa"/>
          </w:tcPr>
          <w:p w14:paraId="1679EA66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Adjudicación del Proceso</w:t>
            </w:r>
          </w:p>
        </w:tc>
        <w:tc>
          <w:tcPr>
            <w:tcW w:w="1276" w:type="dxa"/>
          </w:tcPr>
          <w:p w14:paraId="5E220679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Director</w:t>
            </w:r>
          </w:p>
          <w:p w14:paraId="5A5F2B5E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General</w:t>
            </w:r>
          </w:p>
        </w:tc>
        <w:tc>
          <w:tcPr>
            <w:tcW w:w="2268" w:type="dxa"/>
          </w:tcPr>
          <w:p w14:paraId="100FA612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- Informe de evaluación</w:t>
            </w:r>
          </w:p>
          <w:p w14:paraId="4362A9C0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-</w:t>
            </w:r>
          </w:p>
          <w:p w14:paraId="3B1700D8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Recomendación de comisión - Verificación legal</w:t>
            </w:r>
          </w:p>
        </w:tc>
        <w:tc>
          <w:tcPr>
            <w:tcW w:w="1984" w:type="dxa"/>
          </w:tcPr>
          <w:p w14:paraId="7C882CFD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 xml:space="preserve">Resolución </w:t>
            </w:r>
            <w:proofErr w:type="spellStart"/>
            <w:r>
              <w:t>deadjudicación</w:t>
            </w:r>
            <w:proofErr w:type="spellEnd"/>
            <w:r>
              <w:t xml:space="preserve"> - Notificación oficial</w:t>
            </w:r>
          </w:p>
          <w:p w14:paraId="0F32F3E7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 xml:space="preserve">Publicación </w:t>
            </w:r>
            <w:proofErr w:type="spellStart"/>
            <w:r>
              <w:t>deresultados</w:t>
            </w:r>
            <w:proofErr w:type="spellEnd"/>
          </w:p>
        </w:tc>
        <w:tc>
          <w:tcPr>
            <w:tcW w:w="2410" w:type="dxa"/>
          </w:tcPr>
          <w:p w14:paraId="30C3A07D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Decisión formal de adjudicación basada en evaluación técnica y económica, emisión de resolución administrativa y notificación a todos los participantes.</w:t>
            </w:r>
          </w:p>
        </w:tc>
      </w:tr>
      <w:tr w:rsidR="00165AC9" w:rsidRPr="00975B39" w14:paraId="1CEFB0B4" w14:textId="77777777" w:rsidTr="00B5395B">
        <w:trPr>
          <w:trHeight w:val="2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38F9715E" w14:textId="77777777" w:rsidR="00165AC9" w:rsidRPr="00975B39" w:rsidRDefault="00165AC9" w:rsidP="00B5395B">
            <w:pPr>
              <w:pStyle w:val="Sinespaciado"/>
              <w:rPr>
                <w:rFonts w:ascii="Calibri" w:eastAsia="Aptos" w:hAnsi="Calibri" w:cs="Calibri"/>
              </w:rPr>
            </w:pPr>
            <w:r>
              <w:t>12</w:t>
            </w:r>
          </w:p>
        </w:tc>
        <w:tc>
          <w:tcPr>
            <w:tcW w:w="1275" w:type="dxa"/>
          </w:tcPr>
          <w:p w14:paraId="547EF378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Suscripción de</w:t>
            </w:r>
          </w:p>
          <w:p w14:paraId="254F3802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Contrato</w:t>
            </w:r>
          </w:p>
        </w:tc>
        <w:tc>
          <w:tcPr>
            <w:tcW w:w="1276" w:type="dxa"/>
          </w:tcPr>
          <w:p w14:paraId="6B247067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Especialista</w:t>
            </w:r>
          </w:p>
          <w:p w14:paraId="6FF90ACA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Legal +</w:t>
            </w:r>
          </w:p>
          <w:p w14:paraId="401FCC76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Adjudicatario</w:t>
            </w:r>
          </w:p>
        </w:tc>
        <w:tc>
          <w:tcPr>
            <w:tcW w:w="2268" w:type="dxa"/>
          </w:tcPr>
          <w:p w14:paraId="1EF3A60F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 xml:space="preserve">Resolución </w:t>
            </w:r>
            <w:proofErr w:type="spellStart"/>
            <w:r>
              <w:t>deadjudicación</w:t>
            </w:r>
            <w:proofErr w:type="spellEnd"/>
            <w:r>
              <w:t xml:space="preserve"> - Minuta de contrato</w:t>
            </w:r>
          </w:p>
          <w:p w14:paraId="0436431A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Documentos</w:t>
            </w:r>
          </w:p>
          <w:p w14:paraId="30B8F205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del adjudicatario</w:t>
            </w:r>
          </w:p>
        </w:tc>
        <w:tc>
          <w:tcPr>
            <w:tcW w:w="1984" w:type="dxa"/>
          </w:tcPr>
          <w:p w14:paraId="42297EC9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Contrato suscrito- Garantías constituidas</w:t>
            </w:r>
          </w:p>
          <w:p w14:paraId="4CF1BE1C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 xml:space="preserve">Cronograma </w:t>
            </w:r>
            <w:proofErr w:type="spellStart"/>
            <w:r>
              <w:t>deejecución</w:t>
            </w:r>
            <w:proofErr w:type="spellEnd"/>
          </w:p>
        </w:tc>
        <w:tc>
          <w:tcPr>
            <w:tcW w:w="2410" w:type="dxa"/>
          </w:tcPr>
          <w:p w14:paraId="711710E2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Formalización de relación contractual mediante suscripción de contrato, constitución de garantías requeridas y establecimiento de condiciones de ejecución.</w:t>
            </w:r>
          </w:p>
        </w:tc>
      </w:tr>
      <w:tr w:rsidR="00165AC9" w:rsidRPr="00975B39" w14:paraId="064B71C9" w14:textId="77777777" w:rsidTr="00B5395B">
        <w:trPr>
          <w:trHeight w:val="3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325AB3F2" w14:textId="77777777" w:rsidR="00165AC9" w:rsidRPr="00975B39" w:rsidRDefault="00165AC9" w:rsidP="00B5395B">
            <w:pPr>
              <w:pStyle w:val="Sinespaciado"/>
              <w:rPr>
                <w:rFonts w:ascii="Calibri" w:eastAsia="Aptos" w:hAnsi="Calibri" w:cs="Calibri"/>
              </w:rPr>
            </w:pPr>
            <w:r>
              <w:t>13</w:t>
            </w:r>
          </w:p>
        </w:tc>
        <w:tc>
          <w:tcPr>
            <w:tcW w:w="1275" w:type="dxa"/>
          </w:tcPr>
          <w:p w14:paraId="5CB61A7D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Supervisión de</w:t>
            </w:r>
          </w:p>
          <w:p w14:paraId="51230381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Ejecución</w:t>
            </w:r>
          </w:p>
          <w:p w14:paraId="474A3A63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Contractual</w:t>
            </w:r>
          </w:p>
        </w:tc>
        <w:tc>
          <w:tcPr>
            <w:tcW w:w="1276" w:type="dxa"/>
          </w:tcPr>
          <w:p w14:paraId="05AECF98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Supervisor Técnico</w:t>
            </w:r>
          </w:p>
          <w:p w14:paraId="1E5EB5B7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Designado</w:t>
            </w:r>
          </w:p>
        </w:tc>
        <w:tc>
          <w:tcPr>
            <w:tcW w:w="2268" w:type="dxa"/>
          </w:tcPr>
          <w:p w14:paraId="326DE980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- Contrato vigente - Cronograma aprobado - Entregables recibidos</w:t>
            </w:r>
          </w:p>
        </w:tc>
        <w:tc>
          <w:tcPr>
            <w:tcW w:w="1984" w:type="dxa"/>
          </w:tcPr>
          <w:p w14:paraId="3DA399EF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 xml:space="preserve">Informes </w:t>
            </w:r>
            <w:proofErr w:type="spellStart"/>
            <w:r>
              <w:t>desupervisión</w:t>
            </w:r>
            <w:proofErr w:type="spellEnd"/>
            <w:r>
              <w:t xml:space="preserve"> - Control de avance</w:t>
            </w:r>
          </w:p>
          <w:p w14:paraId="485535C6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 xml:space="preserve">Observaciones </w:t>
            </w:r>
            <w:proofErr w:type="spellStart"/>
            <w:r>
              <w:t>yrecomendaciones</w:t>
            </w:r>
            <w:proofErr w:type="spellEnd"/>
          </w:p>
        </w:tc>
        <w:tc>
          <w:tcPr>
            <w:tcW w:w="2410" w:type="dxa"/>
          </w:tcPr>
          <w:p w14:paraId="07FCBF81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Control continuo del cumplimiento contractual, verificación de calidad de entregables, seguimiento de cronograma y gestión de modificaciones si son necesarias.</w:t>
            </w:r>
          </w:p>
        </w:tc>
      </w:tr>
      <w:tr w:rsidR="00165AC9" w:rsidRPr="00975B39" w14:paraId="2564C956" w14:textId="77777777" w:rsidTr="00B5395B">
        <w:trPr>
          <w:trHeight w:val="1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1758EF28" w14:textId="77777777" w:rsidR="00165AC9" w:rsidRPr="00975B39" w:rsidRDefault="00165AC9" w:rsidP="00B5395B">
            <w:pPr>
              <w:pStyle w:val="Sinespaciado"/>
              <w:rPr>
                <w:rFonts w:ascii="Calibri" w:eastAsia="Aptos" w:hAnsi="Calibri" w:cs="Calibri"/>
              </w:rPr>
            </w:pPr>
            <w:r>
              <w:t>14</w:t>
            </w:r>
          </w:p>
        </w:tc>
        <w:tc>
          <w:tcPr>
            <w:tcW w:w="1275" w:type="dxa"/>
          </w:tcPr>
          <w:p w14:paraId="49DBA1C7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Recepción de</w:t>
            </w:r>
          </w:p>
          <w:p w14:paraId="09DA3DBE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Servicios</w:t>
            </w:r>
          </w:p>
        </w:tc>
        <w:tc>
          <w:tcPr>
            <w:tcW w:w="1276" w:type="dxa"/>
          </w:tcPr>
          <w:p w14:paraId="147F4B76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Supervisor</w:t>
            </w:r>
          </w:p>
          <w:p w14:paraId="727EB280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Técnico +</w:t>
            </w:r>
          </w:p>
        </w:tc>
        <w:tc>
          <w:tcPr>
            <w:tcW w:w="2268" w:type="dxa"/>
          </w:tcPr>
          <w:p w14:paraId="0192C107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proofErr w:type="spellStart"/>
            <w:r>
              <w:t>Entregablesfinales</w:t>
            </w:r>
            <w:proofErr w:type="spellEnd"/>
          </w:p>
          <w:p w14:paraId="7603EC00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Informe final</w:t>
            </w:r>
          </w:p>
        </w:tc>
        <w:tc>
          <w:tcPr>
            <w:tcW w:w="1984" w:type="dxa"/>
          </w:tcPr>
          <w:p w14:paraId="0F81C0A1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- Acta de recepción provisional</w:t>
            </w:r>
          </w:p>
        </w:tc>
        <w:tc>
          <w:tcPr>
            <w:tcW w:w="2410" w:type="dxa"/>
          </w:tcPr>
          <w:p w14:paraId="7FC78C78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Proceso formal de recepción de servicios</w:t>
            </w:r>
          </w:p>
        </w:tc>
      </w:tr>
      <w:tr w:rsidR="00165AC9" w:rsidRPr="00975B39" w14:paraId="39F22413" w14:textId="77777777" w:rsidTr="00B5395B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268CB7E5" w14:textId="77777777" w:rsidR="00165AC9" w:rsidRPr="00975B39" w:rsidRDefault="00165AC9" w:rsidP="00B5395B">
            <w:pPr>
              <w:pStyle w:val="Sinespaciado"/>
              <w:rPr>
                <w:rFonts w:ascii="Calibri" w:eastAsia="Aptos" w:hAnsi="Calibri" w:cs="Calibri"/>
              </w:rPr>
            </w:pPr>
            <w:r>
              <w:lastRenderedPageBreak/>
              <w:t>No.</w:t>
            </w:r>
          </w:p>
        </w:tc>
        <w:tc>
          <w:tcPr>
            <w:tcW w:w="1275" w:type="dxa"/>
          </w:tcPr>
          <w:p w14:paraId="7F7782E3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Nombre de la</w:t>
            </w:r>
          </w:p>
          <w:p w14:paraId="26E52F3C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Actividad</w:t>
            </w:r>
          </w:p>
        </w:tc>
        <w:tc>
          <w:tcPr>
            <w:tcW w:w="1276" w:type="dxa"/>
          </w:tcPr>
          <w:p w14:paraId="4151D282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Responsable</w:t>
            </w:r>
          </w:p>
        </w:tc>
        <w:tc>
          <w:tcPr>
            <w:tcW w:w="2268" w:type="dxa"/>
          </w:tcPr>
          <w:p w14:paraId="7B05AA87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Entradas</w:t>
            </w:r>
          </w:p>
        </w:tc>
        <w:tc>
          <w:tcPr>
            <w:tcW w:w="1984" w:type="dxa"/>
          </w:tcPr>
          <w:p w14:paraId="236BED10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Salidas</w:t>
            </w:r>
          </w:p>
        </w:tc>
        <w:tc>
          <w:tcPr>
            <w:tcW w:w="2410" w:type="dxa"/>
          </w:tcPr>
          <w:p w14:paraId="7E724790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Descripción</w:t>
            </w:r>
          </w:p>
          <w:p w14:paraId="01306DD5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Detallada</w:t>
            </w:r>
          </w:p>
        </w:tc>
      </w:tr>
      <w:tr w:rsidR="00165AC9" w:rsidRPr="00975B39" w14:paraId="39EA1E56" w14:textId="77777777" w:rsidTr="00B5395B">
        <w:trPr>
          <w:trHeight w:val="2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195EC060" w14:textId="77777777" w:rsidR="00165AC9" w:rsidRPr="00975B39" w:rsidRDefault="00165AC9" w:rsidP="00B5395B">
            <w:pPr>
              <w:pStyle w:val="Sinespaciado"/>
            </w:pPr>
          </w:p>
        </w:tc>
        <w:tc>
          <w:tcPr>
            <w:tcW w:w="1275" w:type="dxa"/>
          </w:tcPr>
          <w:p w14:paraId="6306EF26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1C118190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Comisión de</w:t>
            </w:r>
          </w:p>
          <w:p w14:paraId="66A43558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Recepción</w:t>
            </w:r>
          </w:p>
        </w:tc>
        <w:tc>
          <w:tcPr>
            <w:tcW w:w="2268" w:type="dxa"/>
          </w:tcPr>
          <w:p w14:paraId="449F6E79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- Verificación de cumplimiento</w:t>
            </w:r>
          </w:p>
        </w:tc>
        <w:tc>
          <w:tcPr>
            <w:tcW w:w="1984" w:type="dxa"/>
          </w:tcPr>
          <w:p w14:paraId="335DFB50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 xml:space="preserve">Acta </w:t>
            </w:r>
            <w:proofErr w:type="spellStart"/>
            <w:r>
              <w:t>derecepción</w:t>
            </w:r>
            <w:proofErr w:type="spellEnd"/>
            <w:r>
              <w:t xml:space="preserve"> definitiva</w:t>
            </w:r>
          </w:p>
          <w:p w14:paraId="377F005C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proofErr w:type="spellStart"/>
            <w:r>
              <w:t>Conformidadtécnica</w:t>
            </w:r>
            <w:proofErr w:type="spellEnd"/>
          </w:p>
        </w:tc>
        <w:tc>
          <w:tcPr>
            <w:tcW w:w="2410" w:type="dxa"/>
          </w:tcPr>
          <w:p w14:paraId="1E3D8A2A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ejecutados, verificando cumplimiento total de especificaciones técnicas y administrativas establecidas en contrato.</w:t>
            </w:r>
          </w:p>
        </w:tc>
      </w:tr>
      <w:tr w:rsidR="00165AC9" w:rsidRPr="00975B39" w14:paraId="47F4EBB2" w14:textId="77777777" w:rsidTr="00B5395B">
        <w:trPr>
          <w:trHeight w:val="3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659AA21B" w14:textId="77777777" w:rsidR="00165AC9" w:rsidRPr="00975B39" w:rsidRDefault="00165AC9" w:rsidP="00B5395B">
            <w:pPr>
              <w:pStyle w:val="Sinespaciado"/>
              <w:rPr>
                <w:rFonts w:ascii="Calibri" w:eastAsia="Aptos" w:hAnsi="Calibri" w:cs="Calibri"/>
              </w:rPr>
            </w:pPr>
            <w:r>
              <w:t>15</w:t>
            </w:r>
          </w:p>
        </w:tc>
        <w:tc>
          <w:tcPr>
            <w:tcW w:w="1275" w:type="dxa"/>
          </w:tcPr>
          <w:p w14:paraId="7849CFFB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Procesamiento de Facturación</w:t>
            </w:r>
          </w:p>
        </w:tc>
        <w:tc>
          <w:tcPr>
            <w:tcW w:w="1276" w:type="dxa"/>
          </w:tcPr>
          <w:p w14:paraId="42BCB8C9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Analista</w:t>
            </w:r>
          </w:p>
          <w:p w14:paraId="5D09C05F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Financiero</w:t>
            </w:r>
          </w:p>
        </w:tc>
        <w:tc>
          <w:tcPr>
            <w:tcW w:w="2268" w:type="dxa"/>
          </w:tcPr>
          <w:p w14:paraId="5A25F60B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- Factura del proveedor - Acta de recepción - Contrato de referencia</w:t>
            </w:r>
          </w:p>
        </w:tc>
        <w:tc>
          <w:tcPr>
            <w:tcW w:w="1984" w:type="dxa"/>
          </w:tcPr>
          <w:p w14:paraId="7D5CF5A9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proofErr w:type="spellStart"/>
            <w:r>
              <w:t>Facturaverificada</w:t>
            </w:r>
            <w:proofErr w:type="spellEnd"/>
          </w:p>
          <w:p w14:paraId="72494349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Solicitud de pago- Documentos de</w:t>
            </w:r>
          </w:p>
          <w:p w14:paraId="7FA74120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soporte</w:t>
            </w:r>
          </w:p>
        </w:tc>
        <w:tc>
          <w:tcPr>
            <w:tcW w:w="2410" w:type="dxa"/>
          </w:tcPr>
          <w:p w14:paraId="4E7A6155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Verificación de documentos de cobro, validación de cumplimiento contractual y preparación de documentación para autorización y ejecución de pago.</w:t>
            </w:r>
          </w:p>
        </w:tc>
      </w:tr>
      <w:tr w:rsidR="00165AC9" w:rsidRPr="00975B39" w14:paraId="2940378D" w14:textId="77777777" w:rsidTr="00B5395B">
        <w:trPr>
          <w:trHeight w:val="3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1A02E222" w14:textId="77777777" w:rsidR="00165AC9" w:rsidRPr="00975B39" w:rsidRDefault="00165AC9" w:rsidP="00B5395B">
            <w:pPr>
              <w:pStyle w:val="Sinespaciado"/>
              <w:rPr>
                <w:rFonts w:ascii="Calibri" w:eastAsia="Aptos" w:hAnsi="Calibri" w:cs="Calibri"/>
              </w:rPr>
            </w:pPr>
            <w:r>
              <w:t>16</w:t>
            </w:r>
          </w:p>
        </w:tc>
        <w:tc>
          <w:tcPr>
            <w:tcW w:w="1275" w:type="dxa"/>
          </w:tcPr>
          <w:p w14:paraId="7BA9FD5A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Autorización y</w:t>
            </w:r>
          </w:p>
          <w:p w14:paraId="43695F14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Ejecución de</w:t>
            </w:r>
          </w:p>
          <w:p w14:paraId="3C7165FF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Pago</w:t>
            </w:r>
          </w:p>
        </w:tc>
        <w:tc>
          <w:tcPr>
            <w:tcW w:w="1276" w:type="dxa"/>
          </w:tcPr>
          <w:p w14:paraId="6562B868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Director</w:t>
            </w:r>
          </w:p>
          <w:p w14:paraId="174966A5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General +</w:t>
            </w:r>
          </w:p>
          <w:p w14:paraId="75F37AE4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Unidad</w:t>
            </w:r>
          </w:p>
          <w:p w14:paraId="18BE6A73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Financiera</w:t>
            </w:r>
          </w:p>
        </w:tc>
        <w:tc>
          <w:tcPr>
            <w:tcW w:w="2268" w:type="dxa"/>
          </w:tcPr>
          <w:p w14:paraId="5C068DB9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 xml:space="preserve">Solicitud </w:t>
            </w:r>
            <w:proofErr w:type="spellStart"/>
            <w:r>
              <w:t>depago</w:t>
            </w:r>
            <w:proofErr w:type="spellEnd"/>
          </w:p>
          <w:p w14:paraId="0277EB25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 xml:space="preserve">Verificación </w:t>
            </w:r>
            <w:proofErr w:type="spellStart"/>
            <w:r>
              <w:t>decumplimiento</w:t>
            </w:r>
            <w:proofErr w:type="spellEnd"/>
          </w:p>
          <w:p w14:paraId="4D84A45C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proofErr w:type="spellStart"/>
            <w:r>
              <w:t>Disponibilidadpresupuestaria</w:t>
            </w:r>
            <w:proofErr w:type="spellEnd"/>
          </w:p>
        </w:tc>
        <w:tc>
          <w:tcPr>
            <w:tcW w:w="1984" w:type="dxa"/>
          </w:tcPr>
          <w:p w14:paraId="74A246EC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 xml:space="preserve">Autorización </w:t>
            </w:r>
            <w:proofErr w:type="spellStart"/>
            <w:r>
              <w:t>depago</w:t>
            </w:r>
            <w:proofErr w:type="spellEnd"/>
          </w:p>
          <w:p w14:paraId="1087B2FD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proofErr w:type="spellStart"/>
            <w:r>
              <w:t>Transferenciaejecutada</w:t>
            </w:r>
            <w:proofErr w:type="spellEnd"/>
          </w:p>
          <w:p w14:paraId="40EA5313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 xml:space="preserve">Comprobante </w:t>
            </w:r>
            <w:proofErr w:type="spellStart"/>
            <w:r>
              <w:t>depago</w:t>
            </w:r>
            <w:proofErr w:type="spellEnd"/>
          </w:p>
        </w:tc>
        <w:tc>
          <w:tcPr>
            <w:tcW w:w="2410" w:type="dxa"/>
          </w:tcPr>
          <w:p w14:paraId="7881DE75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Autorización formal de pago por autoridad competente y ejecución de transferencia bancaria, incluyendo registro contable y archivo de documentos.</w:t>
            </w:r>
          </w:p>
        </w:tc>
      </w:tr>
      <w:tr w:rsidR="00165AC9" w:rsidRPr="00975B39" w14:paraId="75A7EA80" w14:textId="77777777" w:rsidTr="00B5395B">
        <w:trPr>
          <w:trHeight w:val="3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1F9FD83E" w14:textId="77777777" w:rsidR="00165AC9" w:rsidRPr="00975B39" w:rsidRDefault="00165AC9" w:rsidP="00B5395B">
            <w:pPr>
              <w:pStyle w:val="Sinespaciado"/>
              <w:rPr>
                <w:rFonts w:ascii="Calibri" w:eastAsia="Aptos" w:hAnsi="Calibri" w:cs="Calibri"/>
              </w:rPr>
            </w:pPr>
            <w:r>
              <w:lastRenderedPageBreak/>
              <w:t>17</w:t>
            </w:r>
          </w:p>
        </w:tc>
        <w:tc>
          <w:tcPr>
            <w:tcW w:w="1275" w:type="dxa"/>
          </w:tcPr>
          <w:p w14:paraId="523788F5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Registro de</w:t>
            </w:r>
          </w:p>
          <w:p w14:paraId="378DEEF4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Prestadores de</w:t>
            </w:r>
          </w:p>
          <w:p w14:paraId="5B14D936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Servicios</w:t>
            </w:r>
          </w:p>
        </w:tc>
        <w:tc>
          <w:tcPr>
            <w:tcW w:w="1276" w:type="dxa"/>
          </w:tcPr>
          <w:p w14:paraId="49DDCCE6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Coordinador de</w:t>
            </w:r>
          </w:p>
          <w:p w14:paraId="5D0A7D0D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Prestadores</w:t>
            </w:r>
          </w:p>
        </w:tc>
        <w:tc>
          <w:tcPr>
            <w:tcW w:w="2268" w:type="dxa"/>
          </w:tcPr>
          <w:p w14:paraId="766C5255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 xml:space="preserve">Solicitud </w:t>
            </w:r>
            <w:proofErr w:type="spellStart"/>
            <w:r>
              <w:t>deregistro</w:t>
            </w:r>
            <w:proofErr w:type="spellEnd"/>
          </w:p>
          <w:p w14:paraId="349F7553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Documentos</w:t>
            </w:r>
          </w:p>
          <w:p w14:paraId="6464C119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de certificación - Verificación de competencias</w:t>
            </w:r>
          </w:p>
        </w:tc>
        <w:tc>
          <w:tcPr>
            <w:tcW w:w="1984" w:type="dxa"/>
          </w:tcPr>
          <w:p w14:paraId="0850D505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- Registro actualizado - Certificado de inscripción - Base de datos actualizada</w:t>
            </w:r>
          </w:p>
        </w:tc>
        <w:tc>
          <w:tcPr>
            <w:tcW w:w="2410" w:type="dxa"/>
          </w:tcPr>
          <w:p w14:paraId="2008DABD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Proceso de</w:t>
            </w:r>
          </w:p>
          <w:p w14:paraId="0EBC47CD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inscripción inicial y renovación de prestadores de servicios ambientales, verificando cumplimiento de requisitos ISO</w:t>
            </w:r>
          </w:p>
          <w:p w14:paraId="681B2D5B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17024 y</w:t>
            </w:r>
          </w:p>
        </w:tc>
      </w:tr>
      <w:tr w:rsidR="00165AC9" w:rsidRPr="00975B39" w14:paraId="2A11A63A" w14:textId="77777777" w:rsidTr="00B5395B">
        <w:trPr>
          <w:trHeight w:val="1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45DC26A9" w14:textId="77777777" w:rsidR="00165AC9" w:rsidRPr="00975B39" w:rsidRDefault="00165AC9" w:rsidP="00B5395B">
            <w:pPr>
              <w:pStyle w:val="Sinespaciado"/>
              <w:rPr>
                <w:rFonts w:ascii="Calibri" w:eastAsia="Aptos" w:hAnsi="Calibri" w:cs="Calibri"/>
              </w:rPr>
            </w:pPr>
            <w:r>
              <w:t>No.</w:t>
            </w:r>
          </w:p>
        </w:tc>
        <w:tc>
          <w:tcPr>
            <w:tcW w:w="1275" w:type="dxa"/>
          </w:tcPr>
          <w:p w14:paraId="29C40C78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Nombre de la</w:t>
            </w:r>
          </w:p>
          <w:p w14:paraId="611F20B9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Actividad</w:t>
            </w:r>
          </w:p>
        </w:tc>
        <w:tc>
          <w:tcPr>
            <w:tcW w:w="1276" w:type="dxa"/>
          </w:tcPr>
          <w:p w14:paraId="02373DD7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Responsable</w:t>
            </w:r>
          </w:p>
        </w:tc>
        <w:tc>
          <w:tcPr>
            <w:tcW w:w="2268" w:type="dxa"/>
          </w:tcPr>
          <w:p w14:paraId="1C4C1269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Entradas</w:t>
            </w:r>
          </w:p>
        </w:tc>
        <w:tc>
          <w:tcPr>
            <w:tcW w:w="1984" w:type="dxa"/>
          </w:tcPr>
          <w:p w14:paraId="2D6B0D8E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Salidas</w:t>
            </w:r>
          </w:p>
        </w:tc>
        <w:tc>
          <w:tcPr>
            <w:tcW w:w="2410" w:type="dxa"/>
          </w:tcPr>
          <w:p w14:paraId="7EF3CF08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Descripción</w:t>
            </w:r>
          </w:p>
          <w:p w14:paraId="6A5A6CED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Detallada</w:t>
            </w:r>
          </w:p>
        </w:tc>
      </w:tr>
      <w:tr w:rsidR="00165AC9" w:rsidRPr="00975B39" w14:paraId="6BD12DF1" w14:textId="77777777" w:rsidTr="00B5395B">
        <w:trPr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0222C8A7" w14:textId="77777777" w:rsidR="00165AC9" w:rsidRPr="00975B39" w:rsidRDefault="00165AC9" w:rsidP="00B5395B">
            <w:pPr>
              <w:pStyle w:val="Sinespaciado"/>
            </w:pPr>
          </w:p>
        </w:tc>
        <w:tc>
          <w:tcPr>
            <w:tcW w:w="1275" w:type="dxa"/>
          </w:tcPr>
          <w:p w14:paraId="0B787062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267C1E8C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2AC9B26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2C8B12C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841B532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competencias profesionales.</w:t>
            </w:r>
          </w:p>
        </w:tc>
      </w:tr>
      <w:tr w:rsidR="00165AC9" w:rsidRPr="00975B39" w14:paraId="7CC606B7" w14:textId="77777777" w:rsidTr="00B5395B">
        <w:trPr>
          <w:trHeight w:val="3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52DC78ED" w14:textId="77777777" w:rsidR="00165AC9" w:rsidRPr="00975B39" w:rsidRDefault="00165AC9" w:rsidP="00B5395B">
            <w:pPr>
              <w:pStyle w:val="Sinespaciado"/>
              <w:rPr>
                <w:rFonts w:ascii="Calibri" w:eastAsia="Aptos" w:hAnsi="Calibri" w:cs="Calibri"/>
              </w:rPr>
            </w:pPr>
            <w:r>
              <w:t>18</w:t>
            </w:r>
          </w:p>
        </w:tc>
        <w:tc>
          <w:tcPr>
            <w:tcW w:w="1275" w:type="dxa"/>
          </w:tcPr>
          <w:p w14:paraId="6F17F808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Facturación de</w:t>
            </w:r>
          </w:p>
          <w:p w14:paraId="0593463E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Servicios del</w:t>
            </w:r>
          </w:p>
          <w:p w14:paraId="7DFA6B65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MARN</w:t>
            </w:r>
          </w:p>
        </w:tc>
        <w:tc>
          <w:tcPr>
            <w:tcW w:w="1276" w:type="dxa"/>
          </w:tcPr>
          <w:p w14:paraId="0AF70EB6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Analista</w:t>
            </w:r>
          </w:p>
          <w:p w14:paraId="42FC09E6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Financiero</w:t>
            </w:r>
          </w:p>
        </w:tc>
        <w:tc>
          <w:tcPr>
            <w:tcW w:w="2268" w:type="dxa"/>
          </w:tcPr>
          <w:p w14:paraId="5A1495B8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Solicitud deservicio - Evaluación técnica</w:t>
            </w:r>
          </w:p>
          <w:p w14:paraId="62C09386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Tarifario oficial</w:t>
            </w:r>
          </w:p>
        </w:tc>
        <w:tc>
          <w:tcPr>
            <w:tcW w:w="1984" w:type="dxa"/>
          </w:tcPr>
          <w:p w14:paraId="10E87A29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Factura emitida</w:t>
            </w:r>
          </w:p>
          <w:p w14:paraId="41A341C0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 xml:space="preserve">Notificación </w:t>
            </w:r>
            <w:proofErr w:type="spellStart"/>
            <w:r>
              <w:t>depago</w:t>
            </w:r>
            <w:proofErr w:type="spellEnd"/>
          </w:p>
          <w:p w14:paraId="2F1E27D6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 xml:space="preserve">Registro </w:t>
            </w:r>
            <w:proofErr w:type="spellStart"/>
            <w:r>
              <w:t>ensistema</w:t>
            </w:r>
            <w:proofErr w:type="spellEnd"/>
          </w:p>
        </w:tc>
        <w:tc>
          <w:tcPr>
            <w:tcW w:w="2410" w:type="dxa"/>
          </w:tcPr>
          <w:p w14:paraId="32EB025A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Emisión de facturas por servicios ambientales prestados por el MARN a usuarios externos, aplicando tarifas oficiales y procedimientos establecidos.</w:t>
            </w:r>
          </w:p>
        </w:tc>
      </w:tr>
      <w:tr w:rsidR="00165AC9" w:rsidRPr="00975B39" w14:paraId="4F4A27D6" w14:textId="77777777" w:rsidTr="00B5395B">
        <w:trPr>
          <w:trHeight w:val="4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53FC9A62" w14:textId="77777777" w:rsidR="00165AC9" w:rsidRPr="00975B39" w:rsidRDefault="00165AC9" w:rsidP="00B5395B">
            <w:pPr>
              <w:pStyle w:val="Sinespaciado"/>
              <w:rPr>
                <w:rFonts w:ascii="Calibri" w:eastAsia="Aptos" w:hAnsi="Calibri" w:cs="Calibri"/>
              </w:rPr>
            </w:pPr>
            <w:r>
              <w:lastRenderedPageBreak/>
              <w:t>19</w:t>
            </w:r>
          </w:p>
        </w:tc>
        <w:tc>
          <w:tcPr>
            <w:tcW w:w="1275" w:type="dxa"/>
          </w:tcPr>
          <w:p w14:paraId="1CBB7DD7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Evaluación de</w:t>
            </w:r>
          </w:p>
          <w:p w14:paraId="5FD76B95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Desempeño de</w:t>
            </w:r>
          </w:p>
          <w:p w14:paraId="66472218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Proveedores</w:t>
            </w:r>
          </w:p>
        </w:tc>
        <w:tc>
          <w:tcPr>
            <w:tcW w:w="1276" w:type="dxa"/>
          </w:tcPr>
          <w:p w14:paraId="51F3F34C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Supervisor</w:t>
            </w:r>
          </w:p>
          <w:p w14:paraId="16C978C3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Técnico</w:t>
            </w:r>
          </w:p>
        </w:tc>
        <w:tc>
          <w:tcPr>
            <w:tcW w:w="2268" w:type="dxa"/>
          </w:tcPr>
          <w:p w14:paraId="4A2A95A0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- Informes de ejecución - Cumplimiento contractual - Calidad de servicios</w:t>
            </w:r>
          </w:p>
        </w:tc>
        <w:tc>
          <w:tcPr>
            <w:tcW w:w="1984" w:type="dxa"/>
          </w:tcPr>
          <w:p w14:paraId="5EBAEB39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 xml:space="preserve">Evaluación </w:t>
            </w:r>
            <w:proofErr w:type="spellStart"/>
            <w:r>
              <w:t>dedesempeño</w:t>
            </w:r>
            <w:proofErr w:type="spellEnd"/>
          </w:p>
          <w:p w14:paraId="43DECA37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 xml:space="preserve">Calificación </w:t>
            </w:r>
            <w:proofErr w:type="spellStart"/>
            <w:r>
              <w:t>delproveedor</w:t>
            </w:r>
            <w:proofErr w:type="spellEnd"/>
          </w:p>
          <w:p w14:paraId="55007805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-</w:t>
            </w:r>
          </w:p>
          <w:p w14:paraId="0E094211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Recomendaciones de mejora</w:t>
            </w:r>
          </w:p>
        </w:tc>
        <w:tc>
          <w:tcPr>
            <w:tcW w:w="2410" w:type="dxa"/>
          </w:tcPr>
          <w:p w14:paraId="14384F62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Evaluación sistemática del desempeño de proveedores contratados, considerando cumplimiento de plazos, calidad técnica, atención al cliente y cumplimiento contractual.</w:t>
            </w:r>
          </w:p>
        </w:tc>
      </w:tr>
      <w:tr w:rsidR="00165AC9" w:rsidRPr="00975B39" w14:paraId="717E4674" w14:textId="77777777" w:rsidTr="00B5395B">
        <w:trPr>
          <w:trHeight w:val="3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14:paraId="6AE71049" w14:textId="77777777" w:rsidR="00165AC9" w:rsidRPr="00975B39" w:rsidRDefault="00165AC9" w:rsidP="00B5395B">
            <w:pPr>
              <w:pStyle w:val="Sinespaciado"/>
              <w:rPr>
                <w:rFonts w:ascii="Calibri" w:eastAsia="Aptos" w:hAnsi="Calibri" w:cs="Calibri"/>
              </w:rPr>
            </w:pPr>
            <w:r>
              <w:t>20</w:t>
            </w:r>
          </w:p>
        </w:tc>
        <w:tc>
          <w:tcPr>
            <w:tcW w:w="1275" w:type="dxa"/>
          </w:tcPr>
          <w:p w14:paraId="3D68AEAA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Archivo y</w:t>
            </w:r>
          </w:p>
          <w:p w14:paraId="74018A32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Cierre del</w:t>
            </w:r>
          </w:p>
          <w:p w14:paraId="7A1F8337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Proceso</w:t>
            </w:r>
          </w:p>
        </w:tc>
        <w:tc>
          <w:tcPr>
            <w:tcW w:w="1276" w:type="dxa"/>
          </w:tcPr>
          <w:p w14:paraId="25F9DA48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UACI</w:t>
            </w:r>
          </w:p>
        </w:tc>
        <w:tc>
          <w:tcPr>
            <w:tcW w:w="2268" w:type="dxa"/>
          </w:tcPr>
          <w:p w14:paraId="7D37B506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- Expediente completo - Documentos finales - Liquidación contractual</w:t>
            </w:r>
          </w:p>
        </w:tc>
        <w:tc>
          <w:tcPr>
            <w:tcW w:w="1984" w:type="dxa"/>
          </w:tcPr>
          <w:p w14:paraId="5D28A236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proofErr w:type="spellStart"/>
            <w:r>
              <w:t>Expedientearchivado</w:t>
            </w:r>
            <w:proofErr w:type="spellEnd"/>
          </w:p>
          <w:p w14:paraId="7AE3D558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Proceso cerrado- Lecciones aprendidas</w:t>
            </w:r>
          </w:p>
        </w:tc>
        <w:tc>
          <w:tcPr>
            <w:tcW w:w="2410" w:type="dxa"/>
          </w:tcPr>
          <w:p w14:paraId="117C881C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Organización final de expediente, archivo de documentación según normativa y cierre administrativo del proceso con registro de lecciones aprendidas para mejora continua.</w:t>
            </w:r>
          </w:p>
        </w:tc>
      </w:tr>
    </w:tbl>
    <w:p w14:paraId="1461B765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ascii="Calibri" w:eastAsia="Aptos" w:hAnsi="Calibri" w:cs="Calibri"/>
          <w:b/>
          <w:bCs/>
          <w:sz w:val="28"/>
          <w:szCs w:val="28"/>
        </w:rPr>
      </w:pPr>
      <w:bookmarkStart w:id="191" w:name="_Toc200489506"/>
      <w:bookmarkStart w:id="192" w:name="_Toc200495266"/>
      <w:bookmarkStart w:id="193" w:name="_Toc200620195"/>
      <w:bookmarkStart w:id="194" w:name="_Toc200620597"/>
      <w:r w:rsidRPr="73868B68">
        <w:rPr>
          <w:rFonts w:ascii="Calibri" w:eastAsia="Aptos" w:hAnsi="Calibri" w:cs="Calibri"/>
          <w:b/>
          <w:bCs/>
          <w:sz w:val="28"/>
          <w:szCs w:val="28"/>
        </w:rPr>
        <w:t>6.3. Entradas y Salidas del Proceso</w:t>
      </w:r>
      <w:bookmarkEnd w:id="191"/>
      <w:bookmarkEnd w:id="192"/>
      <w:bookmarkEnd w:id="193"/>
      <w:bookmarkEnd w:id="194"/>
    </w:p>
    <w:p w14:paraId="03C55CDC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ascii="Calibri" w:eastAsia="Aptos" w:hAnsi="Calibri" w:cs="Calibri"/>
          <w:b/>
          <w:bCs/>
          <w:sz w:val="28"/>
          <w:szCs w:val="28"/>
        </w:rPr>
      </w:pPr>
      <w:bookmarkStart w:id="195" w:name="_Toc200489507"/>
      <w:bookmarkStart w:id="196" w:name="_Toc200495267"/>
      <w:bookmarkStart w:id="197" w:name="_Toc200620196"/>
      <w:bookmarkStart w:id="198" w:name="_Toc200620598"/>
      <w:r w:rsidRPr="73868B68">
        <w:rPr>
          <w:rFonts w:ascii="Calibri" w:eastAsia="Aptos" w:hAnsi="Calibri" w:cs="Calibri"/>
          <w:b/>
          <w:bCs/>
          <w:sz w:val="28"/>
          <w:szCs w:val="28"/>
        </w:rPr>
        <w:t>6.3.1. Entradas Principales del Proceso</w:t>
      </w:r>
      <w:bookmarkEnd w:id="195"/>
      <w:bookmarkEnd w:id="196"/>
      <w:bookmarkEnd w:id="197"/>
      <w:bookmarkEnd w:id="198"/>
    </w:p>
    <w:tbl>
      <w:tblPr>
        <w:tblStyle w:val="Tablaconcuadrcula1clara-nfasis41"/>
        <w:tblW w:w="9623" w:type="dxa"/>
        <w:tblLook w:val="04A0" w:firstRow="1" w:lastRow="0" w:firstColumn="1" w:lastColumn="0" w:noHBand="0" w:noVBand="1"/>
      </w:tblPr>
      <w:tblGrid>
        <w:gridCol w:w="2049"/>
        <w:gridCol w:w="2411"/>
        <w:gridCol w:w="1855"/>
        <w:gridCol w:w="1722"/>
        <w:gridCol w:w="1586"/>
      </w:tblGrid>
      <w:tr w:rsidR="00165AC9" w:rsidRPr="00975B39" w14:paraId="4C09DD69" w14:textId="77777777" w:rsidTr="00B53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45881C1E" w14:textId="77777777" w:rsidR="00165AC9" w:rsidRPr="00975B39" w:rsidRDefault="00165AC9" w:rsidP="00B5395B">
            <w:pPr>
              <w:pStyle w:val="Sinespaciado"/>
              <w:rPr>
                <w:rFonts w:ascii="Calibri" w:eastAsia="Aptos" w:hAnsi="Calibri" w:cs="Calibri"/>
              </w:rPr>
            </w:pPr>
            <w:r>
              <w:t>Tipo de Entrada</w:t>
            </w:r>
          </w:p>
        </w:tc>
        <w:tc>
          <w:tcPr>
            <w:tcW w:w="2411" w:type="dxa"/>
          </w:tcPr>
          <w:p w14:paraId="11AB8D95" w14:textId="77777777" w:rsidR="00165AC9" w:rsidRPr="00975B39" w:rsidRDefault="00165AC9" w:rsidP="00B5395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Descripción</w:t>
            </w:r>
          </w:p>
        </w:tc>
        <w:tc>
          <w:tcPr>
            <w:tcW w:w="1855" w:type="dxa"/>
          </w:tcPr>
          <w:p w14:paraId="7D634911" w14:textId="77777777" w:rsidR="00165AC9" w:rsidRPr="00975B39" w:rsidRDefault="00165AC9" w:rsidP="00B5395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Fuente</w:t>
            </w:r>
          </w:p>
        </w:tc>
        <w:tc>
          <w:tcPr>
            <w:tcW w:w="1722" w:type="dxa"/>
          </w:tcPr>
          <w:p w14:paraId="64F71D5D" w14:textId="77777777" w:rsidR="00165AC9" w:rsidRPr="00975B39" w:rsidRDefault="00165AC9" w:rsidP="00B5395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Formato</w:t>
            </w:r>
          </w:p>
        </w:tc>
        <w:tc>
          <w:tcPr>
            <w:tcW w:w="1586" w:type="dxa"/>
          </w:tcPr>
          <w:p w14:paraId="772E734A" w14:textId="77777777" w:rsidR="00165AC9" w:rsidRPr="00975B39" w:rsidRDefault="00165AC9" w:rsidP="00B5395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Frecuencia</w:t>
            </w:r>
          </w:p>
        </w:tc>
      </w:tr>
      <w:tr w:rsidR="00165AC9" w:rsidRPr="00975B39" w14:paraId="1A3E70BD" w14:textId="77777777" w:rsidTr="00B5395B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317FE4FB" w14:textId="77777777" w:rsidR="00165AC9" w:rsidRPr="00975B39" w:rsidRDefault="00165AC9" w:rsidP="00B5395B">
            <w:pPr>
              <w:pStyle w:val="Sinespaciado"/>
              <w:rPr>
                <w:rFonts w:ascii="Calibri" w:eastAsia="Aptos" w:hAnsi="Calibri" w:cs="Calibri"/>
              </w:rPr>
            </w:pPr>
            <w:r>
              <w:t>Solicitud de</w:t>
            </w:r>
          </w:p>
          <w:p w14:paraId="128030E0" w14:textId="77777777" w:rsidR="00165AC9" w:rsidRPr="00975B39" w:rsidRDefault="00165AC9" w:rsidP="00B5395B">
            <w:pPr>
              <w:pStyle w:val="Sinespaciado"/>
              <w:rPr>
                <w:rFonts w:ascii="Calibri" w:eastAsia="Aptos" w:hAnsi="Calibri" w:cs="Calibri"/>
              </w:rPr>
            </w:pPr>
            <w:r>
              <w:t>Servicio</w:t>
            </w:r>
          </w:p>
        </w:tc>
        <w:tc>
          <w:tcPr>
            <w:tcW w:w="2411" w:type="dxa"/>
          </w:tcPr>
          <w:p w14:paraId="5ADFC3FC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Requerimiento formal de contratación de servicios especializados</w:t>
            </w:r>
          </w:p>
        </w:tc>
        <w:tc>
          <w:tcPr>
            <w:tcW w:w="1855" w:type="dxa"/>
          </w:tcPr>
          <w:p w14:paraId="556E86BE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Direcciones</w:t>
            </w:r>
          </w:p>
          <w:p w14:paraId="0C340BF5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Generales del</w:t>
            </w:r>
          </w:p>
          <w:p w14:paraId="43BB5CD1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MARN</w:t>
            </w:r>
          </w:p>
        </w:tc>
        <w:tc>
          <w:tcPr>
            <w:tcW w:w="1722" w:type="dxa"/>
          </w:tcPr>
          <w:p w14:paraId="05E49B37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Formulario estándar</w:t>
            </w:r>
          </w:p>
        </w:tc>
        <w:tc>
          <w:tcPr>
            <w:tcW w:w="1586" w:type="dxa"/>
          </w:tcPr>
          <w:p w14:paraId="2E2345ED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Según necesidad</w:t>
            </w:r>
          </w:p>
        </w:tc>
      </w:tr>
      <w:tr w:rsidR="00165AC9" w:rsidRPr="00975B39" w14:paraId="7EDCF36B" w14:textId="77777777" w:rsidTr="00B5395B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6877BBC1" w14:textId="77777777" w:rsidR="00165AC9" w:rsidRPr="00975B39" w:rsidRDefault="00165AC9" w:rsidP="00B5395B">
            <w:pPr>
              <w:pStyle w:val="Sinespaciado"/>
              <w:rPr>
                <w:rFonts w:ascii="Calibri" w:eastAsia="Aptos" w:hAnsi="Calibri" w:cs="Calibri"/>
              </w:rPr>
            </w:pPr>
            <w:r>
              <w:t>Presupuesto</w:t>
            </w:r>
          </w:p>
          <w:p w14:paraId="546AC4B0" w14:textId="77777777" w:rsidR="00165AC9" w:rsidRPr="00975B39" w:rsidRDefault="00165AC9" w:rsidP="00B5395B">
            <w:pPr>
              <w:pStyle w:val="Sinespaciado"/>
              <w:rPr>
                <w:rFonts w:ascii="Calibri" w:eastAsia="Aptos" w:hAnsi="Calibri" w:cs="Calibri"/>
              </w:rPr>
            </w:pPr>
            <w:r>
              <w:t>Asignado</w:t>
            </w:r>
          </w:p>
        </w:tc>
        <w:tc>
          <w:tcPr>
            <w:tcW w:w="2411" w:type="dxa"/>
          </w:tcPr>
          <w:p w14:paraId="1F086B28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Recursos financieros disponibles para contratación</w:t>
            </w:r>
          </w:p>
        </w:tc>
        <w:tc>
          <w:tcPr>
            <w:tcW w:w="1855" w:type="dxa"/>
          </w:tcPr>
          <w:p w14:paraId="2103A17E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Unidad de</w:t>
            </w:r>
          </w:p>
          <w:p w14:paraId="23572EF3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Planificación y</w:t>
            </w:r>
          </w:p>
          <w:p w14:paraId="62B0E163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Presupuesto</w:t>
            </w:r>
          </w:p>
        </w:tc>
        <w:tc>
          <w:tcPr>
            <w:tcW w:w="1722" w:type="dxa"/>
          </w:tcPr>
          <w:p w14:paraId="36C38D40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Reporte presupuestario</w:t>
            </w:r>
          </w:p>
        </w:tc>
        <w:tc>
          <w:tcPr>
            <w:tcW w:w="1586" w:type="dxa"/>
          </w:tcPr>
          <w:p w14:paraId="070E9483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Anual/</w:t>
            </w:r>
          </w:p>
          <w:p w14:paraId="55642B46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Trimestral</w:t>
            </w:r>
          </w:p>
        </w:tc>
      </w:tr>
      <w:tr w:rsidR="00165AC9" w:rsidRPr="00975B39" w14:paraId="3FA0E09C" w14:textId="77777777" w:rsidTr="00B5395B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7D734BA6" w14:textId="77777777" w:rsidR="00165AC9" w:rsidRPr="00975B39" w:rsidRDefault="00165AC9" w:rsidP="00B5395B">
            <w:pPr>
              <w:pStyle w:val="Sinespaciado"/>
              <w:rPr>
                <w:rFonts w:ascii="Calibri" w:eastAsia="Aptos" w:hAnsi="Calibri" w:cs="Calibri"/>
              </w:rPr>
            </w:pPr>
            <w:r>
              <w:lastRenderedPageBreak/>
              <w:t>Normativa Vigente</w:t>
            </w:r>
          </w:p>
        </w:tc>
        <w:tc>
          <w:tcPr>
            <w:tcW w:w="2411" w:type="dxa"/>
          </w:tcPr>
          <w:p w14:paraId="4B2A2234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Leyes, reglamentos y normativas aplicables</w:t>
            </w:r>
          </w:p>
        </w:tc>
        <w:tc>
          <w:tcPr>
            <w:tcW w:w="1855" w:type="dxa"/>
          </w:tcPr>
          <w:p w14:paraId="2A6F0B52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UNAC, Asesoría</w:t>
            </w:r>
          </w:p>
          <w:p w14:paraId="011207E2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Legal</w:t>
            </w:r>
          </w:p>
        </w:tc>
        <w:tc>
          <w:tcPr>
            <w:tcW w:w="1722" w:type="dxa"/>
          </w:tcPr>
          <w:p w14:paraId="2BC51A55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Documentos</w:t>
            </w:r>
          </w:p>
          <w:p w14:paraId="438FEF52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oficiales</w:t>
            </w:r>
          </w:p>
        </w:tc>
        <w:tc>
          <w:tcPr>
            <w:tcW w:w="1586" w:type="dxa"/>
          </w:tcPr>
          <w:p w14:paraId="03DCE3DD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Según</w:t>
            </w:r>
          </w:p>
          <w:p w14:paraId="4C1E4098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actualización</w:t>
            </w:r>
          </w:p>
        </w:tc>
      </w:tr>
      <w:tr w:rsidR="00165AC9" w:rsidRPr="00975B39" w14:paraId="2D2973F1" w14:textId="77777777" w:rsidTr="00B5395B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19D58EE6" w14:textId="77777777" w:rsidR="00165AC9" w:rsidRPr="00975B39" w:rsidRDefault="00165AC9" w:rsidP="00B5395B">
            <w:pPr>
              <w:pStyle w:val="Sinespaciado"/>
              <w:rPr>
                <w:rFonts w:ascii="Calibri" w:eastAsia="Aptos" w:hAnsi="Calibri" w:cs="Calibri"/>
              </w:rPr>
            </w:pPr>
            <w:r>
              <w:t>Base de</w:t>
            </w:r>
          </w:p>
          <w:p w14:paraId="30D7D94F" w14:textId="77777777" w:rsidR="00165AC9" w:rsidRPr="00975B39" w:rsidRDefault="00165AC9" w:rsidP="00B5395B">
            <w:pPr>
              <w:pStyle w:val="Sinespaciado"/>
              <w:rPr>
                <w:rFonts w:ascii="Calibri" w:eastAsia="Aptos" w:hAnsi="Calibri" w:cs="Calibri"/>
              </w:rPr>
            </w:pPr>
            <w:r>
              <w:t>Prestadores</w:t>
            </w:r>
          </w:p>
        </w:tc>
        <w:tc>
          <w:tcPr>
            <w:tcW w:w="2411" w:type="dxa"/>
          </w:tcPr>
          <w:p w14:paraId="63B877AD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Registro de prestadores certificados disponibles</w:t>
            </w:r>
          </w:p>
        </w:tc>
        <w:tc>
          <w:tcPr>
            <w:tcW w:w="1855" w:type="dxa"/>
          </w:tcPr>
          <w:p w14:paraId="36D408BB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Coordinación de</w:t>
            </w:r>
          </w:p>
          <w:p w14:paraId="7F5FC273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Prestadores</w:t>
            </w:r>
          </w:p>
        </w:tc>
        <w:tc>
          <w:tcPr>
            <w:tcW w:w="1722" w:type="dxa"/>
          </w:tcPr>
          <w:p w14:paraId="17B3B1C9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Base de datos</w:t>
            </w:r>
          </w:p>
        </w:tc>
        <w:tc>
          <w:tcPr>
            <w:tcW w:w="1586" w:type="dxa"/>
          </w:tcPr>
          <w:p w14:paraId="63B8372C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Actualización continua</w:t>
            </w:r>
          </w:p>
        </w:tc>
      </w:tr>
      <w:tr w:rsidR="00165AC9" w:rsidRPr="00975B39" w14:paraId="2404F950" w14:textId="77777777" w:rsidTr="00B5395B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2A51C00A" w14:textId="77777777" w:rsidR="00165AC9" w:rsidRPr="00975B39" w:rsidRDefault="00165AC9" w:rsidP="00B5395B">
            <w:pPr>
              <w:pStyle w:val="Sinespaciado"/>
              <w:rPr>
                <w:rFonts w:ascii="Calibri" w:eastAsia="Aptos" w:hAnsi="Calibri" w:cs="Calibri"/>
              </w:rPr>
            </w:pPr>
            <w:r>
              <w:t>Especificaciones</w:t>
            </w:r>
          </w:p>
          <w:p w14:paraId="1D411128" w14:textId="77777777" w:rsidR="00165AC9" w:rsidRPr="00975B39" w:rsidRDefault="00165AC9" w:rsidP="00B5395B">
            <w:pPr>
              <w:pStyle w:val="Sinespaciado"/>
              <w:rPr>
                <w:rFonts w:ascii="Calibri" w:eastAsia="Aptos" w:hAnsi="Calibri" w:cs="Calibri"/>
              </w:rPr>
            </w:pPr>
            <w:r>
              <w:t>Técnicas</w:t>
            </w:r>
          </w:p>
        </w:tc>
        <w:tc>
          <w:tcPr>
            <w:tcW w:w="2411" w:type="dxa"/>
          </w:tcPr>
          <w:p w14:paraId="643BF6FB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Requisitos técnicos específicos del servicio requerido</w:t>
            </w:r>
          </w:p>
        </w:tc>
        <w:tc>
          <w:tcPr>
            <w:tcW w:w="1855" w:type="dxa"/>
          </w:tcPr>
          <w:p w14:paraId="6B7EF803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Especialistas</w:t>
            </w:r>
          </w:p>
          <w:p w14:paraId="00FD7C76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Técnicos</w:t>
            </w:r>
          </w:p>
        </w:tc>
        <w:tc>
          <w:tcPr>
            <w:tcW w:w="1722" w:type="dxa"/>
          </w:tcPr>
          <w:p w14:paraId="179C679A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Documento técnico</w:t>
            </w:r>
          </w:p>
        </w:tc>
        <w:tc>
          <w:tcPr>
            <w:tcW w:w="1586" w:type="dxa"/>
          </w:tcPr>
          <w:p w14:paraId="663F4347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ptos" w:hAnsi="Calibri" w:cs="Calibri"/>
              </w:rPr>
            </w:pPr>
            <w:r>
              <w:t>Por proyecto</w:t>
            </w:r>
          </w:p>
        </w:tc>
      </w:tr>
    </w:tbl>
    <w:p w14:paraId="6DDD2D41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199" w:name="_Toc200489508"/>
      <w:bookmarkStart w:id="200" w:name="_Toc200495268"/>
      <w:bookmarkStart w:id="201" w:name="_Toc200620197"/>
      <w:bookmarkStart w:id="202" w:name="_Toc200620599"/>
      <w:r w:rsidRPr="73868B68">
        <w:rPr>
          <w:rFonts w:eastAsia="Aptos" w:cs="Times New Roman"/>
          <w:b/>
          <w:bCs/>
          <w:sz w:val="28"/>
          <w:szCs w:val="28"/>
        </w:rPr>
        <w:t>6.3.2. Salidas Principales del Proceso</w:t>
      </w:r>
      <w:bookmarkEnd w:id="199"/>
      <w:bookmarkEnd w:id="200"/>
      <w:bookmarkEnd w:id="201"/>
      <w:bookmarkEnd w:id="202"/>
    </w:p>
    <w:tbl>
      <w:tblPr>
        <w:tblStyle w:val="Tablaconcuadrcula1clara-nfasis41"/>
        <w:tblW w:w="9623" w:type="dxa"/>
        <w:tblLook w:val="04A0" w:firstRow="1" w:lastRow="0" w:firstColumn="1" w:lastColumn="0" w:noHBand="0" w:noVBand="1"/>
      </w:tblPr>
      <w:tblGrid>
        <w:gridCol w:w="1798"/>
        <w:gridCol w:w="2590"/>
        <w:gridCol w:w="1711"/>
        <w:gridCol w:w="1873"/>
        <w:gridCol w:w="1651"/>
      </w:tblGrid>
      <w:tr w:rsidR="00165AC9" w:rsidRPr="00975B39" w14:paraId="64A5179A" w14:textId="77777777" w:rsidTr="00B53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91E037C" w14:textId="77777777" w:rsidR="00165AC9" w:rsidRPr="00975B39" w:rsidRDefault="00165AC9" w:rsidP="00B5395B">
            <w:pPr>
              <w:pStyle w:val="Sinespaciado"/>
              <w:rPr>
                <w:rFonts w:ascii="Aptos" w:eastAsia="Aptos" w:hAnsi="Aptos" w:cs="Times New Roman"/>
              </w:rPr>
            </w:pPr>
            <w:r>
              <w:t>Tipo de Salida</w:t>
            </w:r>
          </w:p>
        </w:tc>
        <w:tc>
          <w:tcPr>
            <w:tcW w:w="2590" w:type="dxa"/>
          </w:tcPr>
          <w:p w14:paraId="6F788309" w14:textId="77777777" w:rsidR="00165AC9" w:rsidRPr="00975B39" w:rsidRDefault="00165AC9" w:rsidP="00B5395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Times New Roman"/>
              </w:rPr>
            </w:pPr>
            <w:r>
              <w:t>Descripción</w:t>
            </w:r>
          </w:p>
        </w:tc>
        <w:tc>
          <w:tcPr>
            <w:tcW w:w="1711" w:type="dxa"/>
          </w:tcPr>
          <w:p w14:paraId="7D47EC0C" w14:textId="77777777" w:rsidR="00165AC9" w:rsidRPr="00975B39" w:rsidRDefault="00165AC9" w:rsidP="00B5395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Times New Roman"/>
              </w:rPr>
            </w:pPr>
            <w:r>
              <w:t>Destinatario</w:t>
            </w:r>
          </w:p>
        </w:tc>
        <w:tc>
          <w:tcPr>
            <w:tcW w:w="1873" w:type="dxa"/>
          </w:tcPr>
          <w:p w14:paraId="4B378B42" w14:textId="77777777" w:rsidR="00165AC9" w:rsidRPr="00975B39" w:rsidRDefault="00165AC9" w:rsidP="00B5395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Times New Roman"/>
              </w:rPr>
            </w:pPr>
            <w:r>
              <w:t>Formato</w:t>
            </w:r>
          </w:p>
        </w:tc>
        <w:tc>
          <w:tcPr>
            <w:tcW w:w="1651" w:type="dxa"/>
          </w:tcPr>
          <w:p w14:paraId="2CE64968" w14:textId="77777777" w:rsidR="00165AC9" w:rsidRPr="00975B39" w:rsidRDefault="00165AC9" w:rsidP="00B5395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Times New Roman"/>
              </w:rPr>
            </w:pPr>
            <w:r>
              <w:t>Tiempo de</w:t>
            </w:r>
          </w:p>
          <w:p w14:paraId="199AD9E0" w14:textId="77777777" w:rsidR="00165AC9" w:rsidRPr="00975B39" w:rsidRDefault="00165AC9" w:rsidP="00B5395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Times New Roman"/>
              </w:rPr>
            </w:pPr>
            <w:r>
              <w:t>Entrega</w:t>
            </w:r>
          </w:p>
        </w:tc>
      </w:tr>
      <w:tr w:rsidR="00165AC9" w:rsidRPr="00975B39" w14:paraId="12E358CC" w14:textId="77777777" w:rsidTr="00B5395B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2C8755C0" w14:textId="77777777" w:rsidR="00165AC9" w:rsidRPr="00975B39" w:rsidRDefault="00165AC9" w:rsidP="00B5395B">
            <w:pPr>
              <w:pStyle w:val="Sinespaciado"/>
              <w:rPr>
                <w:rFonts w:ascii="Aptos" w:eastAsia="Aptos" w:hAnsi="Aptos" w:cs="Times New Roman"/>
              </w:rPr>
            </w:pPr>
            <w:r>
              <w:t>Servicios</w:t>
            </w:r>
          </w:p>
          <w:p w14:paraId="5EF16251" w14:textId="77777777" w:rsidR="00165AC9" w:rsidRPr="00975B39" w:rsidRDefault="00165AC9" w:rsidP="00B5395B">
            <w:pPr>
              <w:pStyle w:val="Sinespaciado"/>
              <w:rPr>
                <w:rFonts w:ascii="Aptos" w:eastAsia="Aptos" w:hAnsi="Aptos" w:cs="Times New Roman"/>
              </w:rPr>
            </w:pPr>
            <w:r>
              <w:t>Contratados</w:t>
            </w:r>
          </w:p>
        </w:tc>
        <w:tc>
          <w:tcPr>
            <w:tcW w:w="2590" w:type="dxa"/>
          </w:tcPr>
          <w:p w14:paraId="6D55A6C6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Times New Roman"/>
              </w:rPr>
            </w:pPr>
            <w:r>
              <w:t>Servicios ambientales especializados ejecutados</w:t>
            </w:r>
          </w:p>
        </w:tc>
        <w:tc>
          <w:tcPr>
            <w:tcW w:w="1711" w:type="dxa"/>
          </w:tcPr>
          <w:p w14:paraId="09EBE29C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Times New Roman"/>
              </w:rPr>
            </w:pPr>
            <w:r>
              <w:t>Direcciones</w:t>
            </w:r>
          </w:p>
          <w:p w14:paraId="396124B5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Times New Roman"/>
              </w:rPr>
            </w:pPr>
            <w:r>
              <w:t>Generales</w:t>
            </w:r>
          </w:p>
        </w:tc>
        <w:tc>
          <w:tcPr>
            <w:tcW w:w="1873" w:type="dxa"/>
          </w:tcPr>
          <w:p w14:paraId="5ECA09C5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Times New Roman"/>
              </w:rPr>
            </w:pPr>
            <w:r>
              <w:t>Entregables según contrato</w:t>
            </w:r>
          </w:p>
        </w:tc>
        <w:tc>
          <w:tcPr>
            <w:tcW w:w="1651" w:type="dxa"/>
          </w:tcPr>
          <w:p w14:paraId="07E5B87D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Times New Roman"/>
              </w:rPr>
            </w:pPr>
            <w:r>
              <w:t>Según cronograma</w:t>
            </w:r>
          </w:p>
        </w:tc>
      </w:tr>
      <w:tr w:rsidR="00165AC9" w:rsidRPr="00975B39" w14:paraId="4CDCEF7C" w14:textId="77777777" w:rsidTr="00B5395B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36D2453B" w14:textId="77777777" w:rsidR="00165AC9" w:rsidRPr="00975B39" w:rsidRDefault="00165AC9" w:rsidP="00B5395B">
            <w:pPr>
              <w:pStyle w:val="Sinespaciado"/>
              <w:rPr>
                <w:rFonts w:ascii="Aptos" w:eastAsia="Aptos" w:hAnsi="Aptos" w:cs="Times New Roman"/>
              </w:rPr>
            </w:pPr>
            <w:r>
              <w:t>Ingresos por</w:t>
            </w:r>
          </w:p>
          <w:p w14:paraId="3BB6A7F9" w14:textId="77777777" w:rsidR="00165AC9" w:rsidRPr="00975B39" w:rsidRDefault="00165AC9" w:rsidP="00B5395B">
            <w:pPr>
              <w:pStyle w:val="Sinespaciado"/>
              <w:rPr>
                <w:rFonts w:ascii="Aptos" w:eastAsia="Aptos" w:hAnsi="Aptos" w:cs="Times New Roman"/>
              </w:rPr>
            </w:pPr>
            <w:r>
              <w:t>Servicios</w:t>
            </w:r>
          </w:p>
        </w:tc>
        <w:tc>
          <w:tcPr>
            <w:tcW w:w="2590" w:type="dxa"/>
          </w:tcPr>
          <w:p w14:paraId="6956D67E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Times New Roman"/>
              </w:rPr>
            </w:pPr>
            <w:r>
              <w:t>Recursos financieros generados por servicios</w:t>
            </w:r>
          </w:p>
          <w:p w14:paraId="436F9436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Times New Roman"/>
              </w:rPr>
            </w:pPr>
            <w:r>
              <w:t>del MARN</w:t>
            </w:r>
          </w:p>
        </w:tc>
        <w:tc>
          <w:tcPr>
            <w:tcW w:w="1711" w:type="dxa"/>
          </w:tcPr>
          <w:p w14:paraId="2A95BFCC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Times New Roman"/>
              </w:rPr>
            </w:pPr>
            <w:r>
              <w:t>Tesorería</w:t>
            </w:r>
          </w:p>
          <w:p w14:paraId="4DEBC954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Times New Roman"/>
              </w:rPr>
            </w:pPr>
            <w:r>
              <w:t>Nacional</w:t>
            </w:r>
          </w:p>
        </w:tc>
        <w:tc>
          <w:tcPr>
            <w:tcW w:w="1873" w:type="dxa"/>
          </w:tcPr>
          <w:p w14:paraId="69977BA5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Times New Roman"/>
              </w:rPr>
            </w:pPr>
            <w:r>
              <w:t>Transferencias bancarias</w:t>
            </w:r>
          </w:p>
        </w:tc>
        <w:tc>
          <w:tcPr>
            <w:tcW w:w="1651" w:type="dxa"/>
          </w:tcPr>
          <w:p w14:paraId="736F6ADD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Times New Roman"/>
              </w:rPr>
            </w:pPr>
            <w:r>
              <w:t>Según</w:t>
            </w:r>
          </w:p>
          <w:p w14:paraId="14639F24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Times New Roman"/>
              </w:rPr>
            </w:pPr>
            <w:r>
              <w:t>facturación</w:t>
            </w:r>
          </w:p>
        </w:tc>
      </w:tr>
      <w:tr w:rsidR="00165AC9" w:rsidRPr="00975B39" w14:paraId="58EF26D7" w14:textId="77777777" w:rsidTr="00B5395B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2DC45DB" w14:textId="77777777" w:rsidR="00165AC9" w:rsidRPr="00975B39" w:rsidRDefault="00165AC9" w:rsidP="00B5395B">
            <w:pPr>
              <w:pStyle w:val="Sinespaciado"/>
              <w:rPr>
                <w:rFonts w:ascii="Aptos" w:eastAsia="Aptos" w:hAnsi="Aptos" w:cs="Times New Roman"/>
              </w:rPr>
            </w:pPr>
            <w:r>
              <w:t>Informes de</w:t>
            </w:r>
          </w:p>
          <w:p w14:paraId="6770CC48" w14:textId="77777777" w:rsidR="00165AC9" w:rsidRPr="00975B39" w:rsidRDefault="00165AC9" w:rsidP="00B5395B">
            <w:pPr>
              <w:pStyle w:val="Sinespaciado"/>
              <w:rPr>
                <w:rFonts w:ascii="Aptos" w:eastAsia="Aptos" w:hAnsi="Aptos" w:cs="Times New Roman"/>
              </w:rPr>
            </w:pPr>
            <w:r>
              <w:t>Gestión</w:t>
            </w:r>
          </w:p>
        </w:tc>
        <w:tc>
          <w:tcPr>
            <w:tcW w:w="2590" w:type="dxa"/>
          </w:tcPr>
          <w:p w14:paraId="6D59CB4F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Times New Roman"/>
              </w:rPr>
            </w:pPr>
            <w:r>
              <w:t>Reportes de cumplimiento y desempeño</w:t>
            </w:r>
          </w:p>
        </w:tc>
        <w:tc>
          <w:tcPr>
            <w:tcW w:w="1711" w:type="dxa"/>
          </w:tcPr>
          <w:p w14:paraId="28D977C8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Times New Roman"/>
              </w:rPr>
            </w:pPr>
            <w:r>
              <w:t>Dirección</w:t>
            </w:r>
          </w:p>
          <w:p w14:paraId="39D504A8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Times New Roman"/>
              </w:rPr>
            </w:pPr>
            <w:r>
              <w:t>General, UNAC</w:t>
            </w:r>
          </w:p>
        </w:tc>
        <w:tc>
          <w:tcPr>
            <w:tcW w:w="1873" w:type="dxa"/>
          </w:tcPr>
          <w:p w14:paraId="3C206212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Times New Roman"/>
              </w:rPr>
            </w:pPr>
            <w:r>
              <w:t>Informe ejecutivo</w:t>
            </w:r>
          </w:p>
        </w:tc>
        <w:tc>
          <w:tcPr>
            <w:tcW w:w="1651" w:type="dxa"/>
          </w:tcPr>
          <w:p w14:paraId="415F197E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Times New Roman"/>
              </w:rPr>
            </w:pPr>
            <w:r>
              <w:t>Mensual/</w:t>
            </w:r>
          </w:p>
          <w:p w14:paraId="7861BF27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Times New Roman"/>
              </w:rPr>
            </w:pPr>
            <w:r>
              <w:t>Trimestral</w:t>
            </w:r>
          </w:p>
        </w:tc>
      </w:tr>
      <w:tr w:rsidR="00165AC9" w:rsidRPr="00975B39" w14:paraId="01866562" w14:textId="77777777" w:rsidTr="00B5395B">
        <w:trPr>
          <w:trHeight w:val="1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9B1E0B1" w14:textId="77777777" w:rsidR="00165AC9" w:rsidRPr="00975B39" w:rsidRDefault="00165AC9" w:rsidP="00B5395B">
            <w:pPr>
              <w:pStyle w:val="Sinespaciado"/>
              <w:rPr>
                <w:rFonts w:ascii="Aptos" w:eastAsia="Aptos" w:hAnsi="Aptos" w:cs="Times New Roman"/>
              </w:rPr>
            </w:pPr>
            <w:r>
              <w:t>Base de Datos</w:t>
            </w:r>
          </w:p>
          <w:p w14:paraId="6805D74A" w14:textId="77777777" w:rsidR="00165AC9" w:rsidRPr="00975B39" w:rsidRDefault="00165AC9" w:rsidP="00B5395B">
            <w:pPr>
              <w:pStyle w:val="Sinespaciado"/>
              <w:rPr>
                <w:rFonts w:ascii="Aptos" w:eastAsia="Aptos" w:hAnsi="Aptos" w:cs="Times New Roman"/>
              </w:rPr>
            </w:pPr>
            <w:r>
              <w:t>Actualizada</w:t>
            </w:r>
          </w:p>
        </w:tc>
        <w:tc>
          <w:tcPr>
            <w:tcW w:w="2590" w:type="dxa"/>
          </w:tcPr>
          <w:p w14:paraId="43212ECA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Times New Roman"/>
              </w:rPr>
            </w:pPr>
            <w:r>
              <w:t>Registro actualizado de proveedores y prestadores</w:t>
            </w:r>
          </w:p>
        </w:tc>
        <w:tc>
          <w:tcPr>
            <w:tcW w:w="1711" w:type="dxa"/>
          </w:tcPr>
          <w:p w14:paraId="6B0CCD5A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Times New Roman"/>
              </w:rPr>
            </w:pPr>
            <w:r>
              <w:t>Sistema</w:t>
            </w:r>
          </w:p>
          <w:p w14:paraId="652EEAF5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Times New Roman"/>
              </w:rPr>
            </w:pPr>
            <w:r>
              <w:t>institucional</w:t>
            </w:r>
          </w:p>
        </w:tc>
        <w:tc>
          <w:tcPr>
            <w:tcW w:w="1873" w:type="dxa"/>
          </w:tcPr>
          <w:p w14:paraId="53F89D2F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Times New Roman"/>
              </w:rPr>
            </w:pPr>
            <w:r>
              <w:t>Base de datos</w:t>
            </w:r>
          </w:p>
        </w:tc>
        <w:tc>
          <w:tcPr>
            <w:tcW w:w="1651" w:type="dxa"/>
          </w:tcPr>
          <w:p w14:paraId="03B2E84C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Times New Roman"/>
              </w:rPr>
            </w:pPr>
            <w:r>
              <w:t>Actualización continua</w:t>
            </w:r>
          </w:p>
        </w:tc>
      </w:tr>
      <w:tr w:rsidR="00165AC9" w:rsidRPr="00975B39" w14:paraId="5B3D7CCA" w14:textId="77777777" w:rsidTr="00B5395B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BEC15CE" w14:textId="77777777" w:rsidR="00165AC9" w:rsidRPr="00975B39" w:rsidRDefault="00165AC9" w:rsidP="00B5395B">
            <w:pPr>
              <w:pStyle w:val="Sinespaciado"/>
              <w:rPr>
                <w:rFonts w:ascii="Aptos" w:eastAsia="Aptos" w:hAnsi="Aptos" w:cs="Times New Roman"/>
              </w:rPr>
            </w:pPr>
            <w:r>
              <w:t>Expedientes</w:t>
            </w:r>
          </w:p>
          <w:p w14:paraId="4B0D31F7" w14:textId="77777777" w:rsidR="00165AC9" w:rsidRPr="00975B39" w:rsidRDefault="00165AC9" w:rsidP="00B5395B">
            <w:pPr>
              <w:pStyle w:val="Sinespaciado"/>
              <w:rPr>
                <w:rFonts w:ascii="Aptos" w:eastAsia="Aptos" w:hAnsi="Aptos" w:cs="Times New Roman"/>
              </w:rPr>
            </w:pPr>
            <w:r>
              <w:t>Cerrados</w:t>
            </w:r>
          </w:p>
        </w:tc>
        <w:tc>
          <w:tcPr>
            <w:tcW w:w="2590" w:type="dxa"/>
          </w:tcPr>
          <w:p w14:paraId="5442A390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Times New Roman"/>
              </w:rPr>
            </w:pPr>
            <w:r>
              <w:t>Procesos completados con documentación final</w:t>
            </w:r>
          </w:p>
        </w:tc>
        <w:tc>
          <w:tcPr>
            <w:tcW w:w="1711" w:type="dxa"/>
          </w:tcPr>
          <w:p w14:paraId="1B89B0C5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Times New Roman"/>
              </w:rPr>
            </w:pPr>
            <w:r>
              <w:t>Archivo institucional</w:t>
            </w:r>
          </w:p>
        </w:tc>
        <w:tc>
          <w:tcPr>
            <w:tcW w:w="1873" w:type="dxa"/>
          </w:tcPr>
          <w:p w14:paraId="0C4F26CC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Times New Roman"/>
              </w:rPr>
            </w:pPr>
            <w:r>
              <w:t>Expediente físico/ digital</w:t>
            </w:r>
          </w:p>
        </w:tc>
        <w:tc>
          <w:tcPr>
            <w:tcW w:w="1651" w:type="dxa"/>
          </w:tcPr>
          <w:p w14:paraId="5390208C" w14:textId="77777777" w:rsidR="00165AC9" w:rsidRPr="00975B39" w:rsidRDefault="00165AC9" w:rsidP="00B539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Times New Roman"/>
              </w:rPr>
            </w:pPr>
            <w:r>
              <w:t>Al cierre del proceso</w:t>
            </w:r>
          </w:p>
        </w:tc>
      </w:tr>
    </w:tbl>
    <w:p w14:paraId="60E93ABB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203" w:name="_Toc200489509"/>
      <w:bookmarkStart w:id="204" w:name="_Toc200495269"/>
      <w:bookmarkStart w:id="205" w:name="_Toc200620198"/>
      <w:bookmarkStart w:id="206" w:name="_Toc200620600"/>
      <w:r w:rsidRPr="73868B68">
        <w:rPr>
          <w:rFonts w:eastAsia="Aptos" w:cs="Times New Roman"/>
          <w:b/>
          <w:bCs/>
          <w:sz w:val="28"/>
          <w:szCs w:val="28"/>
        </w:rPr>
        <w:t>6.4. Documentos de Soporte</w:t>
      </w:r>
      <w:bookmarkEnd w:id="203"/>
      <w:bookmarkEnd w:id="204"/>
      <w:bookmarkEnd w:id="205"/>
      <w:bookmarkEnd w:id="206"/>
    </w:p>
    <w:p w14:paraId="6E7F009B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207" w:name="_Toc200489510"/>
      <w:bookmarkStart w:id="208" w:name="_Toc200495270"/>
      <w:bookmarkStart w:id="209" w:name="_Toc200620199"/>
      <w:bookmarkStart w:id="210" w:name="_Toc200620601"/>
      <w:r w:rsidRPr="73868B68">
        <w:rPr>
          <w:rFonts w:eastAsia="Aptos" w:cs="Times New Roman"/>
          <w:b/>
          <w:bCs/>
          <w:sz w:val="28"/>
          <w:szCs w:val="28"/>
        </w:rPr>
        <w:t>6.4.1. Documentos Técnicos</w:t>
      </w:r>
      <w:bookmarkEnd w:id="207"/>
      <w:bookmarkEnd w:id="208"/>
      <w:bookmarkEnd w:id="209"/>
      <w:bookmarkEnd w:id="210"/>
    </w:p>
    <w:p w14:paraId="194730FF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Manual de Elaboración de TDR para Servicios Ambientales</w:t>
      </w:r>
    </w:p>
    <w:p w14:paraId="5B2F75AF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lastRenderedPageBreak/>
        <w:t>◦ Guía metodológica para definición de alcances</w:t>
      </w:r>
    </w:p>
    <w:p w14:paraId="46C2AC9D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Plantillas estándar por tipo de servicio</w:t>
      </w:r>
    </w:p>
    <w:p w14:paraId="3564EE69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Criterios de evaluación técnica</w:t>
      </w:r>
    </w:p>
    <w:p w14:paraId="7C1AF0C8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Catálogo de Servicios Ambientales del MARN</w:t>
      </w:r>
    </w:p>
    <w:p w14:paraId="3094232A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Descripción detallada de servicios ofrecidos</w:t>
      </w:r>
    </w:p>
    <w:p w14:paraId="3E15DB7F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Tarifario oficial actualizado</w:t>
      </w:r>
    </w:p>
    <w:p w14:paraId="67927DC9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Procedimientos de solicitud</w:t>
      </w:r>
    </w:p>
    <w:p w14:paraId="79F08260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Guía de Certificación ISO 17024 para Prestadores</w:t>
      </w:r>
    </w:p>
    <w:p w14:paraId="1AC68E78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Requisitos de competencia profesional</w:t>
      </w:r>
    </w:p>
    <w:p w14:paraId="4E545328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Proceso de certificación y renovación</w:t>
      </w:r>
    </w:p>
    <w:p w14:paraId="1406FCE7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Criterios de evaluación continua</w:t>
      </w:r>
    </w:p>
    <w:p w14:paraId="6B20D573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211" w:name="_Toc200489511"/>
      <w:bookmarkStart w:id="212" w:name="_Toc200495271"/>
      <w:bookmarkStart w:id="213" w:name="_Toc200620200"/>
      <w:bookmarkStart w:id="214" w:name="_Toc200620602"/>
      <w:r w:rsidRPr="73868B68">
        <w:rPr>
          <w:rFonts w:eastAsia="Aptos" w:cs="Times New Roman"/>
          <w:b/>
          <w:bCs/>
          <w:sz w:val="28"/>
          <w:szCs w:val="28"/>
        </w:rPr>
        <w:t>6.4.2. Documentos Legales</w:t>
      </w:r>
      <w:bookmarkEnd w:id="211"/>
      <w:bookmarkEnd w:id="212"/>
      <w:bookmarkEnd w:id="213"/>
      <w:bookmarkEnd w:id="214"/>
    </w:p>
    <w:p w14:paraId="65A98B12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Modelo de Contrato para Servicios Ambientales</w:t>
      </w:r>
    </w:p>
    <w:p w14:paraId="344919C4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Clausulado estándar</w:t>
      </w:r>
    </w:p>
    <w:p w14:paraId="736E4114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Condiciones generales y específicas</w:t>
      </w:r>
    </w:p>
    <w:p w14:paraId="67C3840A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Garantías y penalidades</w:t>
      </w:r>
    </w:p>
    <w:p w14:paraId="52AD6380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Procedimiento de Recursos Administrativos</w:t>
      </w:r>
    </w:p>
    <w:p w14:paraId="60CF069B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Plazos y requisitos para interposición</w:t>
      </w:r>
    </w:p>
    <w:p w14:paraId="013D51BD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lastRenderedPageBreak/>
        <w:t>◦ Autoridades competentes</w:t>
      </w:r>
    </w:p>
    <w:p w14:paraId="28756294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Procedimiento de resolución</w:t>
      </w:r>
    </w:p>
    <w:p w14:paraId="3A5393F8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215" w:name="_Toc200489512"/>
      <w:bookmarkStart w:id="216" w:name="_Toc200495272"/>
      <w:bookmarkStart w:id="217" w:name="_Toc200620201"/>
      <w:bookmarkStart w:id="218" w:name="_Toc200620603"/>
      <w:r w:rsidRPr="73868B68">
        <w:rPr>
          <w:rFonts w:eastAsia="Aptos" w:cs="Times New Roman"/>
          <w:b/>
          <w:bCs/>
          <w:sz w:val="28"/>
          <w:szCs w:val="28"/>
        </w:rPr>
        <w:t>6.4.3. Formularios y Plantillas</w:t>
      </w:r>
      <w:bookmarkEnd w:id="215"/>
      <w:bookmarkEnd w:id="216"/>
      <w:bookmarkEnd w:id="217"/>
      <w:bookmarkEnd w:id="218"/>
    </w:p>
    <w:p w14:paraId="33606C05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Formulario de Registro de Prestadores</w:t>
      </w:r>
    </w:p>
    <w:p w14:paraId="151CD296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Datos generales y específicos</w:t>
      </w:r>
    </w:p>
    <w:p w14:paraId="0DC78502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Documentación requerida</w:t>
      </w:r>
    </w:p>
    <w:p w14:paraId="3A466043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Declaraciones juradas</w:t>
      </w:r>
    </w:p>
    <w:p w14:paraId="38E7CF92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Plantilla de Evaluación Técnica</w:t>
      </w:r>
    </w:p>
    <w:p w14:paraId="3012D6BA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Criterios de calificación</w:t>
      </w:r>
    </w:p>
    <w:p w14:paraId="5DC46A5F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Escalas de puntuación</w:t>
      </w:r>
    </w:p>
    <w:p w14:paraId="53319F51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Matrices de decisión</w:t>
      </w:r>
    </w:p>
    <w:p w14:paraId="31B9DA57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Formato de Facturación de Servicios</w:t>
      </w:r>
    </w:p>
    <w:p w14:paraId="41FA155F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Datos del cliente</w:t>
      </w:r>
    </w:p>
    <w:p w14:paraId="3212A837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Detalle de servicios</w:t>
      </w:r>
    </w:p>
    <w:p w14:paraId="10CC237F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Cálculo de tarifas</w:t>
      </w:r>
    </w:p>
    <w:p w14:paraId="027A66A1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219" w:name="_Toc200489513"/>
      <w:bookmarkStart w:id="220" w:name="_Toc200495273"/>
      <w:bookmarkStart w:id="221" w:name="_Toc200620202"/>
      <w:bookmarkStart w:id="222" w:name="_Toc200620604"/>
      <w:r w:rsidRPr="73868B68">
        <w:rPr>
          <w:rFonts w:eastAsia="Aptos" w:cs="Times New Roman"/>
          <w:b/>
          <w:bCs/>
          <w:sz w:val="28"/>
          <w:szCs w:val="28"/>
        </w:rPr>
        <w:t>7. MARCO LEGAL Y REGULATORIO</w:t>
      </w:r>
      <w:bookmarkEnd w:id="219"/>
      <w:bookmarkEnd w:id="220"/>
      <w:bookmarkEnd w:id="221"/>
      <w:bookmarkEnd w:id="222"/>
    </w:p>
    <w:p w14:paraId="2CBFD767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223" w:name="_Toc200489514"/>
      <w:bookmarkStart w:id="224" w:name="_Toc200495274"/>
      <w:bookmarkStart w:id="225" w:name="_Toc200620203"/>
      <w:bookmarkStart w:id="226" w:name="_Toc200620605"/>
      <w:r w:rsidRPr="73868B68">
        <w:rPr>
          <w:rFonts w:eastAsia="Aptos" w:cs="Times New Roman"/>
          <w:b/>
          <w:bCs/>
          <w:sz w:val="28"/>
          <w:szCs w:val="28"/>
        </w:rPr>
        <w:t>7.1. Ley LACAP y su Aplicación</w:t>
      </w:r>
      <w:bookmarkEnd w:id="223"/>
      <w:bookmarkEnd w:id="224"/>
      <w:bookmarkEnd w:id="225"/>
      <w:bookmarkEnd w:id="226"/>
    </w:p>
    <w:p w14:paraId="56B744A3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227" w:name="_Toc200489515"/>
      <w:bookmarkStart w:id="228" w:name="_Toc200495275"/>
      <w:bookmarkStart w:id="229" w:name="_Toc200620204"/>
      <w:bookmarkStart w:id="230" w:name="_Toc200620606"/>
      <w:r w:rsidRPr="73868B68">
        <w:rPr>
          <w:rFonts w:eastAsia="Aptos" w:cs="Times New Roman"/>
          <w:b/>
          <w:bCs/>
          <w:sz w:val="28"/>
          <w:szCs w:val="28"/>
        </w:rPr>
        <w:t>7.1.1. Principios Fundamentales</w:t>
      </w:r>
      <w:bookmarkEnd w:id="227"/>
      <w:bookmarkEnd w:id="228"/>
      <w:bookmarkEnd w:id="229"/>
      <w:bookmarkEnd w:id="230"/>
    </w:p>
    <w:p w14:paraId="4FD1173A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lastRenderedPageBreak/>
        <w:t xml:space="preserve">La </w:t>
      </w:r>
      <w:r w:rsidRPr="73868B68">
        <w:rPr>
          <w:rFonts w:eastAsia="Aptos" w:cs="Times New Roman"/>
          <w:b/>
          <w:bCs/>
        </w:rPr>
        <w:t>Ley de Adquisiciones y Contrataciones de la Administración Pública (LACAP)</w:t>
      </w:r>
      <w:r w:rsidRPr="73868B68">
        <w:rPr>
          <w:rFonts w:eastAsia="Aptos" w:cs="Times New Roman"/>
        </w:rPr>
        <w:t>, Decreto Legislativo No. 652 del 12 de abril de 2011, establece los principios rectores que rigen todos los procesos de contratación del MARN:</w:t>
      </w:r>
    </w:p>
    <w:p w14:paraId="2374E922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Principios LACAP aplicables:</w:t>
      </w:r>
    </w:p>
    <w:p w14:paraId="572087C1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No discriminación:</w:t>
      </w:r>
      <w:r w:rsidRPr="73868B68">
        <w:rPr>
          <w:rFonts w:eastAsia="Aptos" w:cs="Times New Roman"/>
        </w:rPr>
        <w:t xml:space="preserve"> Igualdad de oportunidades para todos los oferentes</w:t>
      </w:r>
    </w:p>
    <w:p w14:paraId="1604DF1E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Publicidad:</w:t>
      </w:r>
      <w:r w:rsidRPr="73868B68">
        <w:rPr>
          <w:rFonts w:eastAsia="Aptos" w:cs="Times New Roman"/>
        </w:rPr>
        <w:t xml:space="preserve"> Transparencia en convocatorias y procesos</w:t>
      </w:r>
    </w:p>
    <w:p w14:paraId="53F039DE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Libre competencia:</w:t>
      </w:r>
      <w:r w:rsidRPr="73868B68">
        <w:rPr>
          <w:rFonts w:eastAsia="Aptos" w:cs="Times New Roman"/>
        </w:rPr>
        <w:t xml:space="preserve"> Participación abierta de oferentes calificados</w:t>
      </w:r>
    </w:p>
    <w:p w14:paraId="41E8EDCA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Igualdad:</w:t>
      </w:r>
      <w:r w:rsidRPr="73868B68">
        <w:rPr>
          <w:rFonts w:eastAsia="Aptos" w:cs="Times New Roman"/>
        </w:rPr>
        <w:t xml:space="preserve"> Tratamiento equitativo a todos los participantes</w:t>
      </w:r>
    </w:p>
    <w:p w14:paraId="1FF726B1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Ética:</w:t>
      </w:r>
      <w:r w:rsidRPr="73868B68">
        <w:rPr>
          <w:rFonts w:eastAsia="Aptos" w:cs="Times New Roman"/>
        </w:rPr>
        <w:t xml:space="preserve"> Conducta íntegra de funcionarios y participantes</w:t>
      </w:r>
    </w:p>
    <w:p w14:paraId="679412A4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Transparencia:</w:t>
      </w:r>
      <w:r w:rsidRPr="73868B68">
        <w:rPr>
          <w:rFonts w:eastAsia="Aptos" w:cs="Times New Roman"/>
        </w:rPr>
        <w:t xml:space="preserve"> Acceso a información pública del proceso</w:t>
      </w:r>
    </w:p>
    <w:p w14:paraId="369BFC37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Imparcialidad:</w:t>
      </w:r>
      <w:r w:rsidRPr="73868B68">
        <w:rPr>
          <w:rFonts w:eastAsia="Aptos" w:cs="Times New Roman"/>
        </w:rPr>
        <w:t xml:space="preserve"> Evaluación objetiva sin favoritismos</w:t>
      </w:r>
    </w:p>
    <w:p w14:paraId="19278D45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Probidad:</w:t>
      </w:r>
      <w:r w:rsidRPr="73868B68">
        <w:rPr>
          <w:rFonts w:eastAsia="Aptos" w:cs="Times New Roman"/>
        </w:rPr>
        <w:t xml:space="preserve"> Honradez y rectitud en todas las actuaciones</w:t>
      </w:r>
    </w:p>
    <w:p w14:paraId="1D6347E4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231" w:name="_Toc200489516"/>
      <w:bookmarkStart w:id="232" w:name="_Toc200495276"/>
      <w:bookmarkStart w:id="233" w:name="_Toc200620205"/>
      <w:bookmarkStart w:id="234" w:name="_Toc200620607"/>
      <w:r w:rsidRPr="73868B68">
        <w:rPr>
          <w:rFonts w:eastAsia="Aptos" w:cs="Times New Roman"/>
          <w:b/>
          <w:bCs/>
          <w:sz w:val="28"/>
          <w:szCs w:val="28"/>
        </w:rPr>
        <w:t>7.1.2. Modalidades de Contratación Aplicables</w:t>
      </w:r>
      <w:bookmarkEnd w:id="231"/>
      <w:bookmarkEnd w:id="232"/>
      <w:bookmarkEnd w:id="233"/>
      <w:bookmarkEnd w:id="234"/>
    </w:p>
    <w:tbl>
      <w:tblPr>
        <w:tblStyle w:val="Tablaconcuadrcula1clara-nfasis41"/>
        <w:tblW w:w="9623" w:type="dxa"/>
        <w:tblLook w:val="04A0" w:firstRow="1" w:lastRow="0" w:firstColumn="1" w:lastColumn="0" w:noHBand="0" w:noVBand="1"/>
      </w:tblPr>
      <w:tblGrid>
        <w:gridCol w:w="2292"/>
        <w:gridCol w:w="1760"/>
        <w:gridCol w:w="4114"/>
        <w:gridCol w:w="1457"/>
      </w:tblGrid>
      <w:tr w:rsidR="00165AC9" w:rsidRPr="00975B39" w14:paraId="6F5019C7" w14:textId="77777777" w:rsidTr="00B53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04C9B5AC" w14:textId="77777777" w:rsidR="00165AC9" w:rsidRPr="00975B39" w:rsidRDefault="00165AC9" w:rsidP="00B5395B">
            <w:pPr>
              <w:spacing w:line="480" w:lineRule="auto"/>
              <w:ind w:firstLine="0"/>
              <w:rPr>
                <w:rFonts w:eastAsia="Aptos" w:cs="Times New Roman"/>
              </w:rPr>
            </w:pPr>
            <w:r w:rsidRPr="73868B68">
              <w:rPr>
                <w:rFonts w:eastAsia="Calibri" w:cs="Times New Roman"/>
                <w:color w:val="FFFFFF" w:themeColor="background1"/>
                <w:sz w:val="20"/>
                <w:szCs w:val="20"/>
              </w:rPr>
              <w:t>Modalidad</w:t>
            </w:r>
          </w:p>
        </w:tc>
        <w:tc>
          <w:tcPr>
            <w:tcW w:w="1760" w:type="dxa"/>
          </w:tcPr>
          <w:p w14:paraId="494B31AB" w14:textId="77777777" w:rsidR="00165AC9" w:rsidRPr="00975B39" w:rsidRDefault="00165AC9" w:rsidP="00B5395B">
            <w:pPr>
              <w:spacing w:line="48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Times New Roman"/>
              </w:rPr>
            </w:pPr>
            <w:r w:rsidRPr="73868B68">
              <w:rPr>
                <w:rFonts w:eastAsia="Calibri" w:cs="Times New Roman"/>
                <w:color w:val="FFFFFF" w:themeColor="background1"/>
                <w:sz w:val="20"/>
                <w:szCs w:val="20"/>
              </w:rPr>
              <w:t>Monto (USD)</w:t>
            </w:r>
          </w:p>
        </w:tc>
        <w:tc>
          <w:tcPr>
            <w:tcW w:w="4115" w:type="dxa"/>
          </w:tcPr>
          <w:p w14:paraId="64BD5113" w14:textId="77777777" w:rsidR="00165AC9" w:rsidRPr="00975B39" w:rsidRDefault="00165AC9" w:rsidP="00B5395B">
            <w:pPr>
              <w:spacing w:line="48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Times New Roman"/>
              </w:rPr>
            </w:pPr>
            <w:r w:rsidRPr="73868B68">
              <w:rPr>
                <w:rFonts w:eastAsia="Calibri" w:cs="Times New Roman"/>
                <w:color w:val="FFFFFF" w:themeColor="background1"/>
                <w:sz w:val="20"/>
                <w:szCs w:val="20"/>
              </w:rPr>
              <w:t>Aplicación en MARN</w:t>
            </w:r>
          </w:p>
        </w:tc>
        <w:tc>
          <w:tcPr>
            <w:tcW w:w="1457" w:type="dxa"/>
          </w:tcPr>
          <w:p w14:paraId="4DDC2B94" w14:textId="77777777" w:rsidR="00165AC9" w:rsidRPr="00975B39" w:rsidRDefault="00165AC9" w:rsidP="00B5395B">
            <w:pPr>
              <w:spacing w:after="56" w:line="48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Times New Roman"/>
              </w:rPr>
            </w:pPr>
            <w:r w:rsidRPr="73868B68">
              <w:rPr>
                <w:rFonts w:eastAsia="Calibri" w:cs="Times New Roman"/>
                <w:color w:val="FFFFFF" w:themeColor="background1"/>
                <w:sz w:val="20"/>
                <w:szCs w:val="20"/>
              </w:rPr>
              <w:t>Plazo</w:t>
            </w:r>
          </w:p>
          <w:p w14:paraId="1280B944" w14:textId="77777777" w:rsidR="00165AC9" w:rsidRPr="00975B39" w:rsidRDefault="00165AC9" w:rsidP="00B5395B">
            <w:pPr>
              <w:spacing w:line="48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Times New Roman"/>
              </w:rPr>
            </w:pPr>
            <w:r w:rsidRPr="73868B68">
              <w:rPr>
                <w:rFonts w:eastAsia="Calibri" w:cs="Times New Roman"/>
                <w:color w:val="FFFFFF" w:themeColor="background1"/>
                <w:sz w:val="20"/>
                <w:szCs w:val="20"/>
              </w:rPr>
              <w:t>Mínimo</w:t>
            </w:r>
          </w:p>
        </w:tc>
      </w:tr>
      <w:tr w:rsidR="00165AC9" w:rsidRPr="00975B39" w14:paraId="40590E02" w14:textId="77777777" w:rsidTr="00B5395B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6EF9CA58" w14:textId="77777777" w:rsidR="00165AC9" w:rsidRPr="00975B39" w:rsidRDefault="00165AC9" w:rsidP="00B5395B">
            <w:pPr>
              <w:spacing w:line="480" w:lineRule="auto"/>
              <w:ind w:firstLine="0"/>
              <w:rPr>
                <w:rFonts w:eastAsia="Aptos" w:cs="Times New Roman"/>
              </w:rPr>
            </w:pPr>
            <w:r w:rsidRPr="73868B68">
              <w:rPr>
                <w:rFonts w:eastAsia="Calibri" w:cs="Times New Roman"/>
                <w:color w:val="333333"/>
                <w:sz w:val="20"/>
                <w:szCs w:val="20"/>
              </w:rPr>
              <w:t>Libre Gestión</w:t>
            </w:r>
          </w:p>
        </w:tc>
        <w:tc>
          <w:tcPr>
            <w:tcW w:w="1760" w:type="dxa"/>
          </w:tcPr>
          <w:p w14:paraId="7FD49743" w14:textId="77777777" w:rsidR="00165AC9" w:rsidRPr="00975B39" w:rsidRDefault="00165AC9" w:rsidP="00B5395B">
            <w:pPr>
              <w:spacing w:line="48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Times New Roman"/>
              </w:rPr>
            </w:pPr>
            <w:r w:rsidRPr="73868B68">
              <w:rPr>
                <w:rFonts w:eastAsia="Calibri" w:cs="Times New Roman"/>
                <w:color w:val="333333"/>
                <w:sz w:val="20"/>
                <w:szCs w:val="20"/>
              </w:rPr>
              <w:t>Hasta $1,000</w:t>
            </w:r>
          </w:p>
        </w:tc>
        <w:tc>
          <w:tcPr>
            <w:tcW w:w="4115" w:type="dxa"/>
          </w:tcPr>
          <w:p w14:paraId="19BBEAF1" w14:textId="77777777" w:rsidR="00165AC9" w:rsidRPr="00975B39" w:rsidRDefault="00165AC9" w:rsidP="00B5395B">
            <w:pPr>
              <w:spacing w:line="48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Times New Roman"/>
              </w:rPr>
            </w:pPr>
            <w:r w:rsidRPr="73868B68">
              <w:rPr>
                <w:rFonts w:eastAsia="Calibri" w:cs="Times New Roman"/>
                <w:color w:val="333333"/>
                <w:sz w:val="20"/>
                <w:szCs w:val="20"/>
              </w:rPr>
              <w:t>Servicios menores, insumos básicos</w:t>
            </w:r>
          </w:p>
        </w:tc>
        <w:tc>
          <w:tcPr>
            <w:tcW w:w="1457" w:type="dxa"/>
          </w:tcPr>
          <w:p w14:paraId="5930CDEE" w14:textId="77777777" w:rsidR="00165AC9" w:rsidRPr="00975B39" w:rsidRDefault="00165AC9" w:rsidP="00B5395B">
            <w:pPr>
              <w:spacing w:line="48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Times New Roman"/>
              </w:rPr>
            </w:pPr>
            <w:r w:rsidRPr="73868B68">
              <w:rPr>
                <w:rFonts w:eastAsia="Calibri" w:cs="Times New Roman"/>
                <w:color w:val="333333"/>
                <w:sz w:val="20"/>
                <w:szCs w:val="20"/>
              </w:rPr>
              <w:t>N/A</w:t>
            </w:r>
          </w:p>
        </w:tc>
      </w:tr>
      <w:tr w:rsidR="00165AC9" w:rsidRPr="00975B39" w14:paraId="6E66B735" w14:textId="77777777" w:rsidTr="00B5395B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337B47CE" w14:textId="77777777" w:rsidR="00165AC9" w:rsidRPr="00975B39" w:rsidRDefault="00165AC9" w:rsidP="00B5395B">
            <w:pPr>
              <w:spacing w:line="480" w:lineRule="auto"/>
              <w:ind w:firstLine="0"/>
              <w:rPr>
                <w:rFonts w:eastAsia="Aptos" w:cs="Times New Roman"/>
              </w:rPr>
            </w:pPr>
            <w:r w:rsidRPr="73868B68">
              <w:rPr>
                <w:rFonts w:eastAsia="Calibri" w:cs="Times New Roman"/>
                <w:color w:val="333333"/>
                <w:sz w:val="20"/>
                <w:szCs w:val="20"/>
              </w:rPr>
              <w:t>Cotización</w:t>
            </w:r>
          </w:p>
        </w:tc>
        <w:tc>
          <w:tcPr>
            <w:tcW w:w="1760" w:type="dxa"/>
          </w:tcPr>
          <w:p w14:paraId="1B7E84F4" w14:textId="77777777" w:rsidR="00165AC9" w:rsidRPr="00975B39" w:rsidRDefault="00165AC9" w:rsidP="00B5395B">
            <w:pPr>
              <w:spacing w:after="56" w:line="48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Times New Roman"/>
              </w:rPr>
            </w:pPr>
            <w:r w:rsidRPr="73868B68">
              <w:rPr>
                <w:rFonts w:eastAsia="Calibri" w:cs="Times New Roman"/>
                <w:color w:val="333333"/>
                <w:sz w:val="20"/>
                <w:szCs w:val="20"/>
              </w:rPr>
              <w:t>$1,001 -</w:t>
            </w:r>
          </w:p>
          <w:p w14:paraId="5FBF3352" w14:textId="77777777" w:rsidR="00165AC9" w:rsidRPr="00975B39" w:rsidRDefault="00165AC9" w:rsidP="00B5395B">
            <w:pPr>
              <w:spacing w:line="48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Times New Roman"/>
              </w:rPr>
            </w:pPr>
            <w:r w:rsidRPr="73868B68">
              <w:rPr>
                <w:rFonts w:eastAsia="Calibri" w:cs="Times New Roman"/>
                <w:color w:val="333333"/>
                <w:sz w:val="20"/>
                <w:szCs w:val="20"/>
              </w:rPr>
              <w:t>$10,000</w:t>
            </w:r>
          </w:p>
        </w:tc>
        <w:tc>
          <w:tcPr>
            <w:tcW w:w="4115" w:type="dxa"/>
          </w:tcPr>
          <w:p w14:paraId="4520B0D9" w14:textId="77777777" w:rsidR="00165AC9" w:rsidRPr="00975B39" w:rsidRDefault="00165AC9" w:rsidP="00B5395B">
            <w:pPr>
              <w:spacing w:line="48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Times New Roman"/>
              </w:rPr>
            </w:pPr>
            <w:r w:rsidRPr="73868B68">
              <w:rPr>
                <w:rFonts w:eastAsia="Calibri" w:cs="Times New Roman"/>
                <w:color w:val="333333"/>
                <w:sz w:val="20"/>
                <w:szCs w:val="20"/>
              </w:rPr>
              <w:t>Estudios puntuales, consultorías menores</w:t>
            </w:r>
          </w:p>
        </w:tc>
        <w:tc>
          <w:tcPr>
            <w:tcW w:w="1457" w:type="dxa"/>
          </w:tcPr>
          <w:p w14:paraId="122D496E" w14:textId="77777777" w:rsidR="00165AC9" w:rsidRPr="00975B39" w:rsidRDefault="00165AC9" w:rsidP="00B5395B">
            <w:pPr>
              <w:spacing w:line="48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Times New Roman"/>
              </w:rPr>
            </w:pPr>
            <w:r w:rsidRPr="73868B68">
              <w:rPr>
                <w:rFonts w:eastAsia="Calibri" w:cs="Times New Roman"/>
                <w:color w:val="333333"/>
                <w:sz w:val="20"/>
                <w:szCs w:val="20"/>
              </w:rPr>
              <w:t>5 días</w:t>
            </w:r>
          </w:p>
        </w:tc>
      </w:tr>
      <w:tr w:rsidR="00165AC9" w:rsidRPr="00975B39" w14:paraId="6A56A305" w14:textId="77777777" w:rsidTr="00B5395B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758F5992" w14:textId="77777777" w:rsidR="00165AC9" w:rsidRPr="00975B39" w:rsidRDefault="00165AC9" w:rsidP="00B5395B">
            <w:pPr>
              <w:spacing w:after="56" w:line="480" w:lineRule="auto"/>
              <w:ind w:firstLine="0"/>
              <w:rPr>
                <w:rFonts w:eastAsia="Aptos" w:cs="Times New Roman"/>
              </w:rPr>
            </w:pPr>
            <w:r w:rsidRPr="73868B68">
              <w:rPr>
                <w:rFonts w:eastAsia="Calibri" w:cs="Times New Roman"/>
                <w:color w:val="333333"/>
                <w:sz w:val="20"/>
                <w:szCs w:val="20"/>
              </w:rPr>
              <w:t>Licitación</w:t>
            </w:r>
          </w:p>
          <w:p w14:paraId="176C36D8" w14:textId="77777777" w:rsidR="00165AC9" w:rsidRPr="00975B39" w:rsidRDefault="00165AC9" w:rsidP="00B5395B">
            <w:pPr>
              <w:spacing w:line="480" w:lineRule="auto"/>
              <w:ind w:firstLine="0"/>
              <w:rPr>
                <w:rFonts w:eastAsia="Aptos" w:cs="Times New Roman"/>
              </w:rPr>
            </w:pPr>
            <w:r w:rsidRPr="73868B68">
              <w:rPr>
                <w:rFonts w:eastAsia="Calibri" w:cs="Times New Roman"/>
                <w:color w:val="333333"/>
                <w:sz w:val="20"/>
                <w:szCs w:val="20"/>
              </w:rPr>
              <w:t>Simplificada</w:t>
            </w:r>
          </w:p>
        </w:tc>
        <w:tc>
          <w:tcPr>
            <w:tcW w:w="1760" w:type="dxa"/>
          </w:tcPr>
          <w:p w14:paraId="2D80B93D" w14:textId="77777777" w:rsidR="00165AC9" w:rsidRPr="00975B39" w:rsidRDefault="00165AC9" w:rsidP="00B5395B">
            <w:pPr>
              <w:spacing w:after="56" w:line="48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Times New Roman"/>
              </w:rPr>
            </w:pPr>
            <w:r w:rsidRPr="73868B68">
              <w:rPr>
                <w:rFonts w:eastAsia="Calibri" w:cs="Times New Roman"/>
                <w:color w:val="333333"/>
                <w:sz w:val="20"/>
                <w:szCs w:val="20"/>
              </w:rPr>
              <w:t>$10,001 -</w:t>
            </w:r>
          </w:p>
          <w:p w14:paraId="3E4F188D" w14:textId="77777777" w:rsidR="00165AC9" w:rsidRPr="00975B39" w:rsidRDefault="00165AC9" w:rsidP="00B5395B">
            <w:pPr>
              <w:spacing w:line="48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Times New Roman"/>
              </w:rPr>
            </w:pPr>
            <w:r w:rsidRPr="73868B68">
              <w:rPr>
                <w:rFonts w:eastAsia="Calibri" w:cs="Times New Roman"/>
                <w:color w:val="333333"/>
                <w:sz w:val="20"/>
                <w:szCs w:val="20"/>
              </w:rPr>
              <w:t>$57,000</w:t>
            </w:r>
          </w:p>
        </w:tc>
        <w:tc>
          <w:tcPr>
            <w:tcW w:w="4115" w:type="dxa"/>
          </w:tcPr>
          <w:p w14:paraId="7B6DA652" w14:textId="77777777" w:rsidR="00165AC9" w:rsidRPr="00975B39" w:rsidRDefault="00165AC9" w:rsidP="00B5395B">
            <w:pPr>
              <w:spacing w:line="48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Times New Roman"/>
              </w:rPr>
            </w:pPr>
            <w:r w:rsidRPr="73868B68">
              <w:rPr>
                <w:rFonts w:eastAsia="Calibri" w:cs="Times New Roman"/>
                <w:color w:val="333333"/>
                <w:sz w:val="20"/>
                <w:szCs w:val="20"/>
              </w:rPr>
              <w:t>Servicios especializados medianos</w:t>
            </w:r>
          </w:p>
        </w:tc>
        <w:tc>
          <w:tcPr>
            <w:tcW w:w="1457" w:type="dxa"/>
          </w:tcPr>
          <w:p w14:paraId="38929478" w14:textId="77777777" w:rsidR="00165AC9" w:rsidRPr="00975B39" w:rsidRDefault="00165AC9" w:rsidP="00B5395B">
            <w:pPr>
              <w:spacing w:line="48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Times New Roman"/>
              </w:rPr>
            </w:pPr>
            <w:r w:rsidRPr="73868B68">
              <w:rPr>
                <w:rFonts w:eastAsia="Calibri" w:cs="Times New Roman"/>
                <w:color w:val="333333"/>
                <w:sz w:val="20"/>
                <w:szCs w:val="20"/>
              </w:rPr>
              <w:t>15 días</w:t>
            </w:r>
          </w:p>
        </w:tc>
      </w:tr>
      <w:tr w:rsidR="00165AC9" w:rsidRPr="00975B39" w14:paraId="13C8F8CB" w14:textId="77777777" w:rsidTr="00B5395B">
        <w:trPr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</w:tcPr>
          <w:p w14:paraId="18B8F872" w14:textId="77777777" w:rsidR="00165AC9" w:rsidRPr="00975B39" w:rsidRDefault="00165AC9" w:rsidP="00B5395B">
            <w:pPr>
              <w:spacing w:line="480" w:lineRule="auto"/>
              <w:ind w:firstLine="0"/>
              <w:rPr>
                <w:rFonts w:eastAsia="Aptos" w:cs="Times New Roman"/>
              </w:rPr>
            </w:pPr>
            <w:r w:rsidRPr="73868B68">
              <w:rPr>
                <w:rFonts w:eastAsia="Calibri" w:cs="Times New Roman"/>
                <w:color w:val="333333"/>
                <w:sz w:val="20"/>
                <w:szCs w:val="20"/>
              </w:rPr>
              <w:lastRenderedPageBreak/>
              <w:t>Licitación Pública</w:t>
            </w:r>
          </w:p>
        </w:tc>
        <w:tc>
          <w:tcPr>
            <w:tcW w:w="1760" w:type="dxa"/>
          </w:tcPr>
          <w:p w14:paraId="0B1FEA09" w14:textId="77777777" w:rsidR="00165AC9" w:rsidRPr="00975B39" w:rsidRDefault="00165AC9" w:rsidP="00B5395B">
            <w:pPr>
              <w:spacing w:line="48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Times New Roman"/>
              </w:rPr>
            </w:pPr>
            <w:r w:rsidRPr="73868B68">
              <w:rPr>
                <w:rFonts w:eastAsia="Calibri" w:cs="Times New Roman"/>
                <w:color w:val="333333"/>
                <w:sz w:val="20"/>
                <w:szCs w:val="20"/>
              </w:rPr>
              <w:t>Más de $57,000</w:t>
            </w:r>
          </w:p>
        </w:tc>
        <w:tc>
          <w:tcPr>
            <w:tcW w:w="4115" w:type="dxa"/>
          </w:tcPr>
          <w:p w14:paraId="62620CB8" w14:textId="77777777" w:rsidR="00165AC9" w:rsidRPr="00975B39" w:rsidRDefault="00165AC9" w:rsidP="00B5395B">
            <w:pPr>
              <w:spacing w:line="48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Times New Roman"/>
              </w:rPr>
            </w:pPr>
            <w:r w:rsidRPr="73868B68">
              <w:rPr>
                <w:rFonts w:eastAsia="Calibri" w:cs="Times New Roman"/>
                <w:color w:val="333333"/>
                <w:sz w:val="20"/>
                <w:szCs w:val="20"/>
              </w:rPr>
              <w:t>Grandes estudios ambientales, contratos marco</w:t>
            </w:r>
          </w:p>
        </w:tc>
        <w:tc>
          <w:tcPr>
            <w:tcW w:w="1457" w:type="dxa"/>
          </w:tcPr>
          <w:p w14:paraId="668EEA8C" w14:textId="77777777" w:rsidR="00165AC9" w:rsidRPr="00975B39" w:rsidRDefault="00165AC9" w:rsidP="00B5395B">
            <w:pPr>
              <w:spacing w:line="48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ptos" w:cs="Times New Roman"/>
              </w:rPr>
            </w:pPr>
            <w:r w:rsidRPr="73868B68">
              <w:rPr>
                <w:rFonts w:eastAsia="Calibri" w:cs="Times New Roman"/>
                <w:color w:val="333333"/>
                <w:sz w:val="20"/>
                <w:szCs w:val="20"/>
              </w:rPr>
              <w:t>30 días</w:t>
            </w:r>
          </w:p>
        </w:tc>
      </w:tr>
    </w:tbl>
    <w:p w14:paraId="1FFD47DC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235" w:name="_Toc200489517"/>
      <w:bookmarkStart w:id="236" w:name="_Toc200495277"/>
      <w:bookmarkStart w:id="237" w:name="_Toc200620206"/>
      <w:bookmarkStart w:id="238" w:name="_Toc200620608"/>
      <w:r w:rsidRPr="73868B68">
        <w:rPr>
          <w:rFonts w:eastAsia="Aptos" w:cs="Times New Roman"/>
          <w:b/>
          <w:bCs/>
          <w:sz w:val="28"/>
          <w:szCs w:val="28"/>
        </w:rPr>
        <w:t>7.1.3. Procedimientos Obligatorios</w:t>
      </w:r>
      <w:bookmarkEnd w:id="235"/>
      <w:bookmarkEnd w:id="236"/>
      <w:bookmarkEnd w:id="237"/>
      <w:bookmarkEnd w:id="238"/>
    </w:p>
    <w:p w14:paraId="52BA7AAB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Planificación Anual de Adquisiciones (PAC)</w:t>
      </w:r>
    </w:p>
    <w:p w14:paraId="5700D15B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Elaboración hasta 31 de enero de cada año</w:t>
      </w:r>
    </w:p>
    <w:p w14:paraId="556C64BA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Inclusión de todos los procesos estimados</w:t>
      </w:r>
    </w:p>
    <w:p w14:paraId="3A611727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Actualización trimestral según necesidades</w:t>
      </w:r>
    </w:p>
    <w:p w14:paraId="39C1F601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 xml:space="preserve">Publicación en </w:t>
      </w:r>
      <w:proofErr w:type="spellStart"/>
      <w:r w:rsidRPr="73868B68">
        <w:rPr>
          <w:rFonts w:eastAsia="Aptos" w:cs="Times New Roman"/>
        </w:rPr>
        <w:t>ComprasalWeb</w:t>
      </w:r>
      <w:proofErr w:type="spellEnd"/>
    </w:p>
    <w:p w14:paraId="61075F1A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Sistema oficial de compras públicas</w:t>
      </w:r>
    </w:p>
    <w:p w14:paraId="72D84102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Publicación obligatoria para procesos ≥ $1,000</w:t>
      </w:r>
    </w:p>
    <w:p w14:paraId="6D42DE63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Mantenimiento de información actualizada</w:t>
      </w:r>
    </w:p>
    <w:p w14:paraId="395A7520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Evaluación por Comisión</w:t>
      </w:r>
    </w:p>
    <w:p w14:paraId="5E4C1B86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Mínimo 3 miembros para licitaciones</w:t>
      </w:r>
    </w:p>
    <w:p w14:paraId="28C8C7C9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Evaluación técnica y económica separada</w:t>
      </w:r>
    </w:p>
    <w:p w14:paraId="39A53745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Documentación completa de decisiones</w:t>
      </w:r>
    </w:p>
    <w:p w14:paraId="12463653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239" w:name="_Toc200489518"/>
      <w:bookmarkStart w:id="240" w:name="_Toc200495278"/>
      <w:bookmarkStart w:id="241" w:name="_Toc200620207"/>
      <w:bookmarkStart w:id="242" w:name="_Toc200620609"/>
      <w:r w:rsidRPr="73868B68">
        <w:rPr>
          <w:rFonts w:eastAsia="Aptos" w:cs="Times New Roman"/>
          <w:b/>
          <w:bCs/>
          <w:sz w:val="28"/>
          <w:szCs w:val="28"/>
        </w:rPr>
        <w:t>7.2. Ley del Medio Ambiente</w:t>
      </w:r>
      <w:bookmarkEnd w:id="239"/>
      <w:bookmarkEnd w:id="240"/>
      <w:bookmarkEnd w:id="241"/>
      <w:bookmarkEnd w:id="242"/>
    </w:p>
    <w:p w14:paraId="2A9EC2FA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243" w:name="_Toc200489519"/>
      <w:bookmarkStart w:id="244" w:name="_Toc200495279"/>
      <w:bookmarkStart w:id="245" w:name="_Toc200620208"/>
      <w:bookmarkStart w:id="246" w:name="_Toc200620610"/>
      <w:r w:rsidRPr="73868B68">
        <w:rPr>
          <w:rFonts w:eastAsia="Aptos" w:cs="Times New Roman"/>
          <w:b/>
          <w:bCs/>
          <w:sz w:val="28"/>
          <w:szCs w:val="28"/>
        </w:rPr>
        <w:t>7.2.1. Fundamentos Legales</w:t>
      </w:r>
      <w:bookmarkEnd w:id="243"/>
      <w:bookmarkEnd w:id="244"/>
      <w:bookmarkEnd w:id="245"/>
      <w:bookmarkEnd w:id="246"/>
    </w:p>
    <w:p w14:paraId="27AACCD6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 xml:space="preserve">La </w:t>
      </w:r>
      <w:r w:rsidRPr="73868B68">
        <w:rPr>
          <w:rFonts w:eastAsia="Aptos" w:cs="Times New Roman"/>
          <w:b/>
          <w:bCs/>
        </w:rPr>
        <w:t>Ley del Medio Ambiente</w:t>
      </w:r>
      <w:r w:rsidRPr="73868B68">
        <w:rPr>
          <w:rFonts w:eastAsia="Aptos" w:cs="Times New Roman"/>
        </w:rPr>
        <w:t>, Decreto No. 233 del 2 de marzo de 1998, establece el marco normativo para la gestión ambiental y define las competencias específicas del MARN:</w:t>
      </w:r>
    </w:p>
    <w:p w14:paraId="5E80E350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lastRenderedPageBreak/>
        <w:t>Artículos Relevantes:</w:t>
      </w:r>
    </w:p>
    <w:p w14:paraId="119D6F66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Art. 8:</w:t>
      </w:r>
      <w:r w:rsidRPr="73868B68">
        <w:rPr>
          <w:rFonts w:eastAsia="Aptos" w:cs="Times New Roman"/>
        </w:rPr>
        <w:t xml:space="preserve"> Competencias del MARN como rector de la gestión ambiental</w:t>
      </w:r>
    </w:p>
    <w:p w14:paraId="5FC74EC8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Art. 18:</w:t>
      </w:r>
      <w:r w:rsidRPr="73868B68">
        <w:rPr>
          <w:rFonts w:eastAsia="Aptos" w:cs="Times New Roman"/>
        </w:rPr>
        <w:t xml:space="preserve"> Evaluación de impacto ambiental para proyectos</w:t>
      </w:r>
    </w:p>
    <w:p w14:paraId="7C26275E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Art. 23:</w:t>
      </w:r>
      <w:r w:rsidRPr="73868B68">
        <w:rPr>
          <w:rFonts w:eastAsia="Aptos" w:cs="Times New Roman"/>
        </w:rPr>
        <w:t xml:space="preserve"> Registro de prestadores de servicios ambientales</w:t>
      </w:r>
    </w:p>
    <w:p w14:paraId="5EC143BF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  <w:b/>
          <w:bCs/>
        </w:rPr>
        <w:t>Art. 89:</w:t>
      </w:r>
      <w:r w:rsidRPr="73868B68">
        <w:rPr>
          <w:rFonts w:eastAsia="Aptos" w:cs="Times New Roman"/>
        </w:rPr>
        <w:t xml:space="preserve"> Tasas y cargos por servicios ambientales</w:t>
      </w:r>
    </w:p>
    <w:p w14:paraId="3750E74E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247" w:name="_Toc200489520"/>
      <w:bookmarkStart w:id="248" w:name="_Toc200495280"/>
      <w:bookmarkStart w:id="249" w:name="_Toc200620209"/>
      <w:bookmarkStart w:id="250" w:name="_Toc200620611"/>
      <w:r w:rsidRPr="73868B68">
        <w:rPr>
          <w:rFonts w:eastAsia="Aptos" w:cs="Times New Roman"/>
          <w:b/>
          <w:bCs/>
          <w:sz w:val="28"/>
          <w:szCs w:val="28"/>
        </w:rPr>
        <w:t>7.2.2. Servicios Ambientales Regulados</w:t>
      </w:r>
      <w:bookmarkEnd w:id="247"/>
      <w:bookmarkEnd w:id="248"/>
      <w:bookmarkEnd w:id="249"/>
      <w:bookmarkEnd w:id="250"/>
    </w:p>
    <w:p w14:paraId="35C66AE9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Estudios de Impacto Ambiental (EIA)</w:t>
      </w:r>
    </w:p>
    <w:p w14:paraId="180042BD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Obligatorios para proyectos categorizados</w:t>
      </w:r>
    </w:p>
    <w:p w14:paraId="5D0D1B2F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Elaboración por prestadores certificados</w:t>
      </w:r>
    </w:p>
    <w:p w14:paraId="5AD8C1B3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◦ Revisión y aprobación por MARN</w:t>
      </w:r>
    </w:p>
    <w:p w14:paraId="488BD1E2" w14:textId="77777777" w:rsidR="00165AC9" w:rsidRPr="00975B39" w:rsidRDefault="00165AC9" w:rsidP="000525BC">
      <w:pPr>
        <w:numPr>
          <w:ilvl w:val="0"/>
          <w:numId w:val="10"/>
        </w:numPr>
        <w:spacing w:after="236" w:line="480" w:lineRule="auto"/>
        <w:ind w:right="1027" w:hanging="245"/>
        <w:rPr>
          <w:rFonts w:ascii="Aptos" w:eastAsia="Aptos" w:hAnsi="Aptos" w:cs="Times New Roman"/>
          <w:sz w:val="22"/>
          <w:szCs w:val="22"/>
        </w:rPr>
      </w:pPr>
      <w:r w:rsidRPr="73868B68">
        <w:rPr>
          <w:rFonts w:ascii="Calibri" w:eastAsia="Calibri" w:hAnsi="Calibri" w:cs="Calibri"/>
          <w:b/>
          <w:bCs/>
          <w:color w:val="333333"/>
          <w:sz w:val="22"/>
          <w:szCs w:val="22"/>
        </w:rPr>
        <w:t>Programas de Manejo Ambiental</w:t>
      </w:r>
    </w:p>
    <w:p w14:paraId="36FFAD7C" w14:textId="77777777" w:rsidR="00165AC9" w:rsidRPr="00975B39" w:rsidRDefault="00165AC9" w:rsidP="00165AC9">
      <w:pPr>
        <w:spacing w:after="146" w:line="480" w:lineRule="auto"/>
        <w:ind w:left="621" w:right="1121" w:hanging="10"/>
        <w:jc w:val="both"/>
        <w:rPr>
          <w:rFonts w:ascii="Aptos" w:eastAsia="Aptos" w:hAnsi="Aptos" w:cs="Times New Roman"/>
          <w:sz w:val="22"/>
          <w:szCs w:val="22"/>
        </w:rPr>
      </w:pPr>
      <w:r w:rsidRPr="73868B68">
        <w:rPr>
          <w:rFonts w:ascii="Calibri" w:eastAsia="Calibri" w:hAnsi="Calibri" w:cs="Calibri"/>
          <w:color w:val="333333"/>
          <w:sz w:val="22"/>
          <w:szCs w:val="22"/>
        </w:rPr>
        <w:t>◦ Seguimiento de medidas de mitigación</w:t>
      </w:r>
    </w:p>
    <w:p w14:paraId="09AF347C" w14:textId="77777777" w:rsidR="00165AC9" w:rsidRPr="00975B39" w:rsidRDefault="00165AC9" w:rsidP="00165AC9">
      <w:pPr>
        <w:spacing w:after="146" w:line="480" w:lineRule="auto"/>
        <w:ind w:left="621" w:right="1121" w:hanging="10"/>
        <w:jc w:val="both"/>
        <w:rPr>
          <w:rFonts w:ascii="Aptos" w:eastAsia="Aptos" w:hAnsi="Aptos" w:cs="Times New Roman"/>
          <w:sz w:val="22"/>
          <w:szCs w:val="22"/>
        </w:rPr>
      </w:pPr>
      <w:r w:rsidRPr="73868B68">
        <w:rPr>
          <w:rFonts w:ascii="Calibri" w:eastAsia="Calibri" w:hAnsi="Calibri" w:cs="Calibri"/>
          <w:color w:val="333333"/>
          <w:sz w:val="22"/>
          <w:szCs w:val="22"/>
        </w:rPr>
        <w:t>◦ Monitoreo continuo de cumplimiento</w:t>
      </w:r>
    </w:p>
    <w:p w14:paraId="217D22A2" w14:textId="77777777" w:rsidR="00165AC9" w:rsidRPr="00975B39" w:rsidRDefault="00165AC9" w:rsidP="00165AC9">
      <w:pPr>
        <w:spacing w:after="56" w:line="480" w:lineRule="auto"/>
        <w:ind w:left="621" w:right="1121" w:hanging="10"/>
        <w:jc w:val="both"/>
        <w:rPr>
          <w:rFonts w:ascii="Aptos" w:eastAsia="Aptos" w:hAnsi="Aptos" w:cs="Times New Roman"/>
          <w:sz w:val="22"/>
          <w:szCs w:val="22"/>
        </w:rPr>
      </w:pPr>
      <w:r w:rsidRPr="73868B68">
        <w:rPr>
          <w:rFonts w:ascii="Calibri" w:eastAsia="Calibri" w:hAnsi="Calibri" w:cs="Calibri"/>
          <w:color w:val="333333"/>
          <w:sz w:val="22"/>
          <w:szCs w:val="22"/>
        </w:rPr>
        <w:t>◦ Reportes periódicos al MARN</w:t>
      </w:r>
    </w:p>
    <w:p w14:paraId="58A6736C" w14:textId="77777777" w:rsidR="00165AC9" w:rsidRPr="00975B39" w:rsidRDefault="00165AC9" w:rsidP="000525BC">
      <w:pPr>
        <w:numPr>
          <w:ilvl w:val="0"/>
          <w:numId w:val="10"/>
        </w:numPr>
        <w:spacing w:after="236" w:line="480" w:lineRule="auto"/>
        <w:ind w:right="1027" w:hanging="245"/>
        <w:rPr>
          <w:rFonts w:ascii="Aptos" w:eastAsia="Aptos" w:hAnsi="Aptos" w:cs="Times New Roman"/>
          <w:sz w:val="22"/>
          <w:szCs w:val="22"/>
        </w:rPr>
      </w:pPr>
      <w:r w:rsidRPr="73868B68">
        <w:rPr>
          <w:rFonts w:ascii="Calibri" w:eastAsia="Calibri" w:hAnsi="Calibri" w:cs="Calibri"/>
          <w:b/>
          <w:bCs/>
          <w:color w:val="333333"/>
          <w:sz w:val="22"/>
          <w:szCs w:val="22"/>
        </w:rPr>
        <w:t>Auditorías Ambientales</w:t>
      </w:r>
    </w:p>
    <w:p w14:paraId="04A6D685" w14:textId="77777777" w:rsidR="00165AC9" w:rsidRPr="00975B39" w:rsidRDefault="00165AC9" w:rsidP="00165AC9">
      <w:pPr>
        <w:spacing w:after="146" w:line="480" w:lineRule="auto"/>
        <w:ind w:left="621" w:right="1121" w:hanging="10"/>
        <w:jc w:val="both"/>
        <w:rPr>
          <w:rFonts w:ascii="Aptos" w:eastAsia="Aptos" w:hAnsi="Aptos" w:cs="Times New Roman"/>
          <w:sz w:val="22"/>
          <w:szCs w:val="22"/>
        </w:rPr>
      </w:pPr>
      <w:r w:rsidRPr="73868B68">
        <w:rPr>
          <w:rFonts w:ascii="Calibri" w:eastAsia="Calibri" w:hAnsi="Calibri" w:cs="Calibri"/>
          <w:color w:val="333333"/>
          <w:sz w:val="22"/>
          <w:szCs w:val="22"/>
        </w:rPr>
        <w:t>◦ Evaluación de cumplimiento normativo</w:t>
      </w:r>
    </w:p>
    <w:p w14:paraId="0F806F75" w14:textId="77777777" w:rsidR="00165AC9" w:rsidRPr="00975B39" w:rsidRDefault="00165AC9" w:rsidP="00165AC9">
      <w:pPr>
        <w:spacing w:after="146" w:line="480" w:lineRule="auto"/>
        <w:ind w:left="621" w:right="1121" w:hanging="10"/>
        <w:jc w:val="both"/>
        <w:rPr>
          <w:rFonts w:ascii="Aptos" w:eastAsia="Aptos" w:hAnsi="Aptos" w:cs="Times New Roman"/>
          <w:sz w:val="22"/>
          <w:szCs w:val="22"/>
        </w:rPr>
      </w:pPr>
      <w:r w:rsidRPr="73868B68">
        <w:rPr>
          <w:rFonts w:ascii="Calibri" w:eastAsia="Calibri" w:hAnsi="Calibri" w:cs="Calibri"/>
          <w:color w:val="333333"/>
          <w:sz w:val="22"/>
          <w:szCs w:val="22"/>
        </w:rPr>
        <w:t>◦ Verificación de medidas implementadas</w:t>
      </w:r>
    </w:p>
    <w:p w14:paraId="4D408563" w14:textId="77777777" w:rsidR="00165AC9" w:rsidRPr="00975B39" w:rsidRDefault="00165AC9" w:rsidP="00165AC9">
      <w:pPr>
        <w:spacing w:after="425" w:line="480" w:lineRule="auto"/>
        <w:ind w:left="621" w:right="1121" w:hanging="10"/>
        <w:jc w:val="both"/>
        <w:rPr>
          <w:rFonts w:ascii="Aptos" w:eastAsia="Aptos" w:hAnsi="Aptos" w:cs="Times New Roman"/>
          <w:sz w:val="22"/>
          <w:szCs w:val="22"/>
        </w:rPr>
      </w:pPr>
      <w:r w:rsidRPr="73868B68">
        <w:rPr>
          <w:rFonts w:ascii="Calibri" w:eastAsia="Calibri" w:hAnsi="Calibri" w:cs="Calibri"/>
          <w:color w:val="333333"/>
          <w:sz w:val="22"/>
          <w:szCs w:val="22"/>
        </w:rPr>
        <w:t>◦ Certificación de buenas prácticas</w:t>
      </w:r>
    </w:p>
    <w:p w14:paraId="3F4A1569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251" w:name="_Toc200489521"/>
      <w:bookmarkStart w:id="252" w:name="_Toc200495281"/>
      <w:bookmarkStart w:id="253" w:name="_Toc200620210"/>
      <w:bookmarkStart w:id="254" w:name="_Toc200620612"/>
      <w:r w:rsidRPr="73868B68">
        <w:rPr>
          <w:rFonts w:eastAsia="Aptos" w:cs="Times New Roman"/>
          <w:b/>
          <w:bCs/>
          <w:sz w:val="28"/>
          <w:szCs w:val="28"/>
        </w:rPr>
        <w:lastRenderedPageBreak/>
        <w:t>7.3. Reglamentos Específicos</w:t>
      </w:r>
      <w:bookmarkEnd w:id="251"/>
      <w:bookmarkEnd w:id="252"/>
      <w:bookmarkEnd w:id="253"/>
      <w:bookmarkEnd w:id="254"/>
    </w:p>
    <w:p w14:paraId="18242CF2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255" w:name="_Toc200489522"/>
      <w:bookmarkStart w:id="256" w:name="_Toc200495282"/>
      <w:bookmarkStart w:id="257" w:name="_Toc200620211"/>
      <w:bookmarkStart w:id="258" w:name="_Toc200620613"/>
      <w:r w:rsidRPr="73868B68">
        <w:rPr>
          <w:rFonts w:eastAsia="Aptos" w:cs="Times New Roman"/>
          <w:b/>
          <w:bCs/>
          <w:sz w:val="28"/>
          <w:szCs w:val="28"/>
        </w:rPr>
        <w:t>7.3.1. Reglamento General de la Ley del Medio Ambiente</w:t>
      </w:r>
      <w:bookmarkEnd w:id="255"/>
      <w:bookmarkEnd w:id="256"/>
      <w:bookmarkEnd w:id="257"/>
      <w:bookmarkEnd w:id="258"/>
    </w:p>
    <w:p w14:paraId="3EDD048C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Decreto No. 21 del 26 de mayo de 2000</w:t>
      </w:r>
    </w:p>
    <w:p w14:paraId="40045762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Disposiciones Relevantes:</w:t>
      </w:r>
    </w:p>
    <w:p w14:paraId="0199335B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Art. 15-20: Procedimientos de evaluación ambiental</w:t>
      </w:r>
    </w:p>
    <w:p w14:paraId="6D53DAFC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Art. 25-30: Requisitos para prestadores de servicios</w:t>
      </w:r>
    </w:p>
    <w:p w14:paraId="4504E6D7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Art. 85-90: Tasas y procedimientos de cobro</w:t>
      </w:r>
    </w:p>
    <w:p w14:paraId="68189DB2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259" w:name="_Toc200489523"/>
      <w:bookmarkStart w:id="260" w:name="_Toc200495283"/>
      <w:bookmarkStart w:id="261" w:name="_Toc200620212"/>
      <w:bookmarkStart w:id="262" w:name="_Toc200620614"/>
      <w:r w:rsidRPr="73868B68">
        <w:rPr>
          <w:rFonts w:eastAsia="Aptos" w:cs="Times New Roman"/>
          <w:b/>
          <w:bCs/>
          <w:sz w:val="28"/>
          <w:szCs w:val="28"/>
        </w:rPr>
        <w:t>7.3.2. Reglamento de la Ley LACAP</w:t>
      </w:r>
      <w:bookmarkEnd w:id="259"/>
      <w:bookmarkEnd w:id="260"/>
      <w:bookmarkEnd w:id="261"/>
      <w:bookmarkEnd w:id="262"/>
    </w:p>
    <w:p w14:paraId="13669C78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Disposiciones específicas para servicios profesionales:</w:t>
      </w:r>
    </w:p>
    <w:p w14:paraId="628D6329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Calificación de competencia técnica</w:t>
      </w:r>
    </w:p>
    <w:p w14:paraId="6522053E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Evaluación de experiencia específica</w:t>
      </w:r>
    </w:p>
    <w:p w14:paraId="65300432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Criterios de responsabilidad civil</w:t>
      </w:r>
    </w:p>
    <w:p w14:paraId="7E1DE8D9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263" w:name="_Toc200489524"/>
      <w:bookmarkStart w:id="264" w:name="_Toc200495284"/>
      <w:bookmarkStart w:id="265" w:name="_Toc200620213"/>
      <w:bookmarkStart w:id="266" w:name="_Toc200620615"/>
      <w:r w:rsidRPr="73868B68">
        <w:rPr>
          <w:rFonts w:eastAsia="Aptos" w:cs="Times New Roman"/>
          <w:b/>
          <w:bCs/>
          <w:sz w:val="28"/>
          <w:szCs w:val="28"/>
        </w:rPr>
        <w:t>7.4. Normativas ISO Aplicables</w:t>
      </w:r>
      <w:bookmarkEnd w:id="263"/>
      <w:bookmarkEnd w:id="264"/>
      <w:bookmarkEnd w:id="265"/>
      <w:bookmarkEnd w:id="266"/>
    </w:p>
    <w:p w14:paraId="5C7AC23E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267" w:name="_Toc200489525"/>
      <w:bookmarkStart w:id="268" w:name="_Toc200495285"/>
      <w:bookmarkStart w:id="269" w:name="_Toc200620214"/>
      <w:bookmarkStart w:id="270" w:name="_Toc200620616"/>
      <w:r w:rsidRPr="73868B68">
        <w:rPr>
          <w:rFonts w:eastAsia="Aptos" w:cs="Times New Roman"/>
          <w:b/>
          <w:bCs/>
          <w:sz w:val="28"/>
          <w:szCs w:val="28"/>
        </w:rPr>
        <w:t>7.4.1. ISO 17024 - Certificación de Personas</w:t>
      </w:r>
      <w:bookmarkEnd w:id="267"/>
      <w:bookmarkEnd w:id="268"/>
      <w:bookmarkEnd w:id="269"/>
      <w:bookmarkEnd w:id="270"/>
    </w:p>
    <w:p w14:paraId="6C7AB6A3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Aplicación en el MARN:</w:t>
      </w:r>
    </w:p>
    <w:p w14:paraId="3ABD7D8E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Certificación de prestadores de servicios ambientales</w:t>
      </w:r>
    </w:p>
    <w:p w14:paraId="1286919F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Evaluación de competencias profesionales</w:t>
      </w:r>
    </w:p>
    <w:p w14:paraId="4F8D3CDB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Auditorías periódicas de mantenimiento</w:t>
      </w:r>
    </w:p>
    <w:p w14:paraId="78646AF5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Requisitos Principales:</w:t>
      </w:r>
    </w:p>
    <w:p w14:paraId="3F682B32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lastRenderedPageBreak/>
        <w:t>Competencia técnica demostrada</w:t>
      </w:r>
    </w:p>
    <w:p w14:paraId="1A4DF01D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Experiencia profesional verificable</w:t>
      </w:r>
    </w:p>
    <w:p w14:paraId="3B013EEF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Formación académica pertinente</w:t>
      </w:r>
    </w:p>
    <w:p w14:paraId="39D82BB8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Actualización profesional continua</w:t>
      </w:r>
    </w:p>
    <w:p w14:paraId="351203F7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271" w:name="_Toc200489526"/>
      <w:bookmarkStart w:id="272" w:name="_Toc200495286"/>
      <w:bookmarkStart w:id="273" w:name="_Toc200620215"/>
      <w:bookmarkStart w:id="274" w:name="_Toc200620617"/>
      <w:r w:rsidRPr="73868B68">
        <w:rPr>
          <w:rFonts w:eastAsia="Aptos" w:cs="Times New Roman"/>
          <w:b/>
          <w:bCs/>
          <w:sz w:val="28"/>
          <w:szCs w:val="28"/>
        </w:rPr>
        <w:t>7.4.2. ISO 9001 - Gestión de Calidad</w:t>
      </w:r>
      <w:bookmarkEnd w:id="271"/>
      <w:bookmarkEnd w:id="272"/>
      <w:bookmarkEnd w:id="273"/>
      <w:bookmarkEnd w:id="274"/>
    </w:p>
    <w:p w14:paraId="0F2EF792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Implementación en procesos:</w:t>
      </w:r>
    </w:p>
    <w:p w14:paraId="17DC518A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Enfoque basado en procesos</w:t>
      </w:r>
    </w:p>
    <w:p w14:paraId="7A30E921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Mejora continua</w:t>
      </w:r>
    </w:p>
    <w:p w14:paraId="416C9A90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Satisfacción del cliente</w:t>
      </w:r>
    </w:p>
    <w:p w14:paraId="7E725EA6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Gestión de riesgos</w:t>
      </w:r>
    </w:p>
    <w:p w14:paraId="04A60C6E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275" w:name="_Toc200489527"/>
      <w:bookmarkStart w:id="276" w:name="_Toc200495287"/>
      <w:bookmarkStart w:id="277" w:name="_Toc200620216"/>
      <w:bookmarkStart w:id="278" w:name="_Toc200620618"/>
      <w:r w:rsidRPr="73868B68">
        <w:rPr>
          <w:rFonts w:eastAsia="Aptos" w:cs="Times New Roman"/>
          <w:b/>
          <w:bCs/>
          <w:sz w:val="28"/>
          <w:szCs w:val="28"/>
        </w:rPr>
        <w:t>7.4.3. ISO 14001 - Gestión Ambiental</w:t>
      </w:r>
      <w:bookmarkEnd w:id="275"/>
      <w:bookmarkEnd w:id="276"/>
      <w:bookmarkEnd w:id="277"/>
      <w:bookmarkEnd w:id="278"/>
    </w:p>
    <w:p w14:paraId="713790D4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Aplicación institucional:</w:t>
      </w:r>
    </w:p>
    <w:p w14:paraId="7BBC100B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Política ambiental del MARN</w:t>
      </w:r>
    </w:p>
    <w:p w14:paraId="78C08016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Objetivos de sostenibilidad</w:t>
      </w:r>
    </w:p>
    <w:p w14:paraId="0BFEC335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Programas de mejoramiento ambiental</w:t>
      </w:r>
    </w:p>
    <w:p w14:paraId="47937B6E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279" w:name="_Toc200489528"/>
      <w:bookmarkStart w:id="280" w:name="_Toc200495288"/>
      <w:bookmarkStart w:id="281" w:name="_Toc200620217"/>
      <w:bookmarkStart w:id="282" w:name="_Toc200620619"/>
      <w:r w:rsidRPr="73868B68">
        <w:rPr>
          <w:rFonts w:eastAsia="Aptos" w:cs="Times New Roman"/>
          <w:b/>
          <w:bCs/>
          <w:sz w:val="28"/>
          <w:szCs w:val="28"/>
        </w:rPr>
        <w:t>7.5. Jurisprudencia y Criterios de Aplicación</w:t>
      </w:r>
      <w:bookmarkEnd w:id="279"/>
      <w:bookmarkEnd w:id="280"/>
      <w:bookmarkEnd w:id="281"/>
      <w:bookmarkEnd w:id="282"/>
    </w:p>
    <w:p w14:paraId="7FF3071F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283" w:name="_Toc200489529"/>
      <w:bookmarkStart w:id="284" w:name="_Toc200495289"/>
      <w:bookmarkStart w:id="285" w:name="_Toc200620218"/>
      <w:bookmarkStart w:id="286" w:name="_Toc200620620"/>
      <w:r w:rsidRPr="73868B68">
        <w:rPr>
          <w:rFonts w:eastAsia="Aptos" w:cs="Times New Roman"/>
          <w:b/>
          <w:bCs/>
          <w:sz w:val="28"/>
          <w:szCs w:val="28"/>
        </w:rPr>
        <w:t>7.5.1. Resoluciones del Tribunal de Ética Gubernamental</w:t>
      </w:r>
      <w:bookmarkEnd w:id="283"/>
      <w:bookmarkEnd w:id="284"/>
      <w:bookmarkEnd w:id="285"/>
      <w:bookmarkEnd w:id="286"/>
    </w:p>
    <w:p w14:paraId="29651A23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Criterios establecidos:</w:t>
      </w:r>
    </w:p>
    <w:p w14:paraId="26A87D85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Principio de transparencia en evaluaciones</w:t>
      </w:r>
    </w:p>
    <w:p w14:paraId="28E411C3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lastRenderedPageBreak/>
        <w:t>Prohibición de conflictos de interés</w:t>
      </w:r>
    </w:p>
    <w:p w14:paraId="508A3364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 xml:space="preserve">- Documentación completa de procesos </w:t>
      </w:r>
    </w:p>
    <w:p w14:paraId="60E25D17" w14:textId="77777777" w:rsidR="00165AC9" w:rsidRPr="00975B39" w:rsidRDefault="00165AC9" w:rsidP="00165AC9">
      <w:pPr>
        <w:spacing w:after="0" w:line="480" w:lineRule="auto"/>
        <w:jc w:val="center"/>
        <w:outlineLvl w:val="0"/>
        <w:rPr>
          <w:rFonts w:eastAsia="Aptos" w:cs="Times New Roman"/>
          <w:b/>
          <w:bCs/>
          <w:sz w:val="28"/>
          <w:szCs w:val="28"/>
        </w:rPr>
      </w:pPr>
      <w:bookmarkStart w:id="287" w:name="_Toc200489530"/>
      <w:bookmarkStart w:id="288" w:name="_Toc200495290"/>
      <w:bookmarkStart w:id="289" w:name="_Toc200620219"/>
      <w:bookmarkStart w:id="290" w:name="_Toc200620621"/>
      <w:r w:rsidRPr="73868B68">
        <w:rPr>
          <w:rFonts w:eastAsia="Aptos" w:cs="Times New Roman"/>
          <w:b/>
          <w:bCs/>
          <w:sz w:val="28"/>
          <w:szCs w:val="28"/>
        </w:rPr>
        <w:t>7.5.2. Criterios de la Corte de Cuentas</w:t>
      </w:r>
      <w:bookmarkEnd w:id="287"/>
      <w:bookmarkEnd w:id="288"/>
      <w:bookmarkEnd w:id="289"/>
      <w:bookmarkEnd w:id="290"/>
    </w:p>
    <w:p w14:paraId="671A2C6C" w14:textId="77777777" w:rsidR="00165AC9" w:rsidRPr="00975B3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Estándares de control:</w:t>
      </w:r>
    </w:p>
    <w:p w14:paraId="722708BE" w14:textId="77777777" w:rsidR="00165AC9" w:rsidRDefault="00165AC9" w:rsidP="00165AC9">
      <w:pPr>
        <w:spacing w:line="480" w:lineRule="auto"/>
        <w:rPr>
          <w:rFonts w:eastAsia="Aptos" w:cs="Times New Roman"/>
        </w:rPr>
      </w:pPr>
      <w:r w:rsidRPr="73868B68">
        <w:rPr>
          <w:rFonts w:eastAsia="Aptos" w:cs="Times New Roman"/>
        </w:rPr>
        <w:t>Verificación de cumplimiento normativo</w:t>
      </w:r>
    </w:p>
    <w:p w14:paraId="5E87553C" w14:textId="77777777" w:rsidR="00165AC9" w:rsidRDefault="00165AC9" w:rsidP="00165AC9">
      <w:pPr>
        <w:pStyle w:val="APA7ed"/>
      </w:pPr>
      <w:r>
        <w:t>Auditorías de procesos de contratación- Recomendaciones de mejoramiento</w:t>
      </w:r>
    </w:p>
    <w:p w14:paraId="08DDD483" w14:textId="77777777" w:rsidR="00165AC9" w:rsidRDefault="00165AC9" w:rsidP="00165AC9">
      <w:pPr>
        <w:pStyle w:val="Titulo1APA"/>
        <w:ind w:left="360"/>
      </w:pPr>
      <w:bookmarkStart w:id="291" w:name="_Toc200489531"/>
      <w:bookmarkStart w:id="292" w:name="_Toc200495291"/>
      <w:bookmarkStart w:id="293" w:name="_Toc200620220"/>
      <w:bookmarkStart w:id="294" w:name="_Toc200620622"/>
      <w:r>
        <w:t>8. Referencias Bibliográficas</w:t>
      </w:r>
      <w:bookmarkEnd w:id="291"/>
      <w:bookmarkEnd w:id="292"/>
      <w:bookmarkEnd w:id="293"/>
      <w:bookmarkEnd w:id="294"/>
    </w:p>
    <w:p w14:paraId="412E66C7" w14:textId="77777777" w:rsidR="00165AC9" w:rsidRPr="00987AB3" w:rsidRDefault="00165AC9" w:rsidP="00165AC9">
      <w:pPr>
        <w:pStyle w:val="Titulo1APA"/>
        <w:ind w:left="360"/>
        <w:rPr>
          <w:lang w:val="es-ES"/>
        </w:rPr>
      </w:pPr>
      <w:bookmarkStart w:id="295" w:name="_Toc200489532"/>
      <w:bookmarkStart w:id="296" w:name="_Toc200495292"/>
      <w:bookmarkStart w:id="297" w:name="_Toc200620221"/>
      <w:bookmarkStart w:id="298" w:name="_Toc200620623"/>
      <w:r w:rsidRPr="73868B68">
        <w:rPr>
          <w:lang w:val="es-ES"/>
        </w:rPr>
        <w:t>Leyes Nacionales:</w:t>
      </w:r>
      <w:bookmarkEnd w:id="295"/>
      <w:bookmarkEnd w:id="296"/>
      <w:bookmarkEnd w:id="297"/>
      <w:bookmarkEnd w:id="298"/>
    </w:p>
    <w:p w14:paraId="2C29BB2F" w14:textId="77777777" w:rsidR="00165AC9" w:rsidRPr="00987AB3" w:rsidRDefault="00165AC9" w:rsidP="00165AC9">
      <w:pPr>
        <w:pStyle w:val="APA7ed"/>
        <w:rPr>
          <w:lang w:val="es-ES"/>
        </w:rPr>
      </w:pPr>
      <w:r w:rsidRPr="73868B68">
        <w:rPr>
          <w:lang w:val="es-ES"/>
        </w:rPr>
        <w:t xml:space="preserve">Asamblea Legislativa de El Salvador. (1983). </w:t>
      </w:r>
      <w:r w:rsidRPr="73868B68">
        <w:rPr>
          <w:i/>
          <w:iCs/>
          <w:lang w:val="es-ES"/>
        </w:rPr>
        <w:t>Constitución de la República de El Salvador</w:t>
      </w:r>
      <w:r w:rsidRPr="73868B68">
        <w:rPr>
          <w:lang w:val="es-ES"/>
        </w:rPr>
        <w:t>. Decreto Constituyente.</w:t>
      </w:r>
    </w:p>
    <w:p w14:paraId="57FEBA36" w14:textId="77777777" w:rsidR="00165AC9" w:rsidRPr="00987AB3" w:rsidRDefault="00165AC9" w:rsidP="00165AC9">
      <w:pPr>
        <w:pStyle w:val="APA7ed"/>
        <w:rPr>
          <w:lang w:val="es-ES"/>
        </w:rPr>
      </w:pPr>
      <w:r w:rsidRPr="73868B68">
        <w:rPr>
          <w:lang w:val="es-ES"/>
        </w:rPr>
        <w:t xml:space="preserve">Asamblea Legislativa de El Salvador. (2011). </w:t>
      </w:r>
      <w:r w:rsidRPr="73868B68">
        <w:rPr>
          <w:i/>
          <w:iCs/>
          <w:lang w:val="es-ES"/>
        </w:rPr>
        <w:t>Ley de Adquisiciones y Contrataciones de la Administración Pública</w:t>
      </w:r>
      <w:r w:rsidRPr="73868B68">
        <w:rPr>
          <w:lang w:val="es-ES"/>
        </w:rPr>
        <w:t>. Decreto Legislativo No. 652.</w:t>
      </w:r>
    </w:p>
    <w:p w14:paraId="623A9609" w14:textId="77777777" w:rsidR="00165AC9" w:rsidRPr="00987AB3" w:rsidRDefault="00165AC9" w:rsidP="00165AC9">
      <w:pPr>
        <w:pStyle w:val="APA7ed"/>
        <w:rPr>
          <w:lang w:val="es-ES"/>
        </w:rPr>
      </w:pPr>
      <w:r w:rsidRPr="73868B68">
        <w:rPr>
          <w:lang w:val="es-ES"/>
        </w:rPr>
        <w:t xml:space="preserve">Asamblea Legislativa de El Salvador. (1998). </w:t>
      </w:r>
      <w:r w:rsidRPr="73868B68">
        <w:rPr>
          <w:i/>
          <w:iCs/>
          <w:lang w:val="es-ES"/>
        </w:rPr>
        <w:t>Ley del Medio Ambiente</w:t>
      </w:r>
      <w:r w:rsidRPr="73868B68">
        <w:rPr>
          <w:lang w:val="es-ES"/>
        </w:rPr>
        <w:t>. Decreto No. 233.</w:t>
      </w:r>
    </w:p>
    <w:p w14:paraId="7C9AD119" w14:textId="77777777" w:rsidR="00165AC9" w:rsidRPr="00987AB3" w:rsidRDefault="00165AC9" w:rsidP="00165AC9">
      <w:pPr>
        <w:pStyle w:val="APA7ed"/>
        <w:rPr>
          <w:lang w:val="es-ES"/>
        </w:rPr>
      </w:pPr>
      <w:r w:rsidRPr="73868B68">
        <w:rPr>
          <w:lang w:val="es-ES"/>
        </w:rPr>
        <w:t xml:space="preserve">Asamblea Legislativa de El Salvador. (2006). </w:t>
      </w:r>
      <w:r w:rsidRPr="73868B68">
        <w:rPr>
          <w:i/>
          <w:iCs/>
          <w:lang w:val="es-ES"/>
        </w:rPr>
        <w:t>Ley de Ética Gubernamental</w:t>
      </w:r>
      <w:r w:rsidRPr="73868B68">
        <w:rPr>
          <w:lang w:val="es-ES"/>
        </w:rPr>
        <w:t>. Decreto Legislativo No. 1038.</w:t>
      </w:r>
    </w:p>
    <w:p w14:paraId="5A54B99F" w14:textId="77777777" w:rsidR="00165AC9" w:rsidRPr="00987AB3" w:rsidRDefault="00165AC9" w:rsidP="00165AC9">
      <w:pPr>
        <w:pStyle w:val="APA7ed"/>
        <w:rPr>
          <w:lang w:val="es-ES"/>
        </w:rPr>
      </w:pPr>
      <w:r w:rsidRPr="73868B68">
        <w:rPr>
          <w:lang w:val="es-ES"/>
        </w:rPr>
        <w:t xml:space="preserve">Asamblea Legislativa de El Salvador. (2011). </w:t>
      </w:r>
      <w:r w:rsidRPr="73868B68">
        <w:rPr>
          <w:i/>
          <w:iCs/>
          <w:lang w:val="es-ES"/>
        </w:rPr>
        <w:t>Ley de Acceso a la Información Pública</w:t>
      </w:r>
      <w:r w:rsidRPr="73868B68">
        <w:rPr>
          <w:lang w:val="es-ES"/>
        </w:rPr>
        <w:t>. Decreto No. 534.</w:t>
      </w:r>
    </w:p>
    <w:p w14:paraId="7F61E73E" w14:textId="77777777" w:rsidR="00165AC9" w:rsidRPr="00987AB3" w:rsidRDefault="00165AC9" w:rsidP="00165AC9">
      <w:pPr>
        <w:pStyle w:val="APA7ed"/>
        <w:rPr>
          <w:lang w:val="es-ES"/>
        </w:rPr>
      </w:pPr>
      <w:r>
        <w:rPr>
          <w:lang w:val="es-ES"/>
        </w:rPr>
        <w:pict w14:anchorId="30693EFF">
          <v:rect id="_x0000_i1025" style="width:0;height:0" o:hralign="center" o:hrstd="t" o:hrnoshade="t" o:hr="t" fillcolor="#222" stroked="f"/>
        </w:pict>
      </w:r>
    </w:p>
    <w:p w14:paraId="69F13799" w14:textId="77777777" w:rsidR="00165AC9" w:rsidRPr="00987AB3" w:rsidRDefault="00165AC9" w:rsidP="00165AC9">
      <w:pPr>
        <w:pStyle w:val="Titulo1APA"/>
        <w:ind w:left="0"/>
        <w:rPr>
          <w:lang w:val="es-ES"/>
        </w:rPr>
      </w:pPr>
      <w:bookmarkStart w:id="299" w:name="_Toc200489533"/>
      <w:bookmarkStart w:id="300" w:name="_Toc200495293"/>
      <w:bookmarkStart w:id="301" w:name="_Toc200620222"/>
      <w:bookmarkStart w:id="302" w:name="_Toc200620624"/>
      <w:r w:rsidRPr="73868B68">
        <w:rPr>
          <w:lang w:val="es-ES"/>
        </w:rPr>
        <w:t>Reglamentos:</w:t>
      </w:r>
      <w:bookmarkEnd w:id="299"/>
      <w:bookmarkEnd w:id="300"/>
      <w:bookmarkEnd w:id="301"/>
      <w:bookmarkEnd w:id="302"/>
    </w:p>
    <w:p w14:paraId="65EECF02" w14:textId="77777777" w:rsidR="00165AC9" w:rsidRPr="00987AB3" w:rsidRDefault="00165AC9" w:rsidP="00165AC9">
      <w:pPr>
        <w:pStyle w:val="APA7ed"/>
        <w:rPr>
          <w:lang w:val="es-ES"/>
        </w:rPr>
      </w:pPr>
      <w:r w:rsidRPr="73868B68">
        <w:rPr>
          <w:lang w:val="es-ES"/>
        </w:rPr>
        <w:lastRenderedPageBreak/>
        <w:t xml:space="preserve">Órgano Ejecutivo de El Salvador. (2011). </w:t>
      </w:r>
      <w:r w:rsidRPr="73868B68">
        <w:rPr>
          <w:i/>
          <w:iCs/>
          <w:lang w:val="es-ES"/>
        </w:rPr>
        <w:t>Reglamento de la Ley de Adquisiciones y Contrataciones de la Administración Pública</w:t>
      </w:r>
      <w:r w:rsidRPr="73868B68">
        <w:rPr>
          <w:lang w:val="es-ES"/>
        </w:rPr>
        <w:t>. Decreto Ejecutivo No. 72.</w:t>
      </w:r>
    </w:p>
    <w:p w14:paraId="1588652F" w14:textId="77777777" w:rsidR="00165AC9" w:rsidRPr="00987AB3" w:rsidRDefault="00165AC9" w:rsidP="00165AC9">
      <w:pPr>
        <w:pStyle w:val="APA7ed"/>
        <w:rPr>
          <w:lang w:val="es-ES"/>
        </w:rPr>
      </w:pPr>
      <w:r w:rsidRPr="73868B68">
        <w:rPr>
          <w:lang w:val="es-ES"/>
        </w:rPr>
        <w:t xml:space="preserve">Órgano Ejecutivo de El Salvador. (2000). </w:t>
      </w:r>
      <w:r w:rsidRPr="73868B68">
        <w:rPr>
          <w:i/>
          <w:iCs/>
          <w:lang w:val="es-ES"/>
        </w:rPr>
        <w:t>Reglamento General de la Ley del Medio Ambiente</w:t>
      </w:r>
      <w:r w:rsidRPr="73868B68">
        <w:rPr>
          <w:lang w:val="es-ES"/>
        </w:rPr>
        <w:t>. Decreto No. 21.</w:t>
      </w:r>
    </w:p>
    <w:p w14:paraId="2C9E6D4E" w14:textId="77777777" w:rsidR="00165AC9" w:rsidRPr="00987AB3" w:rsidRDefault="00165AC9" w:rsidP="00165AC9">
      <w:pPr>
        <w:pStyle w:val="APA7ed"/>
        <w:rPr>
          <w:lang w:val="es-ES"/>
        </w:rPr>
      </w:pPr>
      <w:r w:rsidRPr="73868B68">
        <w:rPr>
          <w:lang w:val="es-ES"/>
        </w:rPr>
        <w:t xml:space="preserve">Órgano Ejecutivo de El Salvador. (2000). </w:t>
      </w:r>
      <w:r w:rsidRPr="73868B68">
        <w:rPr>
          <w:i/>
          <w:iCs/>
          <w:lang w:val="es-ES"/>
        </w:rPr>
        <w:t>Reglamento Especial de Normas Técnicas de Calidad Ambiental</w:t>
      </w:r>
      <w:r w:rsidRPr="73868B68">
        <w:rPr>
          <w:lang w:val="es-ES"/>
        </w:rPr>
        <w:t>. Decreto No. 40.</w:t>
      </w:r>
    </w:p>
    <w:p w14:paraId="54D409C6" w14:textId="77777777" w:rsidR="00165AC9" w:rsidRPr="00987AB3" w:rsidRDefault="00165AC9" w:rsidP="00165AC9">
      <w:pPr>
        <w:pStyle w:val="APA7ed"/>
        <w:rPr>
          <w:lang w:val="es-ES"/>
        </w:rPr>
      </w:pPr>
      <w:r>
        <w:rPr>
          <w:lang w:val="es-ES"/>
        </w:rPr>
        <w:pict w14:anchorId="50A28BD6">
          <v:rect id="_x0000_i1026" style="width:0;height:0" o:hralign="center" o:hrstd="t" o:hrnoshade="t" o:hr="t" fillcolor="#222" stroked="f"/>
        </w:pict>
      </w:r>
    </w:p>
    <w:p w14:paraId="6587D2DC" w14:textId="77777777" w:rsidR="00165AC9" w:rsidRPr="00987AB3" w:rsidRDefault="00165AC9" w:rsidP="00165AC9">
      <w:pPr>
        <w:pStyle w:val="Titulo1APA"/>
        <w:ind w:left="0"/>
        <w:rPr>
          <w:lang w:val="es-ES"/>
        </w:rPr>
      </w:pPr>
      <w:bookmarkStart w:id="303" w:name="_Toc200489534"/>
      <w:bookmarkStart w:id="304" w:name="_Toc200495294"/>
      <w:bookmarkStart w:id="305" w:name="_Toc200620223"/>
      <w:bookmarkStart w:id="306" w:name="_Toc200620625"/>
      <w:r w:rsidRPr="73868B68">
        <w:rPr>
          <w:lang w:val="es-ES"/>
        </w:rPr>
        <w:t>Normas Internacionales:</w:t>
      </w:r>
      <w:bookmarkEnd w:id="303"/>
      <w:bookmarkEnd w:id="304"/>
      <w:bookmarkEnd w:id="305"/>
      <w:bookmarkEnd w:id="306"/>
    </w:p>
    <w:p w14:paraId="26B12B46" w14:textId="77777777" w:rsidR="00165AC9" w:rsidRPr="00987AB3" w:rsidRDefault="00165AC9" w:rsidP="00165AC9">
      <w:pPr>
        <w:pStyle w:val="APA7ed"/>
        <w:rPr>
          <w:lang w:val="es-ES"/>
        </w:rPr>
      </w:pPr>
      <w:r w:rsidRPr="73868B68">
        <w:rPr>
          <w:lang w:val="es-ES"/>
        </w:rPr>
        <w:t xml:space="preserve">Organización Internacional de Normalización. (2012). </w:t>
      </w:r>
      <w:r w:rsidRPr="73868B68">
        <w:rPr>
          <w:i/>
          <w:iCs/>
          <w:lang w:val="es-ES"/>
        </w:rPr>
        <w:t>ISO 17024:2012 - Evaluación de la conformidad. Requisitos generales para los organismos que realizan certificación de personas</w:t>
      </w:r>
      <w:r w:rsidRPr="73868B68">
        <w:rPr>
          <w:lang w:val="es-ES"/>
        </w:rPr>
        <w:t>.</w:t>
      </w:r>
    </w:p>
    <w:p w14:paraId="75D5DEBD" w14:textId="77777777" w:rsidR="00165AC9" w:rsidRPr="00987AB3" w:rsidRDefault="00165AC9" w:rsidP="00165AC9">
      <w:pPr>
        <w:pStyle w:val="APA7ed"/>
        <w:rPr>
          <w:lang w:val="es-ES"/>
        </w:rPr>
      </w:pPr>
      <w:r w:rsidRPr="73868B68">
        <w:rPr>
          <w:lang w:val="es-ES"/>
        </w:rPr>
        <w:t xml:space="preserve">Organización Internacional de Normalización. (2015). </w:t>
      </w:r>
      <w:r w:rsidRPr="73868B68">
        <w:rPr>
          <w:i/>
          <w:iCs/>
          <w:lang w:val="es-ES"/>
        </w:rPr>
        <w:t>ISO 9001:2015 - Sistemas de gestión de la calidad. Requisitos</w:t>
      </w:r>
      <w:r w:rsidRPr="73868B68">
        <w:rPr>
          <w:lang w:val="es-ES"/>
        </w:rPr>
        <w:t>.</w:t>
      </w:r>
    </w:p>
    <w:p w14:paraId="28CEEF59" w14:textId="77777777" w:rsidR="00165AC9" w:rsidRPr="00987AB3" w:rsidRDefault="00165AC9" w:rsidP="00165AC9">
      <w:pPr>
        <w:pStyle w:val="APA7ed"/>
        <w:rPr>
          <w:lang w:val="es-ES"/>
        </w:rPr>
      </w:pPr>
      <w:r w:rsidRPr="73868B68">
        <w:rPr>
          <w:lang w:val="es-ES"/>
        </w:rPr>
        <w:t xml:space="preserve">Organización Internacional de Normalización. (2015). </w:t>
      </w:r>
      <w:r w:rsidRPr="73868B68">
        <w:rPr>
          <w:i/>
          <w:iCs/>
          <w:lang w:val="es-ES"/>
        </w:rPr>
        <w:t>ISO 14001:2015 - Sistemas de gestión ambiental. Requisitos con orientación para su uso</w:t>
      </w:r>
      <w:r w:rsidRPr="73868B68">
        <w:rPr>
          <w:lang w:val="es-ES"/>
        </w:rPr>
        <w:t>.</w:t>
      </w:r>
    </w:p>
    <w:p w14:paraId="25C0F862" w14:textId="77777777" w:rsidR="00165AC9" w:rsidRPr="00987AB3" w:rsidRDefault="00165AC9" w:rsidP="00165AC9">
      <w:pPr>
        <w:pStyle w:val="APA7ed"/>
        <w:rPr>
          <w:lang w:val="es-ES"/>
        </w:rPr>
      </w:pPr>
      <w:r>
        <w:rPr>
          <w:lang w:val="es-ES"/>
        </w:rPr>
        <w:pict w14:anchorId="06DB6A5C">
          <v:rect id="_x0000_i1027" style="width:0;height:0" o:hralign="center" o:hrstd="t" o:hrnoshade="t" o:hr="t" fillcolor="#222" stroked="f"/>
        </w:pict>
      </w:r>
    </w:p>
    <w:p w14:paraId="77059347" w14:textId="77777777" w:rsidR="00165AC9" w:rsidRPr="00987AB3" w:rsidRDefault="00165AC9" w:rsidP="00165AC9">
      <w:pPr>
        <w:pStyle w:val="Titulo1APA"/>
        <w:ind w:left="0"/>
        <w:rPr>
          <w:lang w:val="es-ES"/>
        </w:rPr>
      </w:pPr>
      <w:bookmarkStart w:id="307" w:name="_Toc200489535"/>
      <w:bookmarkStart w:id="308" w:name="_Toc200495295"/>
      <w:bookmarkStart w:id="309" w:name="_Toc200620224"/>
      <w:bookmarkStart w:id="310" w:name="_Toc200620626"/>
      <w:r w:rsidRPr="73868B68">
        <w:rPr>
          <w:lang w:val="es-ES"/>
        </w:rPr>
        <w:t>Documentos Institucionales:</w:t>
      </w:r>
      <w:bookmarkEnd w:id="307"/>
      <w:bookmarkEnd w:id="308"/>
      <w:bookmarkEnd w:id="309"/>
      <w:bookmarkEnd w:id="310"/>
    </w:p>
    <w:p w14:paraId="2BEFF62B" w14:textId="77777777" w:rsidR="00165AC9" w:rsidRPr="00987AB3" w:rsidRDefault="00165AC9" w:rsidP="00165AC9">
      <w:pPr>
        <w:pStyle w:val="APA7ed"/>
        <w:rPr>
          <w:lang w:val="es-ES"/>
        </w:rPr>
      </w:pPr>
      <w:r w:rsidRPr="73868B68">
        <w:rPr>
          <w:lang w:val="es-ES"/>
        </w:rPr>
        <w:t xml:space="preserve">Ministerio de Medio Ambiente y Recursos Naturales. (2024). </w:t>
      </w:r>
      <w:r w:rsidRPr="73868B68">
        <w:rPr>
          <w:i/>
          <w:iCs/>
          <w:lang w:val="es-ES"/>
        </w:rPr>
        <w:t>Manual de Organización del MARN</w:t>
      </w:r>
      <w:r w:rsidRPr="73868B68">
        <w:rPr>
          <w:lang w:val="es-ES"/>
        </w:rPr>
        <w:t>.</w:t>
      </w:r>
    </w:p>
    <w:p w14:paraId="2FC38E56" w14:textId="77777777" w:rsidR="00165AC9" w:rsidRPr="00987AB3" w:rsidRDefault="00165AC9" w:rsidP="00165AC9">
      <w:pPr>
        <w:pStyle w:val="APA7ed"/>
        <w:rPr>
          <w:lang w:val="es-ES"/>
        </w:rPr>
      </w:pPr>
      <w:r w:rsidRPr="73868B68">
        <w:rPr>
          <w:lang w:val="es-ES"/>
        </w:rPr>
        <w:t xml:space="preserve">Unidad Normativa de Adquisiciones y Contrataciones. (2021). </w:t>
      </w:r>
      <w:r w:rsidRPr="73868B68">
        <w:rPr>
          <w:i/>
          <w:iCs/>
          <w:lang w:val="es-ES"/>
        </w:rPr>
        <w:t>Manual de Procedimientos para el Ciclo de Gestión de Adquisiciones y Contrataciones</w:t>
      </w:r>
      <w:r w:rsidRPr="73868B68">
        <w:rPr>
          <w:lang w:val="es-ES"/>
        </w:rPr>
        <w:t>.</w:t>
      </w:r>
    </w:p>
    <w:p w14:paraId="7C38545A" w14:textId="77777777" w:rsidR="00165AC9" w:rsidRDefault="00165AC9" w:rsidP="00165AC9">
      <w:pPr>
        <w:pStyle w:val="APA7ed"/>
        <w:rPr>
          <w:lang w:val="es-ES"/>
        </w:rPr>
      </w:pPr>
      <w:r w:rsidRPr="0CB2A675">
        <w:rPr>
          <w:lang w:val="es-ES"/>
        </w:rPr>
        <w:lastRenderedPageBreak/>
        <w:t xml:space="preserve">Ministerio de Hacienda de El Salvador. (2022). </w:t>
      </w:r>
      <w:r w:rsidRPr="0CB2A675">
        <w:rPr>
          <w:i/>
          <w:iCs/>
          <w:lang w:val="es-ES"/>
        </w:rPr>
        <w:t>Lineamientos para la Implementación de Compras Públicas Sostenibles</w:t>
      </w:r>
      <w:r w:rsidRPr="0CB2A675">
        <w:rPr>
          <w:lang w:val="es-ES"/>
        </w:rPr>
        <w:t>.</w:t>
      </w:r>
    </w:p>
    <w:p w14:paraId="798F5A3A" w14:textId="77777777" w:rsidR="0072483F" w:rsidRDefault="0072483F"/>
    <w:sectPr w:rsidR="007248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A8A57C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301FE2"/>
    <w:multiLevelType w:val="hybridMultilevel"/>
    <w:tmpl w:val="A3A4541C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9255B71"/>
    <w:multiLevelType w:val="hybridMultilevel"/>
    <w:tmpl w:val="8746FAA0"/>
    <w:lvl w:ilvl="0" w:tplc="770EF3F4">
      <w:start w:val="1"/>
      <w:numFmt w:val="decimal"/>
      <w:lvlText w:val="%1."/>
      <w:lvlJc w:val="left"/>
      <w:pPr>
        <w:ind w:left="375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2E331A">
      <w:start w:val="1"/>
      <w:numFmt w:val="lowerLetter"/>
      <w:lvlText w:val="%2"/>
      <w:lvlJc w:val="left"/>
      <w:pPr>
        <w:ind w:left="121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941F10">
      <w:start w:val="1"/>
      <w:numFmt w:val="lowerRoman"/>
      <w:lvlText w:val="%3"/>
      <w:lvlJc w:val="left"/>
      <w:pPr>
        <w:ind w:left="193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56608A">
      <w:start w:val="1"/>
      <w:numFmt w:val="decimal"/>
      <w:lvlText w:val="%4"/>
      <w:lvlJc w:val="left"/>
      <w:pPr>
        <w:ind w:left="265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6A8746">
      <w:start w:val="1"/>
      <w:numFmt w:val="lowerLetter"/>
      <w:lvlText w:val="%5"/>
      <w:lvlJc w:val="left"/>
      <w:pPr>
        <w:ind w:left="337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0832BE">
      <w:start w:val="1"/>
      <w:numFmt w:val="lowerRoman"/>
      <w:lvlText w:val="%6"/>
      <w:lvlJc w:val="left"/>
      <w:pPr>
        <w:ind w:left="409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40F61E">
      <w:start w:val="1"/>
      <w:numFmt w:val="decimal"/>
      <w:lvlText w:val="%7"/>
      <w:lvlJc w:val="left"/>
      <w:pPr>
        <w:ind w:left="481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7A4598">
      <w:start w:val="1"/>
      <w:numFmt w:val="lowerLetter"/>
      <w:lvlText w:val="%8"/>
      <w:lvlJc w:val="left"/>
      <w:pPr>
        <w:ind w:left="553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801770">
      <w:start w:val="1"/>
      <w:numFmt w:val="lowerRoman"/>
      <w:lvlText w:val="%9"/>
      <w:lvlJc w:val="left"/>
      <w:pPr>
        <w:ind w:left="625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0C41D3"/>
    <w:multiLevelType w:val="multilevel"/>
    <w:tmpl w:val="06345CE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8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3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1" w:hanging="2160"/>
      </w:pPr>
      <w:rPr>
        <w:rFonts w:hint="default"/>
      </w:rPr>
    </w:lvl>
  </w:abstractNum>
  <w:abstractNum w:abstractNumId="4" w15:restartNumberingAfterBreak="0">
    <w:nsid w:val="23576B5B"/>
    <w:multiLevelType w:val="hybridMultilevel"/>
    <w:tmpl w:val="957C36B8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25DA4FE3"/>
    <w:multiLevelType w:val="multilevel"/>
    <w:tmpl w:val="5FE66F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1"/>
      <w:isLgl/>
      <w:lvlText w:val="%1.%2"/>
      <w:lvlJc w:val="left"/>
      <w:pPr>
        <w:ind w:left="720" w:hanging="360"/>
      </w:pPr>
      <w:rPr>
        <w:rFonts w:hint="default"/>
        <w:i w:val="0"/>
        <w:iCs/>
      </w:rPr>
    </w:lvl>
    <w:lvl w:ilvl="2">
      <w:start w:val="1"/>
      <w:numFmt w:val="decimal"/>
      <w:pStyle w:val="Ttulo2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13D5932"/>
    <w:multiLevelType w:val="hybridMultilevel"/>
    <w:tmpl w:val="58FE8AFC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1B83618"/>
    <w:multiLevelType w:val="hybridMultilevel"/>
    <w:tmpl w:val="F99EB440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51C37D5C"/>
    <w:multiLevelType w:val="hybridMultilevel"/>
    <w:tmpl w:val="0172AA66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DDD293C"/>
    <w:multiLevelType w:val="hybridMultilevel"/>
    <w:tmpl w:val="4A7AA3DE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660D48E4"/>
    <w:multiLevelType w:val="hybridMultilevel"/>
    <w:tmpl w:val="CF1CE9E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FFD73EE"/>
    <w:multiLevelType w:val="multilevel"/>
    <w:tmpl w:val="4C62D6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Titulo1APA"/>
      <w:lvlText w:val="%1.%2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9"/>
  </w:num>
  <w:num w:numId="6">
    <w:abstractNumId w:val="3"/>
  </w:num>
  <w:num w:numId="7">
    <w:abstractNumId w:val="8"/>
  </w:num>
  <w:num w:numId="8">
    <w:abstractNumId w:val="6"/>
  </w:num>
  <w:num w:numId="9">
    <w:abstractNumId w:val="10"/>
  </w:num>
  <w:num w:numId="10">
    <w:abstractNumId w:val="2"/>
  </w:num>
  <w:num w:numId="11">
    <w:abstractNumId w:val="11"/>
  </w:num>
  <w:num w:numId="12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9"/>
    <w:rsid w:val="000525BC"/>
    <w:rsid w:val="00165AC9"/>
    <w:rsid w:val="0072483F"/>
    <w:rsid w:val="00F7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DA01CD"/>
  <w15:chartTrackingRefBased/>
  <w15:docId w15:val="{F4DBC922-354E-4022-AD09-7835C7D2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AC9"/>
    <w:pPr>
      <w:spacing w:line="278" w:lineRule="auto"/>
      <w:ind w:firstLine="720"/>
    </w:pPr>
    <w:rPr>
      <w:rFonts w:ascii="Times New Roman" w:hAnsi="Times New Roman"/>
      <w:kern w:val="2"/>
      <w:sz w:val="24"/>
      <w:szCs w:val="24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165AC9"/>
    <w:pPr>
      <w:numPr>
        <w:ilvl w:val="1"/>
        <w:numId w:val="12"/>
      </w:numPr>
      <w:jc w:val="center"/>
      <w:outlineLvl w:val="0"/>
    </w:pPr>
    <w:rPr>
      <w:b/>
      <w:bCs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165AC9"/>
    <w:pPr>
      <w:numPr>
        <w:ilvl w:val="2"/>
      </w:numPr>
      <w:jc w:val="left"/>
      <w:outlineLvl w:val="1"/>
    </w:p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5A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5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5A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5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5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5AC9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5AC9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5AC9"/>
    <w:rPr>
      <w:rFonts w:ascii="Times New Roman" w:hAnsi="Times New Roman"/>
      <w:b/>
      <w:bCs/>
      <w:kern w:val="2"/>
      <w:sz w:val="28"/>
      <w:szCs w:val="28"/>
      <w14:ligatures w14:val="standardContextual"/>
    </w:rPr>
  </w:style>
  <w:style w:type="character" w:customStyle="1" w:styleId="Ttulo2Car">
    <w:name w:val="Título 2 Car"/>
    <w:basedOn w:val="Fuentedeprrafopredeter"/>
    <w:link w:val="Ttulo2"/>
    <w:uiPriority w:val="9"/>
    <w:rsid w:val="00165AC9"/>
    <w:rPr>
      <w:rFonts w:ascii="Times New Roman" w:hAnsi="Times New Roman"/>
      <w:b/>
      <w:bCs/>
      <w:kern w:val="2"/>
      <w:sz w:val="28"/>
      <w:szCs w:val="28"/>
      <w14:ligatures w14:val="standardContextual"/>
    </w:rPr>
  </w:style>
  <w:style w:type="character" w:customStyle="1" w:styleId="Ttulo3Car">
    <w:name w:val="Título 3 Car"/>
    <w:basedOn w:val="Fuentedeprrafopredeter"/>
    <w:link w:val="Ttulo3"/>
    <w:uiPriority w:val="9"/>
    <w:rsid w:val="00165AC9"/>
    <w:rPr>
      <w:rFonts w:ascii="Times New Roman" w:eastAsiaTheme="majorEastAsia" w:hAnsi="Times New Roman" w:cstheme="majorBidi"/>
      <w:color w:val="2F5496" w:themeColor="accent1" w:themeShade="BF"/>
      <w:kern w:val="2"/>
      <w:sz w:val="28"/>
      <w:szCs w:val="28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5AC9"/>
    <w:rPr>
      <w:rFonts w:ascii="Times New Roman" w:eastAsiaTheme="majorEastAsia" w:hAnsi="Times New Roman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5AC9"/>
    <w:rPr>
      <w:rFonts w:ascii="Times New Roman" w:eastAsiaTheme="majorEastAsia" w:hAnsi="Times New Roman" w:cstheme="majorBidi"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5AC9"/>
    <w:rPr>
      <w:rFonts w:ascii="Times New Roman" w:eastAsiaTheme="majorEastAsia" w:hAnsi="Times New Roman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5AC9"/>
    <w:rPr>
      <w:rFonts w:ascii="Times New Roman" w:eastAsiaTheme="majorEastAsia" w:hAnsi="Times New Roman" w:cstheme="majorBidi"/>
      <w:color w:val="595959" w:themeColor="text1" w:themeTint="A6"/>
      <w:kern w:val="2"/>
      <w:sz w:val="24"/>
      <w:szCs w:val="24"/>
      <w14:ligatures w14:val="standardContextua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5AC9"/>
    <w:rPr>
      <w:rFonts w:ascii="Times New Roman" w:eastAsiaTheme="majorEastAsia" w:hAnsi="Times New Roman" w:cstheme="majorBidi"/>
      <w:i/>
      <w:iCs/>
      <w:color w:val="272727"/>
      <w:kern w:val="2"/>
      <w:sz w:val="24"/>
      <w:szCs w:val="24"/>
      <w14:ligatures w14:val="standardContextua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5AC9"/>
    <w:rPr>
      <w:rFonts w:ascii="Times New Roman" w:eastAsiaTheme="majorEastAsia" w:hAnsi="Times New Roman" w:cstheme="majorBidi"/>
      <w:color w:val="272727"/>
      <w:kern w:val="2"/>
      <w:sz w:val="24"/>
      <w:szCs w:val="24"/>
      <w14:ligatures w14:val="standardContextual"/>
    </w:rPr>
  </w:style>
  <w:style w:type="paragraph" w:styleId="Ttulo">
    <w:name w:val="Title"/>
    <w:basedOn w:val="Normal"/>
    <w:next w:val="Normal"/>
    <w:link w:val="TtuloCar"/>
    <w:uiPriority w:val="10"/>
    <w:qFormat/>
    <w:rsid w:val="00165AC9"/>
    <w:pPr>
      <w:spacing w:after="8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5AC9"/>
    <w:rPr>
      <w:rFonts w:asciiTheme="majorHAnsi" w:eastAsiaTheme="majorEastAsia" w:hAnsiTheme="majorHAnsi" w:cstheme="majorBidi"/>
      <w:kern w:val="2"/>
      <w:sz w:val="56"/>
      <w:szCs w:val="56"/>
      <w14:ligatures w14:val="standardContextual"/>
    </w:rPr>
  </w:style>
  <w:style w:type="paragraph" w:styleId="Subttulo">
    <w:name w:val="Subtitle"/>
    <w:basedOn w:val="Normal"/>
    <w:next w:val="Normal"/>
    <w:link w:val="SubttuloCar"/>
    <w:uiPriority w:val="11"/>
    <w:qFormat/>
    <w:rsid w:val="00165AC9"/>
    <w:pPr>
      <w:ind w:firstLine="708"/>
    </w:pPr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11"/>
    <w:rsid w:val="00165AC9"/>
    <w:rPr>
      <w:rFonts w:ascii="Times New Roman" w:hAnsi="Times New Roman"/>
      <w:b/>
      <w:bCs/>
      <w:kern w:val="2"/>
      <w:sz w:val="24"/>
      <w:szCs w:val="24"/>
      <w14:ligatures w14:val="standardContextual"/>
    </w:rPr>
  </w:style>
  <w:style w:type="paragraph" w:styleId="Cita">
    <w:name w:val="Quote"/>
    <w:basedOn w:val="Normal"/>
    <w:next w:val="Normal"/>
    <w:link w:val="CitaCar"/>
    <w:uiPriority w:val="29"/>
    <w:qFormat/>
    <w:rsid w:val="00165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5AC9"/>
    <w:rPr>
      <w:rFonts w:ascii="Times New Roman" w:hAnsi="Times New Roman"/>
      <w:i/>
      <w:iCs/>
      <w:color w:val="404040" w:themeColor="text1" w:themeTint="BF"/>
      <w:kern w:val="2"/>
      <w:sz w:val="24"/>
      <w:szCs w:val="24"/>
      <w14:ligatures w14:val="standardContextual"/>
    </w:rPr>
  </w:style>
  <w:style w:type="paragraph" w:styleId="Prrafodelista">
    <w:name w:val="List Paragraph"/>
    <w:basedOn w:val="Normal"/>
    <w:uiPriority w:val="34"/>
    <w:qFormat/>
    <w:rsid w:val="00165A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5AC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5A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5AC9"/>
    <w:rPr>
      <w:rFonts w:ascii="Times New Roman" w:hAnsi="Times New Roman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styleId="Referenciaintensa">
    <w:name w:val="Intense Reference"/>
    <w:basedOn w:val="Fuentedeprrafopredeter"/>
    <w:uiPriority w:val="32"/>
    <w:qFormat/>
    <w:rsid w:val="00165AC9"/>
    <w:rPr>
      <w:b/>
      <w:bCs/>
      <w:smallCaps/>
      <w:color w:val="2F5496" w:themeColor="accent1" w:themeShade="BF"/>
      <w:spacing w:val="5"/>
    </w:rPr>
  </w:style>
  <w:style w:type="paragraph" w:customStyle="1" w:styleId="APA7ed">
    <w:name w:val="APA 7°ed"/>
    <w:basedOn w:val="Normal"/>
    <w:next w:val="Normal"/>
    <w:link w:val="APA7edCar"/>
    <w:uiPriority w:val="1"/>
    <w:qFormat/>
    <w:rsid w:val="00165AC9"/>
    <w:pPr>
      <w:spacing w:line="480" w:lineRule="auto"/>
    </w:pPr>
  </w:style>
  <w:style w:type="paragraph" w:styleId="Encabezado">
    <w:name w:val="header"/>
    <w:basedOn w:val="Normal"/>
    <w:link w:val="EncabezadoCar"/>
    <w:uiPriority w:val="99"/>
    <w:unhideWhenUsed/>
    <w:rsid w:val="00165AC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65AC9"/>
    <w:rPr>
      <w:rFonts w:ascii="Times New Roman" w:hAnsi="Times New Roman"/>
      <w:kern w:val="2"/>
      <w:sz w:val="24"/>
      <w:szCs w:val="24"/>
      <w14:ligatures w14:val="standardContextual"/>
    </w:rPr>
  </w:style>
  <w:style w:type="paragraph" w:styleId="Piedepgina">
    <w:name w:val="footer"/>
    <w:basedOn w:val="Normal"/>
    <w:link w:val="PiedepginaCar"/>
    <w:uiPriority w:val="99"/>
    <w:unhideWhenUsed/>
    <w:rsid w:val="00165AC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AC9"/>
    <w:rPr>
      <w:rFonts w:ascii="Times New Roman" w:hAnsi="Times New Roman"/>
      <w:kern w:val="2"/>
      <w:sz w:val="24"/>
      <w:szCs w:val="24"/>
      <w14:ligatures w14:val="standardContextual"/>
    </w:rPr>
  </w:style>
  <w:style w:type="paragraph" w:customStyle="1" w:styleId="Titulo1APA">
    <w:name w:val="Titulo1 APA"/>
    <w:basedOn w:val="APA7ed"/>
    <w:link w:val="Titulo1APACar"/>
    <w:uiPriority w:val="1"/>
    <w:qFormat/>
    <w:rsid w:val="00165AC9"/>
    <w:pPr>
      <w:numPr>
        <w:ilvl w:val="1"/>
        <w:numId w:val="11"/>
      </w:numPr>
      <w:spacing w:after="0"/>
      <w:ind w:left="9716"/>
      <w:outlineLvl w:val="0"/>
    </w:pPr>
    <w:rPr>
      <w:b/>
      <w:bCs/>
      <w:sz w:val="28"/>
      <w:szCs w:val="28"/>
    </w:rPr>
  </w:style>
  <w:style w:type="character" w:customStyle="1" w:styleId="APA7edCar">
    <w:name w:val="APA 7°ed Car"/>
    <w:link w:val="APA7ed"/>
    <w:uiPriority w:val="1"/>
    <w:rsid w:val="00165AC9"/>
    <w:rPr>
      <w:rFonts w:ascii="Times New Roman" w:hAnsi="Times New Roman"/>
      <w:kern w:val="2"/>
      <w:sz w:val="24"/>
      <w:szCs w:val="24"/>
      <w14:ligatures w14:val="standardContextual"/>
    </w:rPr>
  </w:style>
  <w:style w:type="character" w:customStyle="1" w:styleId="Titulo1APACar">
    <w:name w:val="Titulo1 APA Car"/>
    <w:basedOn w:val="APA7edCar"/>
    <w:link w:val="Titulo1APA"/>
    <w:uiPriority w:val="1"/>
    <w:rsid w:val="00165AC9"/>
    <w:rPr>
      <w:rFonts w:ascii="Times New Roman" w:hAnsi="Times New Roman"/>
      <w:b/>
      <w:bCs/>
      <w:kern w:val="2"/>
      <w:sz w:val="28"/>
      <w:szCs w:val="28"/>
      <w14:ligatures w14:val="standardContextual"/>
    </w:rPr>
  </w:style>
  <w:style w:type="paragraph" w:customStyle="1" w:styleId="Titulo2APA">
    <w:name w:val="Titulo2APA"/>
    <w:basedOn w:val="APA7ed"/>
    <w:link w:val="Titulo2APACar"/>
    <w:uiPriority w:val="1"/>
    <w:qFormat/>
    <w:rsid w:val="00165AC9"/>
    <w:pPr>
      <w:spacing w:after="0"/>
      <w:outlineLvl w:val="1"/>
    </w:pPr>
    <w:rPr>
      <w:b/>
      <w:bCs/>
    </w:rPr>
  </w:style>
  <w:style w:type="character" w:customStyle="1" w:styleId="Titulo2APACar">
    <w:name w:val="Titulo2APA Car"/>
    <w:basedOn w:val="APA7edCar"/>
    <w:link w:val="Titulo2APA"/>
    <w:uiPriority w:val="1"/>
    <w:rsid w:val="00165AC9"/>
    <w:rPr>
      <w:rFonts w:ascii="Times New Roman" w:hAnsi="Times New Roman"/>
      <w:b/>
      <w:bCs/>
      <w:kern w:val="2"/>
      <w:sz w:val="24"/>
      <w:szCs w:val="24"/>
      <w14:ligatures w14:val="standardContextual"/>
    </w:rPr>
  </w:style>
  <w:style w:type="paragraph" w:customStyle="1" w:styleId="paragraph">
    <w:name w:val="paragraph"/>
    <w:basedOn w:val="Normal"/>
    <w:uiPriority w:val="1"/>
    <w:rsid w:val="00165AC9"/>
    <w:pPr>
      <w:spacing w:beforeAutospacing="1" w:afterAutospacing="1"/>
    </w:pPr>
    <w:rPr>
      <w:rFonts w:ascii="Arial" w:eastAsia="Times New Roman" w:hAnsi="Arial" w:cs="Times New Roman"/>
      <w:lang w:eastAsia="es-SV"/>
    </w:rPr>
  </w:style>
  <w:style w:type="character" w:customStyle="1" w:styleId="normaltextrun">
    <w:name w:val="normaltextrun"/>
    <w:basedOn w:val="Fuentedeprrafopredeter"/>
    <w:rsid w:val="00165AC9"/>
  </w:style>
  <w:style w:type="character" w:customStyle="1" w:styleId="eop">
    <w:name w:val="eop"/>
    <w:basedOn w:val="Fuentedeprrafopredeter"/>
    <w:rsid w:val="00165AC9"/>
  </w:style>
  <w:style w:type="character" w:styleId="Hipervnculo">
    <w:name w:val="Hyperlink"/>
    <w:basedOn w:val="Fuentedeprrafopredeter"/>
    <w:uiPriority w:val="99"/>
    <w:unhideWhenUsed/>
    <w:rsid w:val="00165AC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5AC9"/>
    <w:rPr>
      <w:color w:val="605E5C"/>
      <w:shd w:val="clear" w:color="auto" w:fill="E1DFDD"/>
    </w:rPr>
  </w:style>
  <w:style w:type="paragraph" w:styleId="TDC1">
    <w:name w:val="toc 1"/>
    <w:basedOn w:val="Normal"/>
    <w:next w:val="Normal"/>
    <w:uiPriority w:val="39"/>
    <w:unhideWhenUsed/>
    <w:rsid w:val="00165AC9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165AC9"/>
    <w:pPr>
      <w:spacing w:after="100"/>
      <w:ind w:left="220"/>
    </w:pPr>
  </w:style>
  <w:style w:type="table" w:styleId="Tablaconcuadrcula">
    <w:name w:val="Table Grid"/>
    <w:basedOn w:val="Tablanormal"/>
    <w:uiPriority w:val="59"/>
    <w:rsid w:val="00165AC9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65AC9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165AC9"/>
    <w:pPr>
      <w:spacing w:beforeAutospacing="1" w:afterAutospacing="1"/>
    </w:pPr>
    <w:rPr>
      <w:rFonts w:eastAsia="Times New Roman" w:cs="Times New Roman"/>
      <w:lang w:eastAsia="es-SV"/>
    </w:rPr>
  </w:style>
  <w:style w:type="paragraph" w:styleId="TDC3">
    <w:name w:val="toc 3"/>
    <w:basedOn w:val="Normal"/>
    <w:next w:val="Normal"/>
    <w:uiPriority w:val="39"/>
    <w:unhideWhenUsed/>
    <w:rsid w:val="00165AC9"/>
    <w:pPr>
      <w:spacing w:after="100"/>
      <w:ind w:left="480"/>
    </w:pPr>
    <w:rPr>
      <w:rFonts w:ascii="Calibri" w:eastAsiaTheme="minorEastAsia" w:hAnsi="Calibri"/>
      <w:lang w:eastAsia="es-SV"/>
    </w:rPr>
  </w:style>
  <w:style w:type="paragraph" w:styleId="TDC4">
    <w:name w:val="toc 4"/>
    <w:basedOn w:val="Normal"/>
    <w:next w:val="Normal"/>
    <w:uiPriority w:val="39"/>
    <w:unhideWhenUsed/>
    <w:rsid w:val="00165AC9"/>
    <w:pPr>
      <w:spacing w:after="100"/>
      <w:ind w:left="720"/>
    </w:pPr>
    <w:rPr>
      <w:rFonts w:ascii="Calibri" w:eastAsiaTheme="minorEastAsia" w:hAnsi="Calibri"/>
      <w:lang w:eastAsia="es-SV"/>
    </w:rPr>
  </w:style>
  <w:style w:type="paragraph" w:styleId="TDC5">
    <w:name w:val="toc 5"/>
    <w:basedOn w:val="Normal"/>
    <w:next w:val="Normal"/>
    <w:uiPriority w:val="39"/>
    <w:unhideWhenUsed/>
    <w:rsid w:val="00165AC9"/>
    <w:pPr>
      <w:spacing w:after="100"/>
      <w:ind w:left="960"/>
    </w:pPr>
    <w:rPr>
      <w:rFonts w:ascii="Calibri" w:eastAsiaTheme="minorEastAsia" w:hAnsi="Calibri"/>
      <w:lang w:eastAsia="es-SV"/>
    </w:rPr>
  </w:style>
  <w:style w:type="paragraph" w:styleId="TDC6">
    <w:name w:val="toc 6"/>
    <w:basedOn w:val="Normal"/>
    <w:next w:val="Normal"/>
    <w:uiPriority w:val="39"/>
    <w:unhideWhenUsed/>
    <w:rsid w:val="00165AC9"/>
    <w:pPr>
      <w:spacing w:after="100"/>
      <w:ind w:left="1200"/>
    </w:pPr>
    <w:rPr>
      <w:rFonts w:ascii="Calibri" w:eastAsiaTheme="minorEastAsia" w:hAnsi="Calibri"/>
      <w:lang w:eastAsia="es-SV"/>
    </w:rPr>
  </w:style>
  <w:style w:type="paragraph" w:styleId="TDC7">
    <w:name w:val="toc 7"/>
    <w:basedOn w:val="Normal"/>
    <w:next w:val="Normal"/>
    <w:uiPriority w:val="39"/>
    <w:unhideWhenUsed/>
    <w:rsid w:val="00165AC9"/>
    <w:pPr>
      <w:spacing w:after="100"/>
      <w:ind w:left="1440"/>
    </w:pPr>
    <w:rPr>
      <w:rFonts w:ascii="Calibri" w:eastAsiaTheme="minorEastAsia" w:hAnsi="Calibri"/>
      <w:lang w:eastAsia="es-SV"/>
    </w:rPr>
  </w:style>
  <w:style w:type="paragraph" w:styleId="TDC8">
    <w:name w:val="toc 8"/>
    <w:basedOn w:val="Normal"/>
    <w:next w:val="Normal"/>
    <w:uiPriority w:val="39"/>
    <w:unhideWhenUsed/>
    <w:rsid w:val="00165AC9"/>
    <w:pPr>
      <w:spacing w:after="100"/>
      <w:ind w:left="1680"/>
    </w:pPr>
    <w:rPr>
      <w:rFonts w:ascii="Calibri" w:eastAsiaTheme="minorEastAsia" w:hAnsi="Calibri"/>
      <w:lang w:eastAsia="es-SV"/>
    </w:rPr>
  </w:style>
  <w:style w:type="paragraph" w:styleId="TDC9">
    <w:name w:val="toc 9"/>
    <w:basedOn w:val="Normal"/>
    <w:next w:val="Normal"/>
    <w:uiPriority w:val="39"/>
    <w:unhideWhenUsed/>
    <w:rsid w:val="00165AC9"/>
    <w:pPr>
      <w:spacing w:after="100"/>
      <w:ind w:left="1920"/>
    </w:pPr>
    <w:rPr>
      <w:rFonts w:ascii="Calibri" w:eastAsiaTheme="minorEastAsia" w:hAnsi="Calibri"/>
      <w:lang w:eastAsia="es-SV"/>
    </w:rPr>
  </w:style>
  <w:style w:type="character" w:styleId="Hipervnculovisitado">
    <w:name w:val="FollowedHyperlink"/>
    <w:basedOn w:val="Fuentedeprrafopredeter"/>
    <w:uiPriority w:val="99"/>
    <w:semiHidden/>
    <w:unhideWhenUsed/>
    <w:rsid w:val="00165AC9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165AC9"/>
    <w:pPr>
      <w:spacing w:after="0" w:line="278" w:lineRule="auto"/>
    </w:pPr>
    <w:rPr>
      <w:kern w:val="2"/>
      <w:sz w:val="24"/>
      <w:szCs w:val="24"/>
      <w14:ligatures w14:val="standardContextual"/>
    </w:rPr>
  </w:style>
  <w:style w:type="paragraph" w:styleId="Listaconvietas">
    <w:name w:val="List Bullet"/>
    <w:basedOn w:val="Normal"/>
    <w:uiPriority w:val="99"/>
    <w:unhideWhenUsed/>
    <w:rsid w:val="00165AC9"/>
    <w:pPr>
      <w:numPr>
        <w:numId w:val="1"/>
      </w:numPr>
      <w:spacing w:after="200"/>
      <w:contextualSpacing/>
    </w:pPr>
    <w:rPr>
      <w:rFonts w:ascii="Calibri" w:eastAsiaTheme="minorEastAsia" w:hAnsi="Calibri"/>
      <w:sz w:val="22"/>
      <w:szCs w:val="2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165AC9"/>
    <w:pPr>
      <w:spacing w:before="240" w:after="0" w:line="259" w:lineRule="auto"/>
      <w:outlineLvl w:val="9"/>
    </w:pPr>
    <w:rPr>
      <w:kern w:val="0"/>
      <w:sz w:val="32"/>
      <w:szCs w:val="32"/>
      <w:lang w:eastAsia="es-SV"/>
      <w14:ligatures w14:val="none"/>
    </w:rPr>
  </w:style>
  <w:style w:type="character" w:styleId="Textoennegrita">
    <w:name w:val="Strong"/>
    <w:basedOn w:val="Fuentedeprrafopredeter"/>
    <w:uiPriority w:val="22"/>
    <w:qFormat/>
    <w:rsid w:val="00165AC9"/>
    <w:rPr>
      <w:b/>
      <w:bCs/>
    </w:rPr>
  </w:style>
  <w:style w:type="numbering" w:customStyle="1" w:styleId="Sinlista1">
    <w:name w:val="Sin lista1"/>
    <w:next w:val="Sinlista"/>
    <w:uiPriority w:val="99"/>
    <w:semiHidden/>
    <w:unhideWhenUsed/>
    <w:rsid w:val="00165AC9"/>
  </w:style>
  <w:style w:type="table" w:customStyle="1" w:styleId="TableGrid">
    <w:name w:val="TableGrid"/>
    <w:rsid w:val="00165AC9"/>
    <w:pPr>
      <w:spacing w:after="0" w:line="240" w:lineRule="auto"/>
    </w:pPr>
    <w:rPr>
      <w:rFonts w:eastAsia="Times New Roman"/>
      <w:kern w:val="2"/>
      <w:sz w:val="24"/>
      <w:szCs w:val="24"/>
      <w:lang w:val="es-ES" w:eastAsia="es-ES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3-nfasis41">
    <w:name w:val="Tabla con cuadrícula 3 - Énfasis 41"/>
    <w:basedOn w:val="Tablanormal"/>
    <w:next w:val="Tablaconcuadrcula3-nfasis4"/>
    <w:uiPriority w:val="48"/>
    <w:rsid w:val="00165AC9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60CAF3"/>
        <w:left w:val="single" w:sz="4" w:space="0" w:color="60CAF3"/>
        <w:bottom w:val="single" w:sz="4" w:space="0" w:color="60CAF3"/>
        <w:right w:val="single" w:sz="4" w:space="0" w:color="60CAF3"/>
        <w:insideH w:val="single" w:sz="4" w:space="0" w:color="60CAF3"/>
        <w:insideV w:val="single" w:sz="4" w:space="0" w:color="60CAF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AEDFB"/>
      </w:tcPr>
    </w:tblStylePr>
    <w:tblStylePr w:type="band1Horz">
      <w:tblPr/>
      <w:tcPr>
        <w:shd w:val="clear" w:color="auto" w:fill="CAEDFB"/>
      </w:tcPr>
    </w:tblStylePr>
    <w:tblStylePr w:type="neCell">
      <w:tblPr/>
      <w:tcPr>
        <w:tcBorders>
          <w:bottom w:val="single" w:sz="4" w:space="0" w:color="60CAF3"/>
        </w:tcBorders>
      </w:tcPr>
    </w:tblStylePr>
    <w:tblStylePr w:type="nwCell">
      <w:tblPr/>
      <w:tcPr>
        <w:tcBorders>
          <w:bottom w:val="single" w:sz="4" w:space="0" w:color="60CAF3"/>
        </w:tcBorders>
      </w:tcPr>
    </w:tblStylePr>
    <w:tblStylePr w:type="seCell">
      <w:tblPr/>
      <w:tcPr>
        <w:tcBorders>
          <w:top w:val="single" w:sz="4" w:space="0" w:color="60CAF3"/>
        </w:tcBorders>
      </w:tcPr>
    </w:tblStylePr>
    <w:tblStylePr w:type="swCell">
      <w:tblPr/>
      <w:tcPr>
        <w:tcBorders>
          <w:top w:val="single" w:sz="4" w:space="0" w:color="60CAF3"/>
        </w:tcBorders>
      </w:tcPr>
    </w:tblStylePr>
  </w:style>
  <w:style w:type="table" w:customStyle="1" w:styleId="Tablaconcuadrcula1clara-nfasis41">
    <w:name w:val="Tabla con cuadrícula 1 clara - Énfasis 41"/>
    <w:basedOn w:val="Tablanormal"/>
    <w:next w:val="Tablaconcuadrcula1clara-nfasis4"/>
    <w:uiPriority w:val="46"/>
    <w:rsid w:val="00165AC9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95DCF7"/>
        <w:left w:val="single" w:sz="4" w:space="0" w:color="95DCF7"/>
        <w:bottom w:val="single" w:sz="4" w:space="0" w:color="95DCF7"/>
        <w:right w:val="single" w:sz="4" w:space="0" w:color="95DCF7"/>
        <w:insideH w:val="single" w:sz="4" w:space="0" w:color="95DCF7"/>
        <w:insideV w:val="single" w:sz="4" w:space="0" w:color="95DCF7"/>
      </w:tblBorders>
    </w:tblPr>
    <w:tblStylePr w:type="firstRow">
      <w:rPr>
        <w:b/>
        <w:bCs/>
      </w:rPr>
      <w:tblPr/>
      <w:tcPr>
        <w:tcBorders>
          <w:bottom w:val="single" w:sz="12" w:space="0" w:color="60CAF3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1clara-nfasis11">
    <w:name w:val="Tabla con cuadrícula 1 clara - Énfasis 11"/>
    <w:basedOn w:val="Tablanormal"/>
    <w:next w:val="Tablaconcuadrcula1clara-nfasis1"/>
    <w:uiPriority w:val="46"/>
    <w:rsid w:val="00165AC9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83CAEB"/>
        <w:left w:val="single" w:sz="4" w:space="0" w:color="83CAEB"/>
        <w:bottom w:val="single" w:sz="4" w:space="0" w:color="83CAEB"/>
        <w:right w:val="single" w:sz="4" w:space="0" w:color="83CAEB"/>
        <w:insideH w:val="single" w:sz="4" w:space="0" w:color="83CAEB"/>
        <w:insideV w:val="single" w:sz="4" w:space="0" w:color="83CAEB"/>
      </w:tblBorders>
    </w:tblPr>
    <w:tblStylePr w:type="firstRow">
      <w:rPr>
        <w:b/>
        <w:bCs/>
      </w:rPr>
      <w:tblPr/>
      <w:tcPr>
        <w:tcBorders>
          <w:bottom w:val="single" w:sz="12" w:space="0" w:color="45B0E1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next w:val="Tablaconcuadrcula2-nfasis4"/>
    <w:uiPriority w:val="47"/>
    <w:rsid w:val="00165AC9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2" w:space="0" w:color="60CAF3"/>
        <w:bottom w:val="single" w:sz="2" w:space="0" w:color="60CAF3"/>
        <w:insideH w:val="single" w:sz="2" w:space="0" w:color="60CAF3"/>
        <w:insideV w:val="single" w:sz="2" w:space="0" w:color="60CAF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0CAF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/>
      </w:tcPr>
    </w:tblStylePr>
    <w:tblStylePr w:type="band1Horz">
      <w:tblPr/>
      <w:tcPr>
        <w:shd w:val="clear" w:color="auto" w:fill="CAEDFB"/>
      </w:tcPr>
    </w:tblStylePr>
  </w:style>
  <w:style w:type="table" w:customStyle="1" w:styleId="Tablaconcuadrcula3-nfasis11">
    <w:name w:val="Tabla con cuadrícula 3 - Énfasis 11"/>
    <w:basedOn w:val="Tablanormal"/>
    <w:next w:val="Tablaconcuadrcula3-nfasis1"/>
    <w:uiPriority w:val="48"/>
    <w:rsid w:val="00165AC9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45B0E1"/>
        <w:left w:val="single" w:sz="4" w:space="0" w:color="45B0E1"/>
        <w:bottom w:val="single" w:sz="4" w:space="0" w:color="45B0E1"/>
        <w:right w:val="single" w:sz="4" w:space="0" w:color="45B0E1"/>
        <w:insideH w:val="single" w:sz="4" w:space="0" w:color="45B0E1"/>
        <w:insideV w:val="single" w:sz="4" w:space="0" w:color="45B0E1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1E4F5"/>
      </w:tcPr>
    </w:tblStylePr>
    <w:tblStylePr w:type="band1Horz">
      <w:tblPr/>
      <w:tcPr>
        <w:shd w:val="clear" w:color="auto" w:fill="C1E4F5"/>
      </w:tcPr>
    </w:tblStylePr>
    <w:tblStylePr w:type="neCell">
      <w:tblPr/>
      <w:tcPr>
        <w:tcBorders>
          <w:bottom w:val="single" w:sz="4" w:space="0" w:color="45B0E1"/>
        </w:tcBorders>
      </w:tcPr>
    </w:tblStylePr>
    <w:tblStylePr w:type="nwCell">
      <w:tblPr/>
      <w:tcPr>
        <w:tcBorders>
          <w:bottom w:val="single" w:sz="4" w:space="0" w:color="45B0E1"/>
        </w:tcBorders>
      </w:tcPr>
    </w:tblStylePr>
    <w:tblStylePr w:type="seCell">
      <w:tblPr/>
      <w:tcPr>
        <w:tcBorders>
          <w:top w:val="single" w:sz="4" w:space="0" w:color="45B0E1"/>
        </w:tcBorders>
      </w:tcPr>
    </w:tblStylePr>
    <w:tblStylePr w:type="swCell">
      <w:tblPr/>
      <w:tcPr>
        <w:tcBorders>
          <w:top w:val="single" w:sz="4" w:space="0" w:color="45B0E1"/>
        </w:tcBorders>
      </w:tcPr>
    </w:tblStylePr>
  </w:style>
  <w:style w:type="table" w:styleId="Tablaconcuadrcula3-nfasis4">
    <w:name w:val="Grid Table 3 Accent 4"/>
    <w:basedOn w:val="Tablanormal"/>
    <w:uiPriority w:val="48"/>
    <w:rsid w:val="00165AC9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1clara-nfasis4">
    <w:name w:val="Grid Table 1 Light Accent 4"/>
    <w:basedOn w:val="Tablanormal"/>
    <w:uiPriority w:val="46"/>
    <w:rsid w:val="00165AC9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165AC9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4">
    <w:name w:val="Grid Table 2 Accent 4"/>
    <w:basedOn w:val="Tablanormal"/>
    <w:uiPriority w:val="47"/>
    <w:rsid w:val="00165AC9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3-nfasis1">
    <w:name w:val="Grid Table 3 Accent 1"/>
    <w:basedOn w:val="Tablanormal"/>
    <w:uiPriority w:val="48"/>
    <w:rsid w:val="00165AC9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165A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65A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65AC9"/>
    <w:rPr>
      <w:rFonts w:ascii="Times New Roman" w:hAnsi="Times New Roman"/>
      <w:kern w:val="2"/>
      <w:sz w:val="20"/>
      <w:szCs w:val="20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5A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5AC9"/>
    <w:rPr>
      <w:rFonts w:ascii="Times New Roman" w:hAnsi="Times New Roman"/>
      <w:b/>
      <w:bCs/>
      <w:kern w:val="2"/>
      <w:sz w:val="20"/>
      <w:szCs w:val="20"/>
      <w14:ligatures w14:val="standardContextual"/>
    </w:rPr>
  </w:style>
  <w:style w:type="table" w:styleId="Tablaconcuadrcula1clara">
    <w:name w:val="Grid Table 1 Light"/>
    <w:basedOn w:val="Tablanormal"/>
    <w:uiPriority w:val="46"/>
    <w:rsid w:val="00165AC9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4998</Words>
  <Characters>27490</Characters>
  <Application>Microsoft Office Word</Application>
  <DocSecurity>0</DocSecurity>
  <Lines>229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Alexander Parrillas S�nchez</dc:creator>
  <cp:keywords/>
  <dc:description/>
  <cp:lastModifiedBy>David Alexander Parrillas S�nchez</cp:lastModifiedBy>
  <cp:revision>2</cp:revision>
  <dcterms:created xsi:type="dcterms:W3CDTF">2025-06-12T19:26:00Z</dcterms:created>
  <dcterms:modified xsi:type="dcterms:W3CDTF">2025-06-12T20:01:00Z</dcterms:modified>
</cp:coreProperties>
</file>