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719E1" w14:textId="77777777" w:rsidR="00060622" w:rsidRDefault="001C5AE5">
      <w:pPr>
        <w:pStyle w:val="Title"/>
      </w:pPr>
      <w:r>
        <w:t>“The role of community-based service organisations in the humanitarian response to infectious disease crises in vulnerable populations of sub-Saharan Africa”</w:t>
      </w:r>
    </w:p>
    <w:p w14:paraId="7898D2DB" w14:textId="77777777" w:rsidR="00060622" w:rsidRDefault="001C5AE5">
      <w:pPr>
        <w:pStyle w:val="Subtitle"/>
      </w:pPr>
      <w:r>
        <w:t>for MGMT-5090</w:t>
      </w:r>
    </w:p>
    <w:p w14:paraId="19DE2129" w14:textId="77777777" w:rsidR="00060622" w:rsidRDefault="001C5AE5">
      <w:pPr>
        <w:pStyle w:val="Author"/>
      </w:pPr>
      <w:r>
        <w:t>David Fong, daf422@g.harvard.edu</w:t>
      </w:r>
    </w:p>
    <w:p w14:paraId="79AAD046" w14:textId="77777777" w:rsidR="00060622" w:rsidRDefault="001C5AE5">
      <w:pPr>
        <w:pStyle w:val="Date"/>
      </w:pPr>
      <w:r>
        <w:t>05/11/2022</w:t>
      </w:r>
    </w:p>
    <w:sdt>
      <w:sdtPr>
        <w:rPr>
          <w:rFonts w:ascii="Liberation Serif" w:eastAsiaTheme="minorHAnsi" w:hAnsi="Liberation Serif" w:cstheme="minorBidi"/>
          <w:color w:val="auto"/>
          <w:sz w:val="24"/>
          <w:szCs w:val="24"/>
        </w:rPr>
        <w:id w:val="-1264293334"/>
        <w:docPartObj>
          <w:docPartGallery w:val="Table of Contents"/>
          <w:docPartUnique/>
        </w:docPartObj>
      </w:sdtPr>
      <w:sdtEndPr/>
      <w:sdtContent>
        <w:p w14:paraId="2904F7FB" w14:textId="77777777" w:rsidR="00060622" w:rsidRDefault="001C5AE5">
          <w:pPr>
            <w:pStyle w:val="TOCHeading1"/>
          </w:pPr>
          <w:r>
            <w:t>Table of contents</w:t>
          </w:r>
        </w:p>
        <w:p w14:paraId="3EAA170D" w14:textId="77777777" w:rsidR="001B35F8" w:rsidRDefault="001C5AE5">
          <w:pPr>
            <w:pStyle w:val="TOC2"/>
            <w:tabs>
              <w:tab w:val="right" w:leader="dot" w:pos="9016"/>
            </w:tabs>
            <w:rPr>
              <w:rFonts w:asciiTheme="minorHAnsi" w:eastAsiaTheme="minorEastAsia" w:hAnsiTheme="minorHAnsi"/>
              <w:noProof/>
              <w:sz w:val="22"/>
              <w:szCs w:val="22"/>
              <w:lang w:eastAsia="zh-CN"/>
            </w:rPr>
          </w:pPr>
          <w:r>
            <w:fldChar w:fldCharType="begin"/>
          </w:r>
          <w:r>
            <w:instrText>TOC \o "1-3" \h \z \u</w:instrText>
          </w:r>
          <w:r>
            <w:fldChar w:fldCharType="separate"/>
          </w:r>
          <w:hyperlink w:anchor="_Toc103228652" w:history="1">
            <w:r w:rsidR="001B35F8" w:rsidRPr="00FE5724">
              <w:rPr>
                <w:rStyle w:val="Hyperlink"/>
                <w:noProof/>
              </w:rPr>
              <w:t>Introduction</w:t>
            </w:r>
            <w:r w:rsidR="001B35F8">
              <w:rPr>
                <w:noProof/>
                <w:webHidden/>
              </w:rPr>
              <w:tab/>
            </w:r>
            <w:r w:rsidR="001B35F8">
              <w:rPr>
                <w:noProof/>
                <w:webHidden/>
              </w:rPr>
              <w:fldChar w:fldCharType="begin"/>
            </w:r>
            <w:r w:rsidR="001B35F8">
              <w:rPr>
                <w:noProof/>
                <w:webHidden/>
              </w:rPr>
              <w:instrText xml:space="preserve"> PAGEREF _Toc103228652 \h </w:instrText>
            </w:r>
            <w:r w:rsidR="001B35F8">
              <w:rPr>
                <w:noProof/>
                <w:webHidden/>
              </w:rPr>
            </w:r>
            <w:r w:rsidR="001B35F8">
              <w:rPr>
                <w:noProof/>
                <w:webHidden/>
              </w:rPr>
              <w:fldChar w:fldCharType="separate"/>
            </w:r>
            <w:r w:rsidR="001B35F8">
              <w:rPr>
                <w:noProof/>
                <w:webHidden/>
              </w:rPr>
              <w:t>3</w:t>
            </w:r>
            <w:r w:rsidR="001B35F8">
              <w:rPr>
                <w:noProof/>
                <w:webHidden/>
              </w:rPr>
              <w:fldChar w:fldCharType="end"/>
            </w:r>
          </w:hyperlink>
        </w:p>
        <w:p w14:paraId="1E431069" w14:textId="77777777" w:rsidR="001B35F8" w:rsidRDefault="001B35F8">
          <w:pPr>
            <w:pStyle w:val="TOC2"/>
            <w:tabs>
              <w:tab w:val="right" w:leader="dot" w:pos="9016"/>
            </w:tabs>
            <w:rPr>
              <w:rFonts w:asciiTheme="minorHAnsi" w:eastAsiaTheme="minorEastAsia" w:hAnsiTheme="minorHAnsi"/>
              <w:noProof/>
              <w:sz w:val="22"/>
              <w:szCs w:val="22"/>
              <w:lang w:eastAsia="zh-CN"/>
            </w:rPr>
          </w:pPr>
          <w:hyperlink w:anchor="_Toc103228653" w:history="1">
            <w:r w:rsidRPr="00FE5724">
              <w:rPr>
                <w:rStyle w:val="Hyperlink"/>
                <w:noProof/>
              </w:rPr>
              <w:t>Infectious disease crises and social welfare</w:t>
            </w:r>
            <w:r>
              <w:rPr>
                <w:noProof/>
                <w:webHidden/>
              </w:rPr>
              <w:tab/>
            </w:r>
            <w:r>
              <w:rPr>
                <w:noProof/>
                <w:webHidden/>
              </w:rPr>
              <w:fldChar w:fldCharType="begin"/>
            </w:r>
            <w:r>
              <w:rPr>
                <w:noProof/>
                <w:webHidden/>
              </w:rPr>
              <w:instrText xml:space="preserve"> PAGEREF _Toc103228653 \h </w:instrText>
            </w:r>
            <w:r>
              <w:rPr>
                <w:noProof/>
                <w:webHidden/>
              </w:rPr>
            </w:r>
            <w:r>
              <w:rPr>
                <w:noProof/>
                <w:webHidden/>
              </w:rPr>
              <w:fldChar w:fldCharType="separate"/>
            </w:r>
            <w:r>
              <w:rPr>
                <w:noProof/>
                <w:webHidden/>
              </w:rPr>
              <w:t>5</w:t>
            </w:r>
            <w:r>
              <w:rPr>
                <w:noProof/>
                <w:webHidden/>
              </w:rPr>
              <w:fldChar w:fldCharType="end"/>
            </w:r>
          </w:hyperlink>
        </w:p>
        <w:p w14:paraId="0DD958F3" w14:textId="77777777" w:rsidR="001B35F8" w:rsidRDefault="001B35F8">
          <w:pPr>
            <w:pStyle w:val="TOC2"/>
            <w:tabs>
              <w:tab w:val="right" w:leader="dot" w:pos="9016"/>
            </w:tabs>
            <w:rPr>
              <w:rFonts w:asciiTheme="minorHAnsi" w:eastAsiaTheme="minorEastAsia" w:hAnsiTheme="minorHAnsi"/>
              <w:noProof/>
              <w:sz w:val="22"/>
              <w:szCs w:val="22"/>
              <w:lang w:eastAsia="zh-CN"/>
            </w:rPr>
          </w:pPr>
          <w:hyperlink w:anchor="_Toc103228654" w:history="1">
            <w:r w:rsidRPr="00FE5724">
              <w:rPr>
                <w:rStyle w:val="Hyperlink"/>
                <w:noProof/>
              </w:rPr>
              <w:t>Reducing social welfare loss: the Comprehensive Risk Management Framework</w:t>
            </w:r>
            <w:r>
              <w:rPr>
                <w:noProof/>
                <w:webHidden/>
              </w:rPr>
              <w:tab/>
            </w:r>
            <w:r>
              <w:rPr>
                <w:noProof/>
                <w:webHidden/>
              </w:rPr>
              <w:fldChar w:fldCharType="begin"/>
            </w:r>
            <w:r>
              <w:rPr>
                <w:noProof/>
                <w:webHidden/>
              </w:rPr>
              <w:instrText xml:space="preserve"> PAGEREF _Toc103228654 \h </w:instrText>
            </w:r>
            <w:r>
              <w:rPr>
                <w:noProof/>
                <w:webHidden/>
              </w:rPr>
            </w:r>
            <w:r>
              <w:rPr>
                <w:noProof/>
                <w:webHidden/>
              </w:rPr>
              <w:fldChar w:fldCharType="separate"/>
            </w:r>
            <w:r>
              <w:rPr>
                <w:noProof/>
                <w:webHidden/>
              </w:rPr>
              <w:t>5</w:t>
            </w:r>
            <w:r>
              <w:rPr>
                <w:noProof/>
                <w:webHidden/>
              </w:rPr>
              <w:fldChar w:fldCharType="end"/>
            </w:r>
          </w:hyperlink>
        </w:p>
        <w:p w14:paraId="66361CB8" w14:textId="77777777" w:rsidR="001B35F8" w:rsidRDefault="001B35F8">
          <w:pPr>
            <w:pStyle w:val="TOC3"/>
            <w:tabs>
              <w:tab w:val="right" w:leader="dot" w:pos="9016"/>
            </w:tabs>
            <w:rPr>
              <w:rFonts w:asciiTheme="minorHAnsi" w:eastAsiaTheme="minorEastAsia" w:hAnsiTheme="minorHAnsi"/>
              <w:noProof/>
              <w:sz w:val="22"/>
              <w:szCs w:val="22"/>
              <w:lang w:eastAsia="zh-CN"/>
            </w:rPr>
          </w:pPr>
          <w:hyperlink w:anchor="_Toc103228655" w:history="1">
            <w:r w:rsidRPr="00FE5724">
              <w:rPr>
                <w:rStyle w:val="Hyperlink"/>
                <w:noProof/>
              </w:rPr>
              <w:t>Prevention and mitigation</w:t>
            </w:r>
            <w:r>
              <w:rPr>
                <w:noProof/>
                <w:webHidden/>
              </w:rPr>
              <w:tab/>
            </w:r>
            <w:r>
              <w:rPr>
                <w:noProof/>
                <w:webHidden/>
              </w:rPr>
              <w:fldChar w:fldCharType="begin"/>
            </w:r>
            <w:r>
              <w:rPr>
                <w:noProof/>
                <w:webHidden/>
              </w:rPr>
              <w:instrText xml:space="preserve"> PAGEREF _Toc103228655 \h </w:instrText>
            </w:r>
            <w:r>
              <w:rPr>
                <w:noProof/>
                <w:webHidden/>
              </w:rPr>
            </w:r>
            <w:r>
              <w:rPr>
                <w:noProof/>
                <w:webHidden/>
              </w:rPr>
              <w:fldChar w:fldCharType="separate"/>
            </w:r>
            <w:r>
              <w:rPr>
                <w:noProof/>
                <w:webHidden/>
              </w:rPr>
              <w:t>6</w:t>
            </w:r>
            <w:r>
              <w:rPr>
                <w:noProof/>
                <w:webHidden/>
              </w:rPr>
              <w:fldChar w:fldCharType="end"/>
            </w:r>
          </w:hyperlink>
        </w:p>
        <w:p w14:paraId="44F8B2C2" w14:textId="77777777" w:rsidR="001B35F8" w:rsidRDefault="001B35F8">
          <w:pPr>
            <w:pStyle w:val="TOC3"/>
            <w:tabs>
              <w:tab w:val="right" w:leader="dot" w:pos="9016"/>
            </w:tabs>
            <w:rPr>
              <w:rFonts w:asciiTheme="minorHAnsi" w:eastAsiaTheme="minorEastAsia" w:hAnsiTheme="minorHAnsi"/>
              <w:noProof/>
              <w:sz w:val="22"/>
              <w:szCs w:val="22"/>
              <w:lang w:eastAsia="zh-CN"/>
            </w:rPr>
          </w:pPr>
          <w:hyperlink w:anchor="_Toc103228656" w:history="1">
            <w:r w:rsidRPr="00FE5724">
              <w:rPr>
                <w:rStyle w:val="Hyperlink"/>
                <w:noProof/>
              </w:rPr>
              <w:t>Response and preparation for response</w:t>
            </w:r>
            <w:r>
              <w:rPr>
                <w:noProof/>
                <w:webHidden/>
              </w:rPr>
              <w:tab/>
            </w:r>
            <w:r>
              <w:rPr>
                <w:noProof/>
                <w:webHidden/>
              </w:rPr>
              <w:fldChar w:fldCharType="begin"/>
            </w:r>
            <w:r>
              <w:rPr>
                <w:noProof/>
                <w:webHidden/>
              </w:rPr>
              <w:instrText xml:space="preserve"> PAGEREF _Toc103228656 \h </w:instrText>
            </w:r>
            <w:r>
              <w:rPr>
                <w:noProof/>
                <w:webHidden/>
              </w:rPr>
            </w:r>
            <w:r>
              <w:rPr>
                <w:noProof/>
                <w:webHidden/>
              </w:rPr>
              <w:fldChar w:fldCharType="separate"/>
            </w:r>
            <w:r>
              <w:rPr>
                <w:noProof/>
                <w:webHidden/>
              </w:rPr>
              <w:t>7</w:t>
            </w:r>
            <w:r>
              <w:rPr>
                <w:noProof/>
                <w:webHidden/>
              </w:rPr>
              <w:fldChar w:fldCharType="end"/>
            </w:r>
          </w:hyperlink>
        </w:p>
        <w:p w14:paraId="13EE963E" w14:textId="77777777" w:rsidR="001B35F8" w:rsidRDefault="001B35F8">
          <w:pPr>
            <w:pStyle w:val="TOC3"/>
            <w:tabs>
              <w:tab w:val="right" w:leader="dot" w:pos="9016"/>
            </w:tabs>
            <w:rPr>
              <w:rFonts w:asciiTheme="minorHAnsi" w:eastAsiaTheme="minorEastAsia" w:hAnsiTheme="minorHAnsi"/>
              <w:noProof/>
              <w:sz w:val="22"/>
              <w:szCs w:val="22"/>
              <w:lang w:eastAsia="zh-CN"/>
            </w:rPr>
          </w:pPr>
          <w:hyperlink w:anchor="_Toc103228657" w:history="1">
            <w:r w:rsidRPr="00FE5724">
              <w:rPr>
                <w:rStyle w:val="Hyperlink"/>
                <w:noProof/>
              </w:rPr>
              <w:t>Recovery</w:t>
            </w:r>
            <w:r>
              <w:rPr>
                <w:noProof/>
                <w:webHidden/>
              </w:rPr>
              <w:tab/>
            </w:r>
            <w:r>
              <w:rPr>
                <w:noProof/>
                <w:webHidden/>
              </w:rPr>
              <w:fldChar w:fldCharType="begin"/>
            </w:r>
            <w:r>
              <w:rPr>
                <w:noProof/>
                <w:webHidden/>
              </w:rPr>
              <w:instrText xml:space="preserve"> PAGEREF _Toc103228657 \h </w:instrText>
            </w:r>
            <w:r>
              <w:rPr>
                <w:noProof/>
                <w:webHidden/>
              </w:rPr>
            </w:r>
            <w:r>
              <w:rPr>
                <w:noProof/>
                <w:webHidden/>
              </w:rPr>
              <w:fldChar w:fldCharType="separate"/>
            </w:r>
            <w:r>
              <w:rPr>
                <w:noProof/>
                <w:webHidden/>
              </w:rPr>
              <w:t>8</w:t>
            </w:r>
            <w:r>
              <w:rPr>
                <w:noProof/>
                <w:webHidden/>
              </w:rPr>
              <w:fldChar w:fldCharType="end"/>
            </w:r>
          </w:hyperlink>
        </w:p>
        <w:p w14:paraId="4306933A" w14:textId="77777777" w:rsidR="001B35F8" w:rsidRDefault="001B35F8">
          <w:pPr>
            <w:pStyle w:val="TOC3"/>
            <w:tabs>
              <w:tab w:val="right" w:leader="dot" w:pos="9016"/>
            </w:tabs>
            <w:rPr>
              <w:rFonts w:asciiTheme="minorHAnsi" w:eastAsiaTheme="minorEastAsia" w:hAnsiTheme="minorHAnsi"/>
              <w:noProof/>
              <w:sz w:val="22"/>
              <w:szCs w:val="22"/>
              <w:lang w:eastAsia="zh-CN"/>
            </w:rPr>
          </w:pPr>
          <w:hyperlink w:anchor="_Toc103228658" w:history="1">
            <w:r w:rsidRPr="00FE5724">
              <w:rPr>
                <w:rStyle w:val="Hyperlink"/>
                <w:noProof/>
              </w:rPr>
              <w:t>Preparing for recovery</w:t>
            </w:r>
            <w:r>
              <w:rPr>
                <w:noProof/>
                <w:webHidden/>
              </w:rPr>
              <w:tab/>
            </w:r>
            <w:r>
              <w:rPr>
                <w:noProof/>
                <w:webHidden/>
              </w:rPr>
              <w:fldChar w:fldCharType="begin"/>
            </w:r>
            <w:r>
              <w:rPr>
                <w:noProof/>
                <w:webHidden/>
              </w:rPr>
              <w:instrText xml:space="preserve"> PAGEREF _Toc103228658 \h </w:instrText>
            </w:r>
            <w:r>
              <w:rPr>
                <w:noProof/>
                <w:webHidden/>
              </w:rPr>
            </w:r>
            <w:r>
              <w:rPr>
                <w:noProof/>
                <w:webHidden/>
              </w:rPr>
              <w:fldChar w:fldCharType="separate"/>
            </w:r>
            <w:r>
              <w:rPr>
                <w:noProof/>
                <w:webHidden/>
              </w:rPr>
              <w:t>8</w:t>
            </w:r>
            <w:r>
              <w:rPr>
                <w:noProof/>
                <w:webHidden/>
              </w:rPr>
              <w:fldChar w:fldCharType="end"/>
            </w:r>
          </w:hyperlink>
        </w:p>
        <w:p w14:paraId="6E4AF594" w14:textId="77777777" w:rsidR="001B35F8" w:rsidRDefault="001B35F8">
          <w:pPr>
            <w:pStyle w:val="TOC2"/>
            <w:tabs>
              <w:tab w:val="right" w:leader="dot" w:pos="9016"/>
            </w:tabs>
            <w:rPr>
              <w:rFonts w:asciiTheme="minorHAnsi" w:eastAsiaTheme="minorEastAsia" w:hAnsiTheme="minorHAnsi"/>
              <w:noProof/>
              <w:sz w:val="22"/>
              <w:szCs w:val="22"/>
              <w:lang w:eastAsia="zh-CN"/>
            </w:rPr>
          </w:pPr>
          <w:hyperlink w:anchor="_Toc103228659" w:history="1">
            <w:r w:rsidRPr="00FE5724">
              <w:rPr>
                <w:rStyle w:val="Hyperlink"/>
                <w:noProof/>
              </w:rPr>
              <w:t>Benefits of involving CBOs in crisis response</w:t>
            </w:r>
            <w:r>
              <w:rPr>
                <w:noProof/>
                <w:webHidden/>
              </w:rPr>
              <w:tab/>
            </w:r>
            <w:r>
              <w:rPr>
                <w:noProof/>
                <w:webHidden/>
              </w:rPr>
              <w:fldChar w:fldCharType="begin"/>
            </w:r>
            <w:r>
              <w:rPr>
                <w:noProof/>
                <w:webHidden/>
              </w:rPr>
              <w:instrText xml:space="preserve"> PAGEREF _Toc103228659 \h </w:instrText>
            </w:r>
            <w:r>
              <w:rPr>
                <w:noProof/>
                <w:webHidden/>
              </w:rPr>
            </w:r>
            <w:r>
              <w:rPr>
                <w:noProof/>
                <w:webHidden/>
              </w:rPr>
              <w:fldChar w:fldCharType="separate"/>
            </w:r>
            <w:r>
              <w:rPr>
                <w:noProof/>
                <w:webHidden/>
              </w:rPr>
              <w:t>9</w:t>
            </w:r>
            <w:r>
              <w:rPr>
                <w:noProof/>
                <w:webHidden/>
              </w:rPr>
              <w:fldChar w:fldCharType="end"/>
            </w:r>
          </w:hyperlink>
        </w:p>
        <w:p w14:paraId="4CBC22FB" w14:textId="77777777" w:rsidR="001B35F8" w:rsidRDefault="001B35F8">
          <w:pPr>
            <w:pStyle w:val="TOC3"/>
            <w:tabs>
              <w:tab w:val="right" w:leader="dot" w:pos="9016"/>
            </w:tabs>
            <w:rPr>
              <w:rFonts w:asciiTheme="minorHAnsi" w:eastAsiaTheme="minorEastAsia" w:hAnsiTheme="minorHAnsi"/>
              <w:noProof/>
              <w:sz w:val="22"/>
              <w:szCs w:val="22"/>
              <w:lang w:eastAsia="zh-CN"/>
            </w:rPr>
          </w:pPr>
          <w:hyperlink w:anchor="_Toc103228660" w:history="1">
            <w:r w:rsidRPr="00FE5724">
              <w:rPr>
                <w:rStyle w:val="Hyperlink"/>
                <w:noProof/>
              </w:rPr>
              <w:t>Local knowledge</w:t>
            </w:r>
            <w:r>
              <w:rPr>
                <w:noProof/>
                <w:webHidden/>
              </w:rPr>
              <w:tab/>
            </w:r>
            <w:r>
              <w:rPr>
                <w:noProof/>
                <w:webHidden/>
              </w:rPr>
              <w:fldChar w:fldCharType="begin"/>
            </w:r>
            <w:r>
              <w:rPr>
                <w:noProof/>
                <w:webHidden/>
              </w:rPr>
              <w:instrText xml:space="preserve"> PAGEREF _Toc103228660 \h </w:instrText>
            </w:r>
            <w:r>
              <w:rPr>
                <w:noProof/>
                <w:webHidden/>
              </w:rPr>
            </w:r>
            <w:r>
              <w:rPr>
                <w:noProof/>
                <w:webHidden/>
              </w:rPr>
              <w:fldChar w:fldCharType="separate"/>
            </w:r>
            <w:r>
              <w:rPr>
                <w:noProof/>
                <w:webHidden/>
              </w:rPr>
              <w:t>9</w:t>
            </w:r>
            <w:r>
              <w:rPr>
                <w:noProof/>
                <w:webHidden/>
              </w:rPr>
              <w:fldChar w:fldCharType="end"/>
            </w:r>
          </w:hyperlink>
        </w:p>
        <w:p w14:paraId="6896C688" w14:textId="77777777" w:rsidR="001B35F8" w:rsidRDefault="001B35F8">
          <w:pPr>
            <w:pStyle w:val="TOC3"/>
            <w:tabs>
              <w:tab w:val="right" w:leader="dot" w:pos="9016"/>
            </w:tabs>
            <w:rPr>
              <w:rFonts w:asciiTheme="minorHAnsi" w:eastAsiaTheme="minorEastAsia" w:hAnsiTheme="minorHAnsi"/>
              <w:noProof/>
              <w:sz w:val="22"/>
              <w:szCs w:val="22"/>
              <w:lang w:eastAsia="zh-CN"/>
            </w:rPr>
          </w:pPr>
          <w:hyperlink w:anchor="_Toc103228661" w:history="1">
            <w:r w:rsidRPr="00FE5724">
              <w:rPr>
                <w:rStyle w:val="Hyperlink"/>
                <w:noProof/>
              </w:rPr>
              <w:t>Diversity</w:t>
            </w:r>
            <w:r>
              <w:rPr>
                <w:noProof/>
                <w:webHidden/>
              </w:rPr>
              <w:tab/>
            </w:r>
            <w:r>
              <w:rPr>
                <w:noProof/>
                <w:webHidden/>
              </w:rPr>
              <w:fldChar w:fldCharType="begin"/>
            </w:r>
            <w:r>
              <w:rPr>
                <w:noProof/>
                <w:webHidden/>
              </w:rPr>
              <w:instrText xml:space="preserve"> PAGEREF _Toc103228661 \h </w:instrText>
            </w:r>
            <w:r>
              <w:rPr>
                <w:noProof/>
                <w:webHidden/>
              </w:rPr>
            </w:r>
            <w:r>
              <w:rPr>
                <w:noProof/>
                <w:webHidden/>
              </w:rPr>
              <w:fldChar w:fldCharType="separate"/>
            </w:r>
            <w:r>
              <w:rPr>
                <w:noProof/>
                <w:webHidden/>
              </w:rPr>
              <w:t>10</w:t>
            </w:r>
            <w:r>
              <w:rPr>
                <w:noProof/>
                <w:webHidden/>
              </w:rPr>
              <w:fldChar w:fldCharType="end"/>
            </w:r>
          </w:hyperlink>
        </w:p>
        <w:p w14:paraId="7B4B36F4" w14:textId="77777777" w:rsidR="001B35F8" w:rsidRDefault="001B35F8">
          <w:pPr>
            <w:pStyle w:val="TOC3"/>
            <w:tabs>
              <w:tab w:val="right" w:leader="dot" w:pos="9016"/>
            </w:tabs>
            <w:rPr>
              <w:rFonts w:asciiTheme="minorHAnsi" w:eastAsiaTheme="minorEastAsia" w:hAnsiTheme="minorHAnsi"/>
              <w:noProof/>
              <w:sz w:val="22"/>
              <w:szCs w:val="22"/>
              <w:lang w:eastAsia="zh-CN"/>
            </w:rPr>
          </w:pPr>
          <w:hyperlink w:anchor="_Toc103228662" w:history="1">
            <w:r w:rsidRPr="00FE5724">
              <w:rPr>
                <w:rStyle w:val="Hyperlink"/>
                <w:noProof/>
              </w:rPr>
              <w:t>Customising the message</w:t>
            </w:r>
            <w:r>
              <w:rPr>
                <w:noProof/>
                <w:webHidden/>
              </w:rPr>
              <w:tab/>
            </w:r>
            <w:r>
              <w:rPr>
                <w:noProof/>
                <w:webHidden/>
              </w:rPr>
              <w:fldChar w:fldCharType="begin"/>
            </w:r>
            <w:r>
              <w:rPr>
                <w:noProof/>
                <w:webHidden/>
              </w:rPr>
              <w:instrText xml:space="preserve"> PAGEREF _Toc103228662 \h </w:instrText>
            </w:r>
            <w:r>
              <w:rPr>
                <w:noProof/>
                <w:webHidden/>
              </w:rPr>
            </w:r>
            <w:r>
              <w:rPr>
                <w:noProof/>
                <w:webHidden/>
              </w:rPr>
              <w:fldChar w:fldCharType="separate"/>
            </w:r>
            <w:r>
              <w:rPr>
                <w:noProof/>
                <w:webHidden/>
              </w:rPr>
              <w:t>10</w:t>
            </w:r>
            <w:r>
              <w:rPr>
                <w:noProof/>
                <w:webHidden/>
              </w:rPr>
              <w:fldChar w:fldCharType="end"/>
            </w:r>
          </w:hyperlink>
        </w:p>
        <w:p w14:paraId="0F882FE5" w14:textId="77777777" w:rsidR="001B35F8" w:rsidRDefault="001B35F8">
          <w:pPr>
            <w:pStyle w:val="TOC3"/>
            <w:tabs>
              <w:tab w:val="right" w:leader="dot" w:pos="9016"/>
            </w:tabs>
            <w:rPr>
              <w:rFonts w:asciiTheme="minorHAnsi" w:eastAsiaTheme="minorEastAsia" w:hAnsiTheme="minorHAnsi"/>
              <w:noProof/>
              <w:sz w:val="22"/>
              <w:szCs w:val="22"/>
              <w:lang w:eastAsia="zh-CN"/>
            </w:rPr>
          </w:pPr>
          <w:hyperlink w:anchor="_Toc103228663" w:history="1">
            <w:r w:rsidRPr="00FE5724">
              <w:rPr>
                <w:rStyle w:val="Hyperlink"/>
                <w:noProof/>
              </w:rPr>
              <w:t>Mobilise and empower</w:t>
            </w:r>
            <w:r>
              <w:rPr>
                <w:noProof/>
                <w:webHidden/>
              </w:rPr>
              <w:tab/>
            </w:r>
            <w:r>
              <w:rPr>
                <w:noProof/>
                <w:webHidden/>
              </w:rPr>
              <w:fldChar w:fldCharType="begin"/>
            </w:r>
            <w:r>
              <w:rPr>
                <w:noProof/>
                <w:webHidden/>
              </w:rPr>
              <w:instrText xml:space="preserve"> PAGEREF _Toc103228663 \h </w:instrText>
            </w:r>
            <w:r>
              <w:rPr>
                <w:noProof/>
                <w:webHidden/>
              </w:rPr>
            </w:r>
            <w:r>
              <w:rPr>
                <w:noProof/>
                <w:webHidden/>
              </w:rPr>
              <w:fldChar w:fldCharType="separate"/>
            </w:r>
            <w:r>
              <w:rPr>
                <w:noProof/>
                <w:webHidden/>
              </w:rPr>
              <w:t>11</w:t>
            </w:r>
            <w:r>
              <w:rPr>
                <w:noProof/>
                <w:webHidden/>
              </w:rPr>
              <w:fldChar w:fldCharType="end"/>
            </w:r>
          </w:hyperlink>
        </w:p>
        <w:p w14:paraId="76A22467" w14:textId="77777777" w:rsidR="001B35F8" w:rsidRDefault="001B35F8">
          <w:pPr>
            <w:pStyle w:val="TOC3"/>
            <w:tabs>
              <w:tab w:val="right" w:leader="dot" w:pos="9016"/>
            </w:tabs>
            <w:rPr>
              <w:rFonts w:asciiTheme="minorHAnsi" w:eastAsiaTheme="minorEastAsia" w:hAnsiTheme="minorHAnsi"/>
              <w:noProof/>
              <w:sz w:val="22"/>
              <w:szCs w:val="22"/>
              <w:lang w:eastAsia="zh-CN"/>
            </w:rPr>
          </w:pPr>
          <w:hyperlink w:anchor="_Toc103228664" w:history="1">
            <w:r w:rsidRPr="00FE5724">
              <w:rPr>
                <w:rStyle w:val="Hyperlink"/>
                <w:noProof/>
              </w:rPr>
              <w:t>Resources</w:t>
            </w:r>
            <w:r>
              <w:rPr>
                <w:noProof/>
                <w:webHidden/>
              </w:rPr>
              <w:tab/>
            </w:r>
            <w:r>
              <w:rPr>
                <w:noProof/>
                <w:webHidden/>
              </w:rPr>
              <w:fldChar w:fldCharType="begin"/>
            </w:r>
            <w:r>
              <w:rPr>
                <w:noProof/>
                <w:webHidden/>
              </w:rPr>
              <w:instrText xml:space="preserve"> PAGEREF _Toc103228664 \h </w:instrText>
            </w:r>
            <w:r>
              <w:rPr>
                <w:noProof/>
                <w:webHidden/>
              </w:rPr>
            </w:r>
            <w:r>
              <w:rPr>
                <w:noProof/>
                <w:webHidden/>
              </w:rPr>
              <w:fldChar w:fldCharType="separate"/>
            </w:r>
            <w:r>
              <w:rPr>
                <w:noProof/>
                <w:webHidden/>
              </w:rPr>
              <w:t>11</w:t>
            </w:r>
            <w:r>
              <w:rPr>
                <w:noProof/>
                <w:webHidden/>
              </w:rPr>
              <w:fldChar w:fldCharType="end"/>
            </w:r>
          </w:hyperlink>
        </w:p>
        <w:p w14:paraId="455B76CF" w14:textId="77777777" w:rsidR="001B35F8" w:rsidRDefault="001B35F8">
          <w:pPr>
            <w:pStyle w:val="TOC3"/>
            <w:tabs>
              <w:tab w:val="right" w:leader="dot" w:pos="9016"/>
            </w:tabs>
            <w:rPr>
              <w:rFonts w:asciiTheme="minorHAnsi" w:eastAsiaTheme="minorEastAsia" w:hAnsiTheme="minorHAnsi"/>
              <w:noProof/>
              <w:sz w:val="22"/>
              <w:szCs w:val="22"/>
              <w:lang w:eastAsia="zh-CN"/>
            </w:rPr>
          </w:pPr>
          <w:hyperlink w:anchor="_Toc103228665" w:history="1">
            <w:r w:rsidRPr="00FE5724">
              <w:rPr>
                <w:rStyle w:val="Hyperlink"/>
                <w:noProof/>
              </w:rPr>
              <w:t>Behaviour and iterative change</w:t>
            </w:r>
            <w:r>
              <w:rPr>
                <w:noProof/>
                <w:webHidden/>
              </w:rPr>
              <w:tab/>
            </w:r>
            <w:r>
              <w:rPr>
                <w:noProof/>
                <w:webHidden/>
              </w:rPr>
              <w:fldChar w:fldCharType="begin"/>
            </w:r>
            <w:r>
              <w:rPr>
                <w:noProof/>
                <w:webHidden/>
              </w:rPr>
              <w:instrText xml:space="preserve"> PAGEREF _Toc103228665 \h </w:instrText>
            </w:r>
            <w:r>
              <w:rPr>
                <w:noProof/>
                <w:webHidden/>
              </w:rPr>
            </w:r>
            <w:r>
              <w:rPr>
                <w:noProof/>
                <w:webHidden/>
              </w:rPr>
              <w:fldChar w:fldCharType="separate"/>
            </w:r>
            <w:r>
              <w:rPr>
                <w:noProof/>
                <w:webHidden/>
              </w:rPr>
              <w:t>12</w:t>
            </w:r>
            <w:r>
              <w:rPr>
                <w:noProof/>
                <w:webHidden/>
              </w:rPr>
              <w:fldChar w:fldCharType="end"/>
            </w:r>
          </w:hyperlink>
        </w:p>
        <w:p w14:paraId="60E9B28C" w14:textId="77777777" w:rsidR="001B35F8" w:rsidRDefault="001B35F8">
          <w:pPr>
            <w:pStyle w:val="TOC2"/>
            <w:tabs>
              <w:tab w:val="right" w:leader="dot" w:pos="9016"/>
            </w:tabs>
            <w:rPr>
              <w:rFonts w:asciiTheme="minorHAnsi" w:eastAsiaTheme="minorEastAsia" w:hAnsiTheme="minorHAnsi"/>
              <w:noProof/>
              <w:sz w:val="22"/>
              <w:szCs w:val="22"/>
              <w:lang w:eastAsia="zh-CN"/>
            </w:rPr>
          </w:pPr>
          <w:hyperlink w:anchor="_Toc103228666" w:history="1">
            <w:r w:rsidRPr="00FE5724">
              <w:rPr>
                <w:rStyle w:val="Hyperlink"/>
                <w:noProof/>
              </w:rPr>
              <w:t>Challenges</w:t>
            </w:r>
            <w:r>
              <w:rPr>
                <w:noProof/>
                <w:webHidden/>
              </w:rPr>
              <w:tab/>
            </w:r>
            <w:r>
              <w:rPr>
                <w:noProof/>
                <w:webHidden/>
              </w:rPr>
              <w:fldChar w:fldCharType="begin"/>
            </w:r>
            <w:r>
              <w:rPr>
                <w:noProof/>
                <w:webHidden/>
              </w:rPr>
              <w:instrText xml:space="preserve"> PAGEREF _Toc103228666 \h </w:instrText>
            </w:r>
            <w:r>
              <w:rPr>
                <w:noProof/>
                <w:webHidden/>
              </w:rPr>
            </w:r>
            <w:r>
              <w:rPr>
                <w:noProof/>
                <w:webHidden/>
              </w:rPr>
              <w:fldChar w:fldCharType="separate"/>
            </w:r>
            <w:r>
              <w:rPr>
                <w:noProof/>
                <w:webHidden/>
              </w:rPr>
              <w:t>13</w:t>
            </w:r>
            <w:r>
              <w:rPr>
                <w:noProof/>
                <w:webHidden/>
              </w:rPr>
              <w:fldChar w:fldCharType="end"/>
            </w:r>
          </w:hyperlink>
        </w:p>
        <w:p w14:paraId="00738C6A" w14:textId="77777777" w:rsidR="001B35F8" w:rsidRDefault="001B35F8">
          <w:pPr>
            <w:pStyle w:val="TOC3"/>
            <w:tabs>
              <w:tab w:val="right" w:leader="dot" w:pos="9016"/>
            </w:tabs>
            <w:rPr>
              <w:rFonts w:asciiTheme="minorHAnsi" w:eastAsiaTheme="minorEastAsia" w:hAnsiTheme="minorHAnsi"/>
              <w:noProof/>
              <w:sz w:val="22"/>
              <w:szCs w:val="22"/>
              <w:lang w:eastAsia="zh-CN"/>
            </w:rPr>
          </w:pPr>
          <w:hyperlink w:anchor="_Toc103228667" w:history="1">
            <w:r w:rsidRPr="00FE5724">
              <w:rPr>
                <w:rStyle w:val="Hyperlink"/>
                <w:noProof/>
              </w:rPr>
              <w:t>Different modes of operation</w:t>
            </w:r>
            <w:r>
              <w:rPr>
                <w:noProof/>
                <w:webHidden/>
              </w:rPr>
              <w:tab/>
            </w:r>
            <w:r>
              <w:rPr>
                <w:noProof/>
                <w:webHidden/>
              </w:rPr>
              <w:fldChar w:fldCharType="begin"/>
            </w:r>
            <w:r>
              <w:rPr>
                <w:noProof/>
                <w:webHidden/>
              </w:rPr>
              <w:instrText xml:space="preserve"> PAGEREF _Toc103228667 \h </w:instrText>
            </w:r>
            <w:r>
              <w:rPr>
                <w:noProof/>
                <w:webHidden/>
              </w:rPr>
            </w:r>
            <w:r>
              <w:rPr>
                <w:noProof/>
                <w:webHidden/>
              </w:rPr>
              <w:fldChar w:fldCharType="separate"/>
            </w:r>
            <w:r>
              <w:rPr>
                <w:noProof/>
                <w:webHidden/>
              </w:rPr>
              <w:t>13</w:t>
            </w:r>
            <w:r>
              <w:rPr>
                <w:noProof/>
                <w:webHidden/>
              </w:rPr>
              <w:fldChar w:fldCharType="end"/>
            </w:r>
          </w:hyperlink>
        </w:p>
        <w:p w14:paraId="6BDE7308" w14:textId="77777777" w:rsidR="001B35F8" w:rsidRDefault="001B35F8">
          <w:pPr>
            <w:pStyle w:val="TOC3"/>
            <w:tabs>
              <w:tab w:val="right" w:leader="dot" w:pos="9016"/>
            </w:tabs>
            <w:rPr>
              <w:rFonts w:asciiTheme="minorHAnsi" w:eastAsiaTheme="minorEastAsia" w:hAnsiTheme="minorHAnsi"/>
              <w:noProof/>
              <w:sz w:val="22"/>
              <w:szCs w:val="22"/>
              <w:lang w:eastAsia="zh-CN"/>
            </w:rPr>
          </w:pPr>
          <w:hyperlink w:anchor="_Toc103228668" w:history="1">
            <w:r w:rsidRPr="00FE5724">
              <w:rPr>
                <w:rStyle w:val="Hyperlink"/>
                <w:noProof/>
              </w:rPr>
              <w:t>Communication and co-operation</w:t>
            </w:r>
            <w:r>
              <w:rPr>
                <w:noProof/>
                <w:webHidden/>
              </w:rPr>
              <w:tab/>
            </w:r>
            <w:r>
              <w:rPr>
                <w:noProof/>
                <w:webHidden/>
              </w:rPr>
              <w:fldChar w:fldCharType="begin"/>
            </w:r>
            <w:r>
              <w:rPr>
                <w:noProof/>
                <w:webHidden/>
              </w:rPr>
              <w:instrText xml:space="preserve"> PAGEREF _Toc103228668 \h </w:instrText>
            </w:r>
            <w:r>
              <w:rPr>
                <w:noProof/>
                <w:webHidden/>
              </w:rPr>
            </w:r>
            <w:r>
              <w:rPr>
                <w:noProof/>
                <w:webHidden/>
              </w:rPr>
              <w:fldChar w:fldCharType="separate"/>
            </w:r>
            <w:r>
              <w:rPr>
                <w:noProof/>
                <w:webHidden/>
              </w:rPr>
              <w:t>14</w:t>
            </w:r>
            <w:r>
              <w:rPr>
                <w:noProof/>
                <w:webHidden/>
              </w:rPr>
              <w:fldChar w:fldCharType="end"/>
            </w:r>
          </w:hyperlink>
        </w:p>
        <w:p w14:paraId="4FEFE069" w14:textId="77777777" w:rsidR="001B35F8" w:rsidRDefault="001B35F8">
          <w:pPr>
            <w:pStyle w:val="TOC3"/>
            <w:tabs>
              <w:tab w:val="right" w:leader="dot" w:pos="9016"/>
            </w:tabs>
            <w:rPr>
              <w:rFonts w:asciiTheme="minorHAnsi" w:eastAsiaTheme="minorEastAsia" w:hAnsiTheme="minorHAnsi"/>
              <w:noProof/>
              <w:sz w:val="22"/>
              <w:szCs w:val="22"/>
              <w:lang w:eastAsia="zh-CN"/>
            </w:rPr>
          </w:pPr>
          <w:hyperlink w:anchor="_Toc103228669" w:history="1">
            <w:r w:rsidRPr="00FE5724">
              <w:rPr>
                <w:rStyle w:val="Hyperlink"/>
                <w:noProof/>
              </w:rPr>
              <w:t>Limited resources and sustainability</w:t>
            </w:r>
            <w:r>
              <w:rPr>
                <w:noProof/>
                <w:webHidden/>
              </w:rPr>
              <w:tab/>
            </w:r>
            <w:r>
              <w:rPr>
                <w:noProof/>
                <w:webHidden/>
              </w:rPr>
              <w:fldChar w:fldCharType="begin"/>
            </w:r>
            <w:r>
              <w:rPr>
                <w:noProof/>
                <w:webHidden/>
              </w:rPr>
              <w:instrText xml:space="preserve"> PAGEREF _Toc103228669 \h </w:instrText>
            </w:r>
            <w:r>
              <w:rPr>
                <w:noProof/>
                <w:webHidden/>
              </w:rPr>
            </w:r>
            <w:r>
              <w:rPr>
                <w:noProof/>
                <w:webHidden/>
              </w:rPr>
              <w:fldChar w:fldCharType="separate"/>
            </w:r>
            <w:r>
              <w:rPr>
                <w:noProof/>
                <w:webHidden/>
              </w:rPr>
              <w:t>15</w:t>
            </w:r>
            <w:r>
              <w:rPr>
                <w:noProof/>
                <w:webHidden/>
              </w:rPr>
              <w:fldChar w:fldCharType="end"/>
            </w:r>
          </w:hyperlink>
        </w:p>
        <w:p w14:paraId="4080EDBE" w14:textId="77777777" w:rsidR="001B35F8" w:rsidRDefault="001B35F8">
          <w:pPr>
            <w:pStyle w:val="TOC2"/>
            <w:tabs>
              <w:tab w:val="right" w:leader="dot" w:pos="9016"/>
            </w:tabs>
            <w:rPr>
              <w:rFonts w:asciiTheme="minorHAnsi" w:eastAsiaTheme="minorEastAsia" w:hAnsiTheme="minorHAnsi"/>
              <w:noProof/>
              <w:sz w:val="22"/>
              <w:szCs w:val="22"/>
              <w:lang w:eastAsia="zh-CN"/>
            </w:rPr>
          </w:pPr>
          <w:hyperlink w:anchor="_Toc103228670" w:history="1">
            <w:r w:rsidRPr="00FE5724">
              <w:rPr>
                <w:rStyle w:val="Hyperlink"/>
                <w:noProof/>
              </w:rPr>
              <w:t>Conclusion</w:t>
            </w:r>
            <w:r>
              <w:rPr>
                <w:noProof/>
                <w:webHidden/>
              </w:rPr>
              <w:tab/>
            </w:r>
            <w:r>
              <w:rPr>
                <w:noProof/>
                <w:webHidden/>
              </w:rPr>
              <w:fldChar w:fldCharType="begin"/>
            </w:r>
            <w:r>
              <w:rPr>
                <w:noProof/>
                <w:webHidden/>
              </w:rPr>
              <w:instrText xml:space="preserve"> PAGEREF _Toc103228670 \h </w:instrText>
            </w:r>
            <w:r>
              <w:rPr>
                <w:noProof/>
                <w:webHidden/>
              </w:rPr>
            </w:r>
            <w:r>
              <w:rPr>
                <w:noProof/>
                <w:webHidden/>
              </w:rPr>
              <w:fldChar w:fldCharType="separate"/>
            </w:r>
            <w:r>
              <w:rPr>
                <w:noProof/>
                <w:webHidden/>
              </w:rPr>
              <w:t>15</w:t>
            </w:r>
            <w:r>
              <w:rPr>
                <w:noProof/>
                <w:webHidden/>
              </w:rPr>
              <w:fldChar w:fldCharType="end"/>
            </w:r>
          </w:hyperlink>
        </w:p>
        <w:p w14:paraId="2D2D6472" w14:textId="77777777" w:rsidR="001B35F8" w:rsidRDefault="001B35F8">
          <w:pPr>
            <w:pStyle w:val="TOC2"/>
            <w:tabs>
              <w:tab w:val="right" w:leader="dot" w:pos="9016"/>
            </w:tabs>
            <w:rPr>
              <w:rFonts w:asciiTheme="minorHAnsi" w:eastAsiaTheme="minorEastAsia" w:hAnsiTheme="minorHAnsi"/>
              <w:noProof/>
              <w:sz w:val="22"/>
              <w:szCs w:val="22"/>
              <w:lang w:eastAsia="zh-CN"/>
            </w:rPr>
          </w:pPr>
          <w:hyperlink w:anchor="_Toc103228671" w:history="1">
            <w:r w:rsidRPr="00FE5724">
              <w:rPr>
                <w:rStyle w:val="Hyperlink"/>
                <w:noProof/>
              </w:rPr>
              <w:t>References</w:t>
            </w:r>
            <w:r>
              <w:rPr>
                <w:noProof/>
                <w:webHidden/>
              </w:rPr>
              <w:tab/>
            </w:r>
            <w:r>
              <w:rPr>
                <w:noProof/>
                <w:webHidden/>
              </w:rPr>
              <w:fldChar w:fldCharType="begin"/>
            </w:r>
            <w:r>
              <w:rPr>
                <w:noProof/>
                <w:webHidden/>
              </w:rPr>
              <w:instrText xml:space="preserve"> PAGEREF _Toc103228671 \h </w:instrText>
            </w:r>
            <w:r>
              <w:rPr>
                <w:noProof/>
                <w:webHidden/>
              </w:rPr>
            </w:r>
            <w:r>
              <w:rPr>
                <w:noProof/>
                <w:webHidden/>
              </w:rPr>
              <w:fldChar w:fldCharType="separate"/>
            </w:r>
            <w:r>
              <w:rPr>
                <w:noProof/>
                <w:webHidden/>
              </w:rPr>
              <w:t>16</w:t>
            </w:r>
            <w:r>
              <w:rPr>
                <w:noProof/>
                <w:webHidden/>
              </w:rPr>
              <w:fldChar w:fldCharType="end"/>
            </w:r>
          </w:hyperlink>
        </w:p>
        <w:p w14:paraId="41733BC3" w14:textId="77777777" w:rsidR="00060622" w:rsidRDefault="001C5AE5">
          <w:r>
            <w:fldChar w:fldCharType="end"/>
          </w:r>
        </w:p>
      </w:sdtContent>
    </w:sdt>
    <w:p w14:paraId="7CC87337" w14:textId="77777777" w:rsidR="00060622" w:rsidRDefault="001C5AE5">
      <w:r>
        <w:br w:type="page"/>
      </w:r>
    </w:p>
    <w:p w14:paraId="30F8FAD8" w14:textId="77777777" w:rsidR="00060622" w:rsidRDefault="001C5AE5">
      <w:pPr>
        <w:pStyle w:val="Heading2"/>
      </w:pPr>
      <w:bookmarkStart w:id="0" w:name="introduction"/>
      <w:bookmarkStart w:id="1" w:name="_Toc103228652"/>
      <w:r>
        <w:lastRenderedPageBreak/>
        <w:t>Introduction</w:t>
      </w:r>
      <w:bookmarkEnd w:id="1"/>
    </w:p>
    <w:p w14:paraId="5ABBFFAB" w14:textId="77777777" w:rsidR="00060622" w:rsidRDefault="001C5AE5">
      <w:pPr>
        <w:pStyle w:val="FirstParagraph"/>
        <w:rPr>
          <w:rFonts w:hint="eastAsia"/>
        </w:rPr>
      </w:pPr>
      <w:r>
        <w:t>Infectious disease epidemic crises have repeatedly challenged the nations and peoples of sub-Saharan Africa. From HIV (1990s – 2000s) to tuberculosis to Ebola (2014 – 2016) and COVID-19 (2020 – 2022), each emergent</w:t>
      </w:r>
      <w:r>
        <w:t xml:space="preserve"> crisis – sometimes originating in Africa, sometimes part of wider global pandemic and sometimes overlapping each other – has presented novel and life-threatening landscape-scale threats to communities throughout sub-Saharan Africa (Hasan et al., 2022; Kim</w:t>
      </w:r>
      <w:r>
        <w:t>ani et al., 2020). Each infectious disease crisis has been characterised by novel difficulties in collecting information to inform situational awareness, sense-making, difficulties in formulating, implementing and adapting effective management plans, diffi</w:t>
      </w:r>
      <w:r>
        <w:t>culties in disseminating information, public fear and widespread social and economic impacts (Kevany et al., 2012). Like other crises, infectious disease crises occur in an environment where no one is expert on all aspects (Boin et al., 2016; Leonard &amp; How</w:t>
      </w:r>
      <w:r>
        <w:t>itt, 2009b).</w:t>
      </w:r>
    </w:p>
    <w:p w14:paraId="794C1CBB" w14:textId="77777777" w:rsidR="00060622" w:rsidRDefault="001C5AE5">
      <w:pPr>
        <w:pStyle w:val="BodyText"/>
        <w:rPr>
          <w:rFonts w:hint="eastAsia"/>
        </w:rPr>
      </w:pPr>
      <w:r>
        <w:t>Effective healthcare response to infectious disease depends on the deployment of an available, well-trained and well-informed healthcare workforce. However, many countries in sub-Saharan Africa are – and have been – lacking in adequate healthc</w:t>
      </w:r>
      <w:r>
        <w:t>are resources (Cancedda et al., 2016; Paterson &amp; Widner, 2017). Weak governments, stagnant economies and neo-liberal policies have resulted in reduced expenditure on social services, such as healthcare (Okma et al., 2016). The publicly-funded health sector</w:t>
      </w:r>
      <w:r>
        <w:t xml:space="preserve"> often has weak governance and management systems (International Rescue Committee, 2016). Developing countries in Africa have limited resources to implement welfare and anti-poverty measures to mitigate the economic and social effects of an infectious dise</w:t>
      </w:r>
      <w:r>
        <w:t>ase epidemic and the adverse consequences of epidemic control measures (Gutierrez-Romero, 2020). As the result of gaps – even during the absence of epidemic infections – in government-provided social services community-</w:t>
      </w:r>
      <w:r>
        <w:lastRenderedPageBreak/>
        <w:t xml:space="preserve">based (CBO) and other non-government </w:t>
      </w:r>
      <w:r>
        <w:t>(NGO) organisations have arisen to provide those services (Hushie et al., 2021; Okma et al., 2016).</w:t>
      </w:r>
    </w:p>
    <w:p w14:paraId="77F73B6D" w14:textId="77777777" w:rsidR="00060622" w:rsidRDefault="001C5AE5">
      <w:pPr>
        <w:pStyle w:val="BodyText"/>
        <w:rPr>
          <w:rFonts w:hint="eastAsia"/>
        </w:rPr>
      </w:pPr>
      <w:r>
        <w:t>As well as inadequate resources to manage the health, social and economic impacts of infectious disease epidemic crises, developing countries of sub-Saharan</w:t>
      </w:r>
      <w:r>
        <w:t xml:space="preserve"> Africa face pre-existing endemic poverty (Gutierrez-Romero, 2020). With poverty comes many other high-priority health concerns, such as high rates of maternal and child mortality, chronic malnutrition and low levels of education (Sasidharan &amp; Dhillon, 202</w:t>
      </w:r>
      <w:r>
        <w:t>1, p. 19). These other concerns divert attention away from infectious disease epidemic crises (Carstensen et al., 2021).</w:t>
      </w:r>
    </w:p>
    <w:p w14:paraId="62AFAA6C" w14:textId="77777777" w:rsidR="00060622" w:rsidRDefault="001C5AE5">
      <w:pPr>
        <w:pStyle w:val="BodyText"/>
        <w:rPr>
          <w:rFonts w:hint="eastAsia"/>
        </w:rPr>
      </w:pPr>
      <w:r>
        <w:t>Infectious disease epidemics can, however, be anticipated. An increasing number of infections, often zoonotic, have crossed over into h</w:t>
      </w:r>
      <w:r>
        <w:t>umans in the past two decades, and an increasing number of infections are expected to do so (Dvorak &amp; Phred, 2020).</w:t>
      </w:r>
    </w:p>
    <w:p w14:paraId="0829EBBF" w14:textId="77777777" w:rsidR="00060622" w:rsidRDefault="001C5AE5">
      <w:pPr>
        <w:pStyle w:val="BodyText"/>
        <w:rPr>
          <w:rFonts w:hint="eastAsia"/>
        </w:rPr>
      </w:pPr>
      <w:r>
        <w:t>Since infectious disease epidemics and their health and social consequences can be anticipated and since community-based organisations (CBOs</w:t>
      </w:r>
      <w:r>
        <w:t>) already provide social and healthcare services then CBOs could potentially be well-positioned to assist in epidemic crisis responses.</w:t>
      </w:r>
    </w:p>
    <w:p w14:paraId="4B45B130" w14:textId="77777777" w:rsidR="00060622" w:rsidRDefault="001C5AE5">
      <w:pPr>
        <w:pStyle w:val="BodyText"/>
        <w:rPr>
          <w:rFonts w:hint="eastAsia"/>
        </w:rPr>
      </w:pPr>
      <w:r>
        <w:t>It is increasingly recognized that response to major crises requires a whole of community engagement. Government organis</w:t>
      </w:r>
      <w:r>
        <w:t>ations need to partner effectively with private, non-profit and community-based organisations to complement the public sector’s own capabilities (Bedson et al., 2020; Boin et al., 2016).</w:t>
      </w:r>
    </w:p>
    <w:p w14:paraId="4BAB5E1F" w14:textId="77777777" w:rsidR="00060622" w:rsidRDefault="001C5AE5">
      <w:pPr>
        <w:pStyle w:val="BodyText"/>
        <w:rPr>
          <w:rFonts w:hint="eastAsia"/>
        </w:rPr>
      </w:pPr>
      <w:r>
        <w:t>This article will examine past and potential contributions of communi</w:t>
      </w:r>
      <w:r>
        <w:t>ty-based organisations to the humanitarian response to infectious disease crises affecting vulnerable populations in sub-Saharan Africa.</w:t>
      </w:r>
    </w:p>
    <w:p w14:paraId="0846A362" w14:textId="77777777" w:rsidR="00060622" w:rsidRDefault="001C5AE5">
      <w:pPr>
        <w:pStyle w:val="Heading2"/>
      </w:pPr>
      <w:bookmarkStart w:id="2" w:name="Xa63e46bdd58e4bdac64e5021988b80cfabb39e9"/>
      <w:bookmarkStart w:id="3" w:name="_Toc103228653"/>
      <w:bookmarkEnd w:id="0"/>
      <w:r>
        <w:lastRenderedPageBreak/>
        <w:t>Infectious disease crises and social welfare</w:t>
      </w:r>
      <w:bookmarkEnd w:id="3"/>
    </w:p>
    <w:p w14:paraId="18F68B18" w14:textId="77777777" w:rsidR="00060622" w:rsidRDefault="001C5AE5">
      <w:pPr>
        <w:pStyle w:val="FirstParagraph"/>
        <w:rPr>
          <w:rFonts w:hint="eastAsia"/>
        </w:rPr>
      </w:pPr>
      <w:r>
        <w:t>Infectious disease crises cause losses of social welfare (Leonard &amp; Howitt</w:t>
      </w:r>
      <w:r>
        <w:t>, 2010a; Vardavas et al., 2021). Infectious disease outbreaks in sub-Saharan countries have caused loss of life, morbidity, reduction in individual economic prosperity, loss of education opportunity, destruction of skilled labour and loss of much-needed ec</w:t>
      </w:r>
      <w:r>
        <w:t>onomic development (Boutayeb, 2010).</w:t>
      </w:r>
    </w:p>
    <w:p w14:paraId="4542DCCD" w14:textId="77777777" w:rsidR="00060622" w:rsidRDefault="001C5AE5">
      <w:pPr>
        <w:pStyle w:val="BodyText"/>
        <w:rPr>
          <w:rFonts w:hint="eastAsia"/>
        </w:rPr>
      </w:pPr>
      <w:r>
        <w:t>However, there are potential measures, including cost-effective measures, to reduce the loss of social welfare from infectious disease epidemics (Vardavas et al., 2021). Social welfare may even increase as the result of</w:t>
      </w:r>
      <w:r>
        <w:t xml:space="preserve"> measures to improve community resilience (</w:t>
      </w:r>
      <w:r>
        <w:rPr>
          <w:i/>
          <w:iCs/>
        </w:rPr>
        <w:t>Building Resilience to Natural Disasters in Our States and Territories</w:t>
      </w:r>
      <w:r>
        <w:t>, 2017). Skill building, reducing the uncertainty of potential future losses and improved community connections can not only reduce the cost of</w:t>
      </w:r>
      <w:r>
        <w:t xml:space="preserve"> a disaster but – even in the absence of disaster – improve social welfare.</w:t>
      </w:r>
    </w:p>
    <w:p w14:paraId="311D9072" w14:textId="77777777" w:rsidR="00060622" w:rsidRDefault="001C5AE5">
      <w:pPr>
        <w:pStyle w:val="Heading2"/>
      </w:pPr>
      <w:bookmarkStart w:id="4" w:name="Xad25cf3265a6d8e5ea307226696b509e060e96b"/>
      <w:bookmarkStart w:id="5" w:name="_Toc103228654"/>
      <w:bookmarkEnd w:id="2"/>
      <w:r>
        <w:t>Reducing social welfare loss: the Comprehensive Risk Management Framework</w:t>
      </w:r>
      <w:bookmarkEnd w:id="5"/>
    </w:p>
    <w:p w14:paraId="563B3570" w14:textId="77777777" w:rsidR="00060622" w:rsidRDefault="001C5AE5">
      <w:pPr>
        <w:pStyle w:val="FirstParagraph"/>
        <w:rPr>
          <w:rFonts w:hint="eastAsia"/>
        </w:rPr>
      </w:pPr>
      <w:r>
        <w:t>Leonard &amp; Howitt (2009a) suggest that opportunities and measures to reduce social loss from disasters take</w:t>
      </w:r>
      <w:r>
        <w:t xml:space="preserve"> place not only during and immediately after the disaster event, but also before the disaster event and during a (sometimes prolonged) recovery phase after the event.</w:t>
      </w:r>
    </w:p>
    <w:p w14:paraId="387DE33A" w14:textId="77777777" w:rsidR="00060622" w:rsidRDefault="001C5AE5">
      <w:pPr>
        <w:numPr>
          <w:ilvl w:val="0"/>
          <w:numId w:val="4"/>
        </w:numPr>
      </w:pPr>
      <w:r>
        <w:t>Before the disaster event</w:t>
      </w:r>
    </w:p>
    <w:p w14:paraId="5083043B" w14:textId="77777777" w:rsidR="00060622" w:rsidRDefault="001C5AE5">
      <w:pPr>
        <w:numPr>
          <w:ilvl w:val="1"/>
          <w:numId w:val="5"/>
        </w:numPr>
      </w:pPr>
      <w:r>
        <w:t>‘Prevention/mitigation’ – Reduce the probability or severity of</w:t>
      </w:r>
      <w:r>
        <w:t xml:space="preserve"> the event</w:t>
      </w:r>
    </w:p>
    <w:p w14:paraId="4D46354F" w14:textId="77777777" w:rsidR="00060622" w:rsidRDefault="001C5AE5">
      <w:pPr>
        <w:numPr>
          <w:ilvl w:val="1"/>
          <w:numId w:val="5"/>
        </w:numPr>
      </w:pPr>
      <w:r>
        <w:t>‘Preparation for response’ – Prepare to respond rapidly and effectively to the event</w:t>
      </w:r>
    </w:p>
    <w:p w14:paraId="1977E46E" w14:textId="77777777" w:rsidR="00060622" w:rsidRDefault="001C5AE5">
      <w:pPr>
        <w:numPr>
          <w:ilvl w:val="1"/>
          <w:numId w:val="5"/>
        </w:numPr>
      </w:pPr>
      <w:r>
        <w:lastRenderedPageBreak/>
        <w:t>‘Advance recovery’ – Prepare for a rapid, complete recovery, reducing the consequences of the event</w:t>
      </w:r>
    </w:p>
    <w:p w14:paraId="27830370" w14:textId="77777777" w:rsidR="00060622" w:rsidRDefault="001C5AE5">
      <w:pPr>
        <w:numPr>
          <w:ilvl w:val="0"/>
          <w:numId w:val="4"/>
        </w:numPr>
      </w:pPr>
      <w:r>
        <w:t>During (and immediately after) the event</w:t>
      </w:r>
    </w:p>
    <w:p w14:paraId="6827B15B" w14:textId="77777777" w:rsidR="00060622" w:rsidRDefault="001C5AE5">
      <w:pPr>
        <w:pStyle w:val="Compact"/>
        <w:numPr>
          <w:ilvl w:val="1"/>
          <w:numId w:val="6"/>
        </w:numPr>
        <w:rPr>
          <w:rFonts w:hint="eastAsia"/>
        </w:rPr>
      </w:pPr>
      <w:r>
        <w:t xml:space="preserve">‘Response’ </w:t>
      </w:r>
      <w:r>
        <w:t>– Reduce the damage from the event, ministering to human needs</w:t>
      </w:r>
    </w:p>
    <w:p w14:paraId="55CBEFCF" w14:textId="77777777" w:rsidR="00060622" w:rsidRDefault="001C5AE5">
      <w:pPr>
        <w:numPr>
          <w:ilvl w:val="0"/>
          <w:numId w:val="4"/>
        </w:numPr>
      </w:pPr>
      <w:r>
        <w:t>After the event</w:t>
      </w:r>
    </w:p>
    <w:p w14:paraId="0BBBCCCB" w14:textId="77777777" w:rsidR="00060622" w:rsidRDefault="001C5AE5">
      <w:pPr>
        <w:pStyle w:val="Compact"/>
        <w:numPr>
          <w:ilvl w:val="1"/>
          <w:numId w:val="7"/>
        </w:numPr>
        <w:rPr>
          <w:rFonts w:hint="eastAsia"/>
        </w:rPr>
      </w:pPr>
      <w:r>
        <w:t>‘Recovery’ – Promote rapid, complete recovery. Restore social welfare.</w:t>
      </w:r>
    </w:p>
    <w:p w14:paraId="3EAC2D23" w14:textId="77777777" w:rsidR="00060622" w:rsidRDefault="001C5AE5">
      <w:pPr>
        <w:pStyle w:val="FirstParagraph"/>
        <w:rPr>
          <w:rFonts w:hint="eastAsia"/>
        </w:rPr>
      </w:pPr>
      <w:r>
        <w:t xml:space="preserve">Community-based organisations (CBOs) in sub-Saharan Africa have the potential and capability to assist in </w:t>
      </w:r>
      <w:r>
        <w:t>all stages of managing an infectious disease crisis. Examples of the role of CBOs in infectious crisis events follow.</w:t>
      </w:r>
    </w:p>
    <w:p w14:paraId="6E4C63B1" w14:textId="77777777" w:rsidR="00060622" w:rsidRDefault="001C5AE5">
      <w:pPr>
        <w:pStyle w:val="Heading3"/>
      </w:pPr>
      <w:bookmarkStart w:id="6" w:name="prevention-and-mitigation"/>
      <w:bookmarkStart w:id="7" w:name="_Toc103228655"/>
      <w:r>
        <w:t>Prevention and mitigation</w:t>
      </w:r>
      <w:bookmarkEnd w:id="7"/>
    </w:p>
    <w:p w14:paraId="03995E30" w14:textId="77777777" w:rsidR="00060622" w:rsidRDefault="001C5AE5">
      <w:pPr>
        <w:pStyle w:val="FirstParagraph"/>
        <w:rPr>
          <w:rFonts w:hint="eastAsia"/>
        </w:rPr>
      </w:pPr>
      <w:r>
        <w:t>Ideally, infectious disease crises are prevented, or the number of infections reduced through mitigation.</w:t>
      </w:r>
    </w:p>
    <w:p w14:paraId="2DBF05AB" w14:textId="77777777" w:rsidR="00060622" w:rsidRDefault="001C5AE5">
      <w:pPr>
        <w:pStyle w:val="BodyText"/>
        <w:rPr>
          <w:rFonts w:hint="eastAsia"/>
        </w:rPr>
      </w:pPr>
      <w:r>
        <w:t>CBOs a</w:t>
      </w:r>
      <w:r>
        <w:t>re often already involved in reducing the risk of water-borne, vector-drive (e.g. mosquito) and sexually-transmitted disease outbreaks. Risk prevention and mitigation measures include providing education – including about the nature and importance of infec</w:t>
      </w:r>
      <w:r>
        <w:t>tious disease – and enabling access to cleaner water and contraceptive services (Banerjee &amp; Duflo, 2012).</w:t>
      </w:r>
    </w:p>
    <w:p w14:paraId="14494DBC" w14:textId="77777777" w:rsidR="00060622" w:rsidRDefault="001C5AE5">
      <w:pPr>
        <w:pStyle w:val="BodyText"/>
        <w:rPr>
          <w:rFonts w:hint="eastAsia"/>
        </w:rPr>
      </w:pPr>
      <w:r>
        <w:t>Measures taken to prevent or mitigate infectious from one epidemic may even have synergistic effects with other infection control programs. Hand-washi</w:t>
      </w:r>
      <w:r>
        <w:t>ng and better hygiene facilities built for the COVID-19 pandemic have reportedly led to decreased rates of cholera and typhoid in Kenyan communities (Carstensen et al., 2021).</w:t>
      </w:r>
    </w:p>
    <w:p w14:paraId="5B37EC41" w14:textId="77777777" w:rsidR="00060622" w:rsidRDefault="001C5AE5">
      <w:pPr>
        <w:pStyle w:val="Heading3"/>
      </w:pPr>
      <w:bookmarkStart w:id="8" w:name="response-and-preparation-for-response"/>
      <w:bookmarkStart w:id="9" w:name="_Toc103228656"/>
      <w:bookmarkEnd w:id="6"/>
      <w:r>
        <w:lastRenderedPageBreak/>
        <w:t>Response and preparation for response</w:t>
      </w:r>
      <w:bookmarkEnd w:id="9"/>
    </w:p>
    <w:p w14:paraId="0B6F53FB" w14:textId="77777777" w:rsidR="00060622" w:rsidRDefault="001C5AE5">
      <w:pPr>
        <w:pStyle w:val="FirstParagraph"/>
        <w:rPr>
          <w:rFonts w:hint="eastAsia"/>
        </w:rPr>
      </w:pPr>
      <w:r>
        <w:t>The response to an infectious disease cris</w:t>
      </w:r>
      <w:r>
        <w:t>is, during the time of the crisis, reduces the damage from the crisis and also caters to human needs as the result of inflicted damage.</w:t>
      </w:r>
    </w:p>
    <w:p w14:paraId="48F579E8" w14:textId="77777777" w:rsidR="00060622" w:rsidRDefault="001C5AE5">
      <w:pPr>
        <w:pStyle w:val="BodyText"/>
        <w:rPr>
          <w:rFonts w:hint="eastAsia"/>
        </w:rPr>
      </w:pPr>
      <w:r>
        <w:t>Infectious disease crises can directly cause death and morbidity among vulnerable populations. Death and morbidity of in</w:t>
      </w:r>
      <w:r>
        <w:t>dividuals places strain on the families and communities afflicted by infection, can have long-term effects (including nutritional, educational and earning potential) on affected individuals. Death and morbidity also affects the development of the community</w:t>
      </w:r>
      <w:r>
        <w:t xml:space="preserve"> as a whole (Banerjee &amp; Duflo, 2012).</w:t>
      </w:r>
    </w:p>
    <w:p w14:paraId="0C529C31" w14:textId="77777777" w:rsidR="00060622" w:rsidRDefault="001C5AE5">
      <w:pPr>
        <w:pStyle w:val="BodyText"/>
        <w:rPr>
          <w:rFonts w:hint="eastAsia"/>
        </w:rPr>
      </w:pPr>
      <w:r>
        <w:t>Communities with socio-economic disadvantage are at increased vulnerability to infectious disease crises. The vulnerability is the result of reduced capacity to take measures to prevent infection, often increased susce</w:t>
      </w:r>
      <w:r>
        <w:t>ptiblity to infection and reduced capacity to withstand the economic effects of either infection or measures taken to prevent infection (Ahmed et al., 2020; Bhaskar et al., 2020). For example, local lockdowns to control COVID-19 increased riots, violence a</w:t>
      </w:r>
      <w:r>
        <w:t>gainst civilians, food prices, food-related conflicts and food looting in Africa (Gutierrez-Romero, 2020).</w:t>
      </w:r>
    </w:p>
    <w:p w14:paraId="583EAE49" w14:textId="77777777" w:rsidR="00060622" w:rsidRDefault="001C5AE5">
      <w:pPr>
        <w:pStyle w:val="BodyText"/>
        <w:rPr>
          <w:rFonts w:hint="eastAsia"/>
        </w:rPr>
      </w:pPr>
      <w:r>
        <w:t>CBOs already have a role and resources to provide healthcare in sub-Saharan Africa. These resources can be utilised, potentially as ‘surge-capacity’,</w:t>
      </w:r>
      <w:r>
        <w:t xml:space="preserve"> during a healthcare crisis (Hushie et al., 2021).</w:t>
      </w:r>
    </w:p>
    <w:p w14:paraId="77B0FFFB" w14:textId="77777777" w:rsidR="00060622" w:rsidRDefault="001C5AE5">
      <w:pPr>
        <w:pStyle w:val="BodyText"/>
        <w:rPr>
          <w:rFonts w:hint="eastAsia"/>
        </w:rPr>
      </w:pPr>
      <w:r>
        <w:t>Other than directly providing healthcare or other human welfare services, CBOs may have other resources of value to improve crisis response. For example, crisis intervention services which are co–operating</w:t>
      </w:r>
      <w:r>
        <w:t xml:space="preserve"> or co-located with CBO-provided services (such as food, development or skill-training) can improve service delivery to communities which are already familiar or trust the CBO (Kevany et al., 2012).</w:t>
      </w:r>
    </w:p>
    <w:p w14:paraId="5C593BBD" w14:textId="77777777" w:rsidR="00060622" w:rsidRDefault="001C5AE5">
      <w:pPr>
        <w:pStyle w:val="BodyText"/>
        <w:rPr>
          <w:rFonts w:hint="eastAsia"/>
        </w:rPr>
      </w:pPr>
      <w:r>
        <w:lastRenderedPageBreak/>
        <w:t>CBOs can, and have, rapidly pivoted their own services towards provision of measures aimed at meeting immediate needs, even if outside the normal scope of their operations. For example counselling services for HIV positive patients in Kenya arranged food d</w:t>
      </w:r>
      <w:r>
        <w:t>elivery to sex-workers during COVID-19 lockdowns (Ekeland, 2022; Kimani et al., 2020).</w:t>
      </w:r>
    </w:p>
    <w:p w14:paraId="6655AFBA" w14:textId="77777777" w:rsidR="00060622" w:rsidRDefault="001C5AE5">
      <w:pPr>
        <w:pStyle w:val="BodyText"/>
        <w:rPr>
          <w:rFonts w:hint="eastAsia"/>
        </w:rPr>
      </w:pPr>
      <w:r>
        <w:t>However, like other organisations which are not typically involved in crisis response, CBOs may have poor linkages and information sharing with other organisations, both</w:t>
      </w:r>
      <w:r>
        <w:t xml:space="preserve"> government and non-governmental. Overcoming the lack of co-ordination is discussed under ‘Challenges’.</w:t>
      </w:r>
    </w:p>
    <w:p w14:paraId="00436C42" w14:textId="77777777" w:rsidR="00060622" w:rsidRDefault="001C5AE5">
      <w:pPr>
        <w:pStyle w:val="Heading3"/>
      </w:pPr>
      <w:bookmarkStart w:id="10" w:name="recovery"/>
      <w:bookmarkStart w:id="11" w:name="_Toc103228657"/>
      <w:bookmarkEnd w:id="8"/>
      <w:r>
        <w:t>Recovery</w:t>
      </w:r>
      <w:bookmarkEnd w:id="11"/>
    </w:p>
    <w:p w14:paraId="359CD2DB" w14:textId="77777777" w:rsidR="00060622" w:rsidRDefault="001C5AE5">
      <w:pPr>
        <w:pStyle w:val="FirstParagraph"/>
        <w:rPr>
          <w:rFonts w:hint="eastAsia"/>
        </w:rPr>
      </w:pPr>
      <w:r>
        <w:t>CBOs have a role in support of infectious disease survivors and the families of both victims and survivors. Survivors may suffer post-infection</w:t>
      </w:r>
      <w:r>
        <w:t xml:space="preserve"> social, economic, psychological and health challenges, as well as stigmatization (Hushie et al., 2021). Similarly, the surviving families of infectious disease victims may suffer the consequences of ongoing poverty and psychological distress (Cho et al., </w:t>
      </w:r>
      <w:r>
        <w:t>2018).</w:t>
      </w:r>
    </w:p>
    <w:p w14:paraId="5C51DBD9" w14:textId="77777777" w:rsidR="00060622" w:rsidRDefault="001C5AE5">
      <w:pPr>
        <w:pStyle w:val="BodyText"/>
        <w:rPr>
          <w:rFonts w:hint="eastAsia"/>
        </w:rPr>
      </w:pPr>
      <w:r>
        <w:t xml:space="preserve">The role of CBOs in crisis recovery is aided by having presence in the community both before, and long after, the crisis (International Rescue Committee, 2016). The mere presence of CBO staff visiting households of isolated individuals and families </w:t>
      </w:r>
      <w:r>
        <w:t>for ‘routine’ visits could have mental health benefits (Carstensen et al., 2021).</w:t>
      </w:r>
    </w:p>
    <w:p w14:paraId="4B6BF636" w14:textId="77777777" w:rsidR="00060622" w:rsidRDefault="001C5AE5">
      <w:pPr>
        <w:pStyle w:val="Heading3"/>
      </w:pPr>
      <w:bookmarkStart w:id="12" w:name="preparing-for-recovery"/>
      <w:bookmarkStart w:id="13" w:name="_Toc103228658"/>
      <w:bookmarkEnd w:id="10"/>
      <w:r>
        <w:t>Preparing for recovery</w:t>
      </w:r>
      <w:bookmarkEnd w:id="13"/>
    </w:p>
    <w:p w14:paraId="07D1626B" w14:textId="77777777" w:rsidR="00060622" w:rsidRDefault="001C5AE5">
      <w:pPr>
        <w:pStyle w:val="FirstParagraph"/>
        <w:rPr>
          <w:rFonts w:hint="eastAsia"/>
        </w:rPr>
      </w:pPr>
      <w:r>
        <w:t>The immediate response to an infectious disease crisis, and recovery from its effects, can be highly visible and demand immediate attention and conside</w:t>
      </w:r>
      <w:r>
        <w:t xml:space="preserve">rable resources (Leonard &amp; Howitt, 2010a). However, measures to enhance the response and recovery to an infectious disease epidemic conducted prior to an infectious disease crisis can also cost-effectively </w:t>
      </w:r>
      <w:r>
        <w:lastRenderedPageBreak/>
        <w:t>reduce the damage from the event and reduce the so</w:t>
      </w:r>
      <w:r>
        <w:t>cial welfare loss from the infectious disease event. Measures to prepare, in advance, for accelerated recovery can be particularly neglected (Leonard &amp; Howitt, 2010a).</w:t>
      </w:r>
    </w:p>
    <w:p w14:paraId="06B94C76" w14:textId="77777777" w:rsidR="00060622" w:rsidRDefault="001C5AE5">
      <w:pPr>
        <w:pStyle w:val="BodyText"/>
        <w:rPr>
          <w:rFonts w:hint="eastAsia"/>
        </w:rPr>
      </w:pPr>
      <w:r>
        <w:t>General preparation for accelerated recovery can be relatively non-specific (compared to</w:t>
      </w:r>
      <w:r>
        <w:t xml:space="preserve"> immediate responses to individual crises), and be generalised to different infectious disease, or even to other crises. CBOs with a strong level of ‘ownership’ by the community have the potential to improve the effectiveness of crisis responses by improvi</w:t>
      </w:r>
      <w:r>
        <w:t>ng social trust and cohesion, improving community acceptance and participation in the response measures (Tiberghien, 2022). CBOs, and the leadership of CBOs, can improve community self-reliance to identify challenges, develop strategies and mobilise resour</w:t>
      </w:r>
      <w:r>
        <w:t>ces (including external) to accelerate recovery (Leonard &amp; Howitt, 2010a).</w:t>
      </w:r>
    </w:p>
    <w:p w14:paraId="0DB6F714" w14:textId="77777777" w:rsidR="00060622" w:rsidRDefault="001C5AE5">
      <w:pPr>
        <w:pStyle w:val="BodyText"/>
        <w:rPr>
          <w:rFonts w:hint="eastAsia"/>
        </w:rPr>
      </w:pPr>
      <w:r>
        <w:t>For example, women and youth groups formed over common interests and communication, e.g. self-help groups and radio-listening groups in Burkina Faso, were quick to respond to infect</w:t>
      </w:r>
      <w:r>
        <w:t>ious disease crises with spontaneous and volunteer-led mutual aid. Such groups, representing at-risk groups, could be supported and encouraged to form long before a crisis (Carstensen et al., 2021).</w:t>
      </w:r>
    </w:p>
    <w:p w14:paraId="3F317430" w14:textId="77777777" w:rsidR="00060622" w:rsidRDefault="001C5AE5">
      <w:pPr>
        <w:pStyle w:val="Heading2"/>
      </w:pPr>
      <w:bookmarkStart w:id="14" w:name="X3bcf4b2f59479144cb4d823643d87475ac055c3"/>
      <w:bookmarkStart w:id="15" w:name="_Toc103228659"/>
      <w:bookmarkEnd w:id="4"/>
      <w:bookmarkEnd w:id="12"/>
      <w:r>
        <w:t>Benefits of involving CBOs in crisis response</w:t>
      </w:r>
      <w:bookmarkEnd w:id="15"/>
    </w:p>
    <w:p w14:paraId="67431892" w14:textId="77777777" w:rsidR="00060622" w:rsidRDefault="001C5AE5">
      <w:pPr>
        <w:pStyle w:val="Heading3"/>
      </w:pPr>
      <w:bookmarkStart w:id="16" w:name="local-knowledge"/>
      <w:bookmarkStart w:id="17" w:name="_Toc103228660"/>
      <w:r>
        <w:t>Local knowl</w:t>
      </w:r>
      <w:r>
        <w:t>edge</w:t>
      </w:r>
      <w:bookmarkEnd w:id="17"/>
    </w:p>
    <w:p w14:paraId="14128FA7" w14:textId="77777777" w:rsidR="00060622" w:rsidRDefault="001C5AE5">
      <w:pPr>
        <w:pStyle w:val="FirstParagraph"/>
        <w:rPr>
          <w:rFonts w:hint="eastAsia"/>
        </w:rPr>
      </w:pPr>
      <w:r>
        <w:t>Community-based organisations (CBOs) typically have local knowledge and presence, both before and after healthcare crises (Carstensen et al., 2021; Kieffer-Døssing, 2020). Already adapted to local conditions, they potentially have local situation awar</w:t>
      </w:r>
      <w:r>
        <w:t xml:space="preserve">eness and insight into cultural beliefs. In particular, CBOs may have been established to assist or represent the </w:t>
      </w:r>
      <w:r>
        <w:lastRenderedPageBreak/>
        <w:t>interests of disadvantaged and powerless groups e.g. people living in informal settlements (slums), people living with HIV or sex-workers (Car</w:t>
      </w:r>
      <w:r>
        <w:t>stensen et al., 2021; Kimani et al., 2020).</w:t>
      </w:r>
    </w:p>
    <w:p w14:paraId="271DC1C0" w14:textId="77777777" w:rsidR="00060622" w:rsidRDefault="001C5AE5">
      <w:pPr>
        <w:pStyle w:val="Heading3"/>
      </w:pPr>
      <w:bookmarkStart w:id="18" w:name="diversity"/>
      <w:bookmarkStart w:id="19" w:name="_Toc103228661"/>
      <w:bookmarkEnd w:id="16"/>
      <w:r>
        <w:t>Diversity</w:t>
      </w:r>
      <w:bookmarkEnd w:id="19"/>
    </w:p>
    <w:p w14:paraId="3B9EB28D" w14:textId="77777777" w:rsidR="00060622" w:rsidRDefault="001C5AE5">
      <w:pPr>
        <w:pStyle w:val="FirstParagraph"/>
        <w:rPr>
          <w:rFonts w:hint="eastAsia"/>
        </w:rPr>
      </w:pPr>
      <w:r>
        <w:t>A diversity of observations, opinions and approaches – different to that of larger organisations and government organisations – has the potential to improve situational awareness and provide effective response to complex humanitarian problems (Clarke, 2013</w:t>
      </w:r>
      <w:r>
        <w:t>).</w:t>
      </w:r>
    </w:p>
    <w:p w14:paraId="52348FDB" w14:textId="77777777" w:rsidR="00060622" w:rsidRDefault="001C5AE5">
      <w:pPr>
        <w:pStyle w:val="BodyText"/>
        <w:rPr>
          <w:rFonts w:hint="eastAsia"/>
        </w:rPr>
      </w:pPr>
      <w:r>
        <w:t>Providing diversity of observation and opinion includes providing feedback on proposed interventions as applicable to specific people groups. CBOs can potentially monitor and anticipate unexpected and adverse consequences of policy through a feedback lo</w:t>
      </w:r>
      <w:r>
        <w:t xml:space="preserve">op (Kevany et al., 2012). For example, the advice to wash hands for twenty seconds to reduce the spread of COVID-19 provoked the response from a leader of a small community-based organisation in Kenya “Running water for 20 seconds! When we don’t have even </w:t>
      </w:r>
      <w:r>
        <w:t>enough drinking water as it is” (Carstensen et al., 2021). CBOs have the potential to enable or adapt responses to local conditions e.g. establishing hand-washing stations and exploring methods to wash hands with less water. The smaller size of CBOs may en</w:t>
      </w:r>
      <w:r>
        <w:t>able CBOs to respond more quickly and flexibly to crises than larger organisations (Hushie et al., 2021; Kieffer-Døssing, 2020).</w:t>
      </w:r>
    </w:p>
    <w:p w14:paraId="457FAD15" w14:textId="77777777" w:rsidR="00060622" w:rsidRDefault="001C5AE5">
      <w:pPr>
        <w:pStyle w:val="Heading3"/>
      </w:pPr>
      <w:bookmarkStart w:id="20" w:name="customising-the-message"/>
      <w:bookmarkStart w:id="21" w:name="_Toc103228662"/>
      <w:bookmarkEnd w:id="18"/>
      <w:r>
        <w:t>Customising the message</w:t>
      </w:r>
      <w:bookmarkEnd w:id="21"/>
    </w:p>
    <w:p w14:paraId="4E1FE761" w14:textId="77777777" w:rsidR="00060622" w:rsidRDefault="001C5AE5">
      <w:pPr>
        <w:pStyle w:val="FirstParagraph"/>
        <w:rPr>
          <w:rFonts w:hint="eastAsia"/>
        </w:rPr>
      </w:pPr>
      <w:r>
        <w:t>CBOs can also customise and distribute messages into the local language and style of communication e.g.</w:t>
      </w:r>
      <w:r>
        <w:t xml:space="preserve"> storytelling (Clulow et al., 2020; </w:t>
      </w:r>
      <w:r>
        <w:rPr>
          <w:i/>
          <w:iCs/>
        </w:rPr>
        <w:t>Ebola Outbreak, Sierra Leone</w:t>
      </w:r>
      <w:r>
        <w:t>, 2015; Kieffer-Døssing, 2020). Girls in Kibera, Nairobi, Kenya (and, later, elsewhere in East Africa) adopted the small multi-coloured ‘spike’ haircut to publicize COVID-19 (Carstensen et al.</w:t>
      </w:r>
      <w:r>
        <w:t>, 2021). CBOs also countered local rumours e.g. regarding which populations were or weren’t vulnerable to COVID-19 and rumours about treatments (Carstensen et al., 2021).</w:t>
      </w:r>
    </w:p>
    <w:p w14:paraId="38FC4B88" w14:textId="77777777" w:rsidR="00060622" w:rsidRDefault="001C5AE5">
      <w:pPr>
        <w:pStyle w:val="Heading3"/>
      </w:pPr>
      <w:bookmarkStart w:id="22" w:name="mobilise-and-empower"/>
      <w:bookmarkStart w:id="23" w:name="_Toc103228663"/>
      <w:bookmarkEnd w:id="20"/>
      <w:r>
        <w:lastRenderedPageBreak/>
        <w:t>Mobilise and empower</w:t>
      </w:r>
      <w:bookmarkEnd w:id="23"/>
    </w:p>
    <w:p w14:paraId="41EA6B56" w14:textId="77777777" w:rsidR="00060622" w:rsidRDefault="001C5AE5">
      <w:pPr>
        <w:pStyle w:val="FirstParagraph"/>
        <w:rPr>
          <w:rFonts w:hint="eastAsia"/>
        </w:rPr>
      </w:pPr>
      <w:r>
        <w:t>If they have strong connections to the community, CBOs can mobil</w:t>
      </w:r>
      <w:r>
        <w:t>ise and empower communities through recruitment and training of local staff to aid in humanitarian response and public education (Hushie et al., 2021; Paterson &amp; Widner, 2017). Spontaneous local womens’ groups in Burkina Faso – after training – went door-t</w:t>
      </w:r>
      <w:r>
        <w:t>o-door raising awareness of COVID-19 related hygiene measures (Carstensen et al., 2021).</w:t>
      </w:r>
    </w:p>
    <w:p w14:paraId="59248E4B" w14:textId="77777777" w:rsidR="00060622" w:rsidRDefault="001C5AE5">
      <w:pPr>
        <w:pStyle w:val="BodyText"/>
        <w:rPr>
          <w:rFonts w:hint="eastAsia"/>
        </w:rPr>
      </w:pPr>
      <w:r>
        <w:t>CBOs with a good community relations can improve co-operation and trust between the community and public authorities (e.g. hospitals) or non-governmental service provi</w:t>
      </w:r>
      <w:r>
        <w:t>ders (Hushie et al., 2021). Particularly if the infection or interventions to prevent or control infection are contentious from a social, cultural or religious perspective e.g. HIV-AIDS (Kevany et al., 2012). There may be new and developing therapies for t</w:t>
      </w:r>
      <w:r>
        <w:t>reating infectious disease, but there may be high levels of community distrust in novel therapies. Communication between communities and bodies employing new therapies can help reduce that distrust (Bedson et al., 2020).</w:t>
      </w:r>
    </w:p>
    <w:p w14:paraId="6A73BB18" w14:textId="77777777" w:rsidR="00060622" w:rsidRDefault="001C5AE5">
      <w:pPr>
        <w:pStyle w:val="BodyText"/>
        <w:rPr>
          <w:rFonts w:hint="eastAsia"/>
        </w:rPr>
      </w:pPr>
      <w:r>
        <w:t>CBOs can provide an advocacy role f</w:t>
      </w:r>
      <w:r>
        <w:t>or the community with the government authorities and other organisations (Carstensen et al., 2021).</w:t>
      </w:r>
    </w:p>
    <w:p w14:paraId="74DD7E7A" w14:textId="77777777" w:rsidR="00060622" w:rsidRDefault="001C5AE5">
      <w:pPr>
        <w:pStyle w:val="Heading3"/>
      </w:pPr>
      <w:bookmarkStart w:id="24" w:name="resources"/>
      <w:bookmarkStart w:id="25" w:name="_Toc103228664"/>
      <w:bookmarkEnd w:id="22"/>
      <w:r>
        <w:t>Resources</w:t>
      </w:r>
      <w:bookmarkEnd w:id="25"/>
    </w:p>
    <w:p w14:paraId="704A0AB3" w14:textId="77777777" w:rsidR="00060622" w:rsidRDefault="001C5AE5">
      <w:pPr>
        <w:pStyle w:val="FirstParagraph"/>
        <w:rPr>
          <w:rFonts w:hint="eastAsia"/>
        </w:rPr>
      </w:pPr>
      <w:r>
        <w:t xml:space="preserve">CBOs in sub-Saharan Africa have potential access to raise additional funds, both internationally and locally, other than what is available to the </w:t>
      </w:r>
      <w:r>
        <w:t>public authorities (Carstensen et al., 2021; Hushie et al., 2021; Kimani et al., 2020).</w:t>
      </w:r>
    </w:p>
    <w:p w14:paraId="638962F2" w14:textId="77777777" w:rsidR="00060622" w:rsidRDefault="001C5AE5">
      <w:pPr>
        <w:pStyle w:val="Heading3"/>
      </w:pPr>
      <w:bookmarkStart w:id="26" w:name="behaviour-and-iterative-change"/>
      <w:bookmarkStart w:id="27" w:name="_Toc103228665"/>
      <w:bookmarkEnd w:id="24"/>
      <w:r>
        <w:lastRenderedPageBreak/>
        <w:t>Behaviour and iterative change</w:t>
      </w:r>
      <w:bookmarkEnd w:id="27"/>
    </w:p>
    <w:p w14:paraId="28A5C9BD" w14:textId="77777777" w:rsidR="00060622" w:rsidRDefault="001C5AE5">
      <w:pPr>
        <w:pStyle w:val="FirstParagraph"/>
        <w:rPr>
          <w:rFonts w:hint="eastAsia"/>
        </w:rPr>
      </w:pPr>
      <w:r>
        <w:t>Behaviours drive infectious epidemic emergence and transmission. Crisis mitigation measures include enabling and reinforcing behaviour ch</w:t>
      </w:r>
      <w:r>
        <w:t>anges which reduce the spread of disease. Behaviour change education has traditionally been a one-way disease-focused communication from centralized experts (Bedson et al., 2020). However, this may ineffective. For example, restrictions on movement and con</w:t>
      </w:r>
      <w:r>
        <w:t>gregation may be considered a religious problem rather than a health problem in the Niger. Or closing schools may result – in some communities – in children gathering at the local river (Kieffer-Døssing, 2020).</w:t>
      </w:r>
    </w:p>
    <w:p w14:paraId="7B3919BE" w14:textId="77777777" w:rsidR="00060622" w:rsidRDefault="001C5AE5">
      <w:pPr>
        <w:pStyle w:val="BodyText"/>
        <w:rPr>
          <w:rFonts w:hint="eastAsia"/>
        </w:rPr>
      </w:pPr>
      <w:r>
        <w:t>Communities can change behaviours, but need t</w:t>
      </w:r>
      <w:r>
        <w:t>o be aware of the danger requiring behaviour change and mitigation strategies need to be available and palatable. This can be done through a two-way participatory learning and action approach to both create the ‘demand’ for behaviour change and the ‘supply</w:t>
      </w:r>
      <w:r>
        <w:t xml:space="preserve">’ of practical and realistic culturally-appropriate strategies (Bedson et al., 2020; </w:t>
      </w:r>
      <w:r>
        <w:rPr>
          <w:i/>
          <w:iCs/>
        </w:rPr>
        <w:t>Participatory Learning and Action</w:t>
      </w:r>
      <w:r>
        <w:t>, 2017). Development of strategies appropriate for the community – guided by standardized, but flexible, operational processes – can be do</w:t>
      </w:r>
      <w:r>
        <w:t>ne iteratively through questions such as (from Bedson et al., 2020):</w:t>
      </w:r>
    </w:p>
    <w:p w14:paraId="589D962B" w14:textId="77777777" w:rsidR="00060622" w:rsidRDefault="001C5AE5">
      <w:pPr>
        <w:pStyle w:val="BodyText"/>
        <w:rPr>
          <w:rFonts w:hint="eastAsia"/>
        </w:rPr>
      </w:pPr>
      <w:r>
        <w:t>1. What are the most commonly expressed disease-related concerns expressed by community members?</w:t>
      </w:r>
    </w:p>
    <w:p w14:paraId="3096CB1C" w14:textId="77777777" w:rsidR="00060622" w:rsidRDefault="001C5AE5">
      <w:pPr>
        <w:pStyle w:val="BodyText"/>
        <w:rPr>
          <w:rFonts w:hint="eastAsia"/>
        </w:rPr>
      </w:pPr>
      <w:r>
        <w:t>2. What were the most commonly asked questions by community members?</w:t>
      </w:r>
    </w:p>
    <w:p w14:paraId="23FAC2B2" w14:textId="77777777" w:rsidR="00060622" w:rsidRDefault="001C5AE5">
      <w:pPr>
        <w:pStyle w:val="BodyText"/>
        <w:rPr>
          <w:rFonts w:hint="eastAsia"/>
        </w:rPr>
      </w:pPr>
      <w:r>
        <w:t>3. What did the commu</w:t>
      </w:r>
      <w:r>
        <w:t>nity initially assess and rank as key risks for contracting the disease?</w:t>
      </w:r>
    </w:p>
    <w:p w14:paraId="660BF21D" w14:textId="77777777" w:rsidR="00060622" w:rsidRDefault="001C5AE5">
      <w:pPr>
        <w:pStyle w:val="BodyText"/>
        <w:rPr>
          <w:rFonts w:hint="eastAsia"/>
        </w:rPr>
      </w:pPr>
      <w:r>
        <w:t>4. What actions or by-laws have been (or can be) developed on the disease in this community?</w:t>
      </w:r>
    </w:p>
    <w:p w14:paraId="73543F5D" w14:textId="77777777" w:rsidR="00060622" w:rsidRDefault="001C5AE5">
      <w:pPr>
        <w:pStyle w:val="BodyText"/>
        <w:rPr>
          <w:rFonts w:hint="eastAsia"/>
        </w:rPr>
      </w:pPr>
      <w:r>
        <w:t>Through iterations of consultation, monitoring, evaluation and feedback, community-based s</w:t>
      </w:r>
      <w:r>
        <w:t xml:space="preserve">trategies can evolve over time to time-appropriate or more effective strategies e.g. from </w:t>
      </w:r>
      <w:r>
        <w:lastRenderedPageBreak/>
        <w:t>restricting movements into and out of a community to health surveillance of the community itself (Bedson et al., 2020).</w:t>
      </w:r>
    </w:p>
    <w:p w14:paraId="020FC428" w14:textId="77777777" w:rsidR="00060622" w:rsidRDefault="001C5AE5">
      <w:pPr>
        <w:pStyle w:val="BodyText"/>
        <w:rPr>
          <w:rFonts w:hint="eastAsia"/>
        </w:rPr>
      </w:pPr>
      <w:r>
        <w:t>In an HIV-intervention program working in site</w:t>
      </w:r>
      <w:r>
        <w:t>s including in South Africa, Tanzania and Zimbabwe, those sub-programs which included community consultation and participation (including consultation and operational co-operation with community-based organisations) had ten times higher intervention uptake</w:t>
      </w:r>
      <w:r>
        <w:t xml:space="preserve"> compared to ‘control’ programs which did not have local adaptation (Kevany et al., 2012).</w:t>
      </w:r>
    </w:p>
    <w:p w14:paraId="31E4DF44" w14:textId="77777777" w:rsidR="00060622" w:rsidRDefault="001C5AE5">
      <w:pPr>
        <w:pStyle w:val="Heading2"/>
      </w:pPr>
      <w:bookmarkStart w:id="28" w:name="challenges"/>
      <w:bookmarkStart w:id="29" w:name="_Toc103228666"/>
      <w:bookmarkEnd w:id="14"/>
      <w:bookmarkEnd w:id="26"/>
      <w:r>
        <w:t>Challenges</w:t>
      </w:r>
      <w:bookmarkEnd w:id="29"/>
    </w:p>
    <w:p w14:paraId="3455F80B" w14:textId="77777777" w:rsidR="00060622" w:rsidRDefault="001C5AE5">
      <w:pPr>
        <w:pStyle w:val="Heading3"/>
      </w:pPr>
      <w:bookmarkStart w:id="30" w:name="different-modes-of-operation"/>
      <w:bookmarkStart w:id="31" w:name="_Toc103228667"/>
      <w:r>
        <w:t>Different modes of operation</w:t>
      </w:r>
      <w:bookmarkEnd w:id="31"/>
    </w:p>
    <w:p w14:paraId="61197B49" w14:textId="77777777" w:rsidR="00060622" w:rsidRDefault="001C5AE5">
      <w:pPr>
        <w:pStyle w:val="FirstParagraph"/>
        <w:rPr>
          <w:rFonts w:hint="eastAsia"/>
        </w:rPr>
      </w:pPr>
      <w:r>
        <w:t>Crisis response is not the routine business of CBOs. Crisis response requires a different mode of operation to ‘business as u</w:t>
      </w:r>
      <w:r>
        <w:t>sual’. For example, both public and private organisations typically devote more resources towards activities and few resources to gathering information required to detect or monitor a potential crisis (Boin et al., 2016). Staff, staff training, overall str</w:t>
      </w:r>
      <w:r>
        <w:t>ategy and funding of CBOs are often all oriented and linked to typical development goals. This slows the ability of CBOs to provide crisis response services (International Rescue Committee, 2016). As a result, a CBO, like other organisations, may have diff</w:t>
      </w:r>
      <w:r>
        <w:t>iculty flexibly adapting to needs of a crisis response (Leonard &amp; Howitt, 2009b).</w:t>
      </w:r>
    </w:p>
    <w:p w14:paraId="299B8FB0" w14:textId="77777777" w:rsidR="00060622" w:rsidRDefault="001C5AE5">
      <w:pPr>
        <w:pStyle w:val="BodyText"/>
        <w:rPr>
          <w:rFonts w:hint="eastAsia"/>
        </w:rPr>
      </w:pPr>
      <w:r>
        <w:t>CBOs usual services, e.g. education, welfare support, may be disrupted by infectious disease measures. For example, awareness and educational programs, e.g. focusing on keepi</w:t>
      </w:r>
      <w:r>
        <w:t xml:space="preserve">ng girls in school and sexuality education, helped decrease HIV rates among African countries. However, during the COVID-19 epidemic, there was reduced HIV testing and ARV initiation in South Africa and even reduced access (50%) to ARV – for those already </w:t>
      </w:r>
      <w:r>
        <w:t xml:space="preserve">on ARV treatment – in Kenya (Hasan et al., 2022). CBOs may need to take measures to adapt the </w:t>
      </w:r>
      <w:r>
        <w:lastRenderedPageBreak/>
        <w:t>provision of their usual services e.g. distribution of printed education material in South Africa (Clulow et al., 2020).</w:t>
      </w:r>
    </w:p>
    <w:p w14:paraId="4FE4298E" w14:textId="77777777" w:rsidR="00060622" w:rsidRDefault="001C5AE5">
      <w:pPr>
        <w:pStyle w:val="Heading3"/>
      </w:pPr>
      <w:bookmarkStart w:id="32" w:name="communication-and-co-operation"/>
      <w:bookmarkStart w:id="33" w:name="_Toc103228668"/>
      <w:bookmarkEnd w:id="30"/>
      <w:r>
        <w:t>Communication and co-operation</w:t>
      </w:r>
      <w:bookmarkEnd w:id="33"/>
    </w:p>
    <w:p w14:paraId="7F1B0586" w14:textId="77777777" w:rsidR="00060622" w:rsidRDefault="001C5AE5">
      <w:pPr>
        <w:pStyle w:val="FirstParagraph"/>
        <w:rPr>
          <w:rFonts w:hint="eastAsia"/>
        </w:rPr>
      </w:pPr>
      <w:r>
        <w:t>The role a</w:t>
      </w:r>
      <w:r>
        <w:t xml:space="preserve">nd services provided by any individual CBO may be relatively narrow in scope and not reflect the comprehensive response required to a crisis (Carstensen et al., 2021). A CBO’s crisis response will often need to be supported and informed by expert external </w:t>
      </w:r>
      <w:r>
        <w:t>organisations.</w:t>
      </w:r>
    </w:p>
    <w:p w14:paraId="4AAFD6D2" w14:textId="77777777" w:rsidR="00060622" w:rsidRDefault="001C5AE5">
      <w:pPr>
        <w:pStyle w:val="BodyText"/>
        <w:rPr>
          <w:rFonts w:hint="eastAsia"/>
        </w:rPr>
      </w:pPr>
      <w:r>
        <w:t>However, CBOs may have poor linkages and information sharing with government, other large non-governmental organisations and other CBOs, reducing their ability to co-ordinate a comprehensive response. Government organisations may even be unw</w:t>
      </w:r>
      <w:r>
        <w:t>illing to acknowledge the potential or actual role of non-governmental organisations in crisis management and recovery (Colten et al., 2008).</w:t>
      </w:r>
    </w:p>
    <w:p w14:paraId="56D11AEB" w14:textId="77777777" w:rsidR="00060622" w:rsidRDefault="001C5AE5">
      <w:pPr>
        <w:pStyle w:val="BodyText"/>
        <w:rPr>
          <w:rFonts w:hint="eastAsia"/>
        </w:rPr>
      </w:pPr>
      <w:r>
        <w:t>Even worse, a multiplicity of organisations can result in confusing and contradictory messages. CBOs encompass a w</w:t>
      </w:r>
      <w:r>
        <w:t xml:space="preserve">ide variety of organisations, each with different priorities, expertise and capacity (Hushie et al., 2021). Behavioural change interventions are most likely to be effective if communication channels (world-of-mouth, social media, meetings, mass media) are </w:t>
      </w:r>
      <w:r>
        <w:t>co-ordinated with and in support of government policies (Bedson et al., 2020). This co-ordination between CBOs and government can be improved by preparing – prior to a crisis-response – for CBO consultation, co-ordination and feedback directed towards adap</w:t>
      </w:r>
      <w:r>
        <w:t>ting the crisis response (Kevany et al., 2012).</w:t>
      </w:r>
    </w:p>
    <w:p w14:paraId="2F02810A" w14:textId="77777777" w:rsidR="00060622" w:rsidRDefault="001C5AE5">
      <w:pPr>
        <w:pStyle w:val="BodyText"/>
        <w:rPr>
          <w:rFonts w:hint="eastAsia"/>
        </w:rPr>
      </w:pPr>
      <w:r>
        <w:t>Co-ordination of government, NGOs and international aid can be assisted by the a national Incident Management System (IMS) e.g. for recruiting and training required staff, supplying required equipment, ensuri</w:t>
      </w:r>
      <w:r>
        <w:t xml:space="preserve">ng treatment centres are safe and co-ordination of systems (Paterson &amp; Widner, 2017). Incident management systems used during Ebola outbreaks in </w:t>
      </w:r>
      <w:r>
        <w:lastRenderedPageBreak/>
        <w:t>Liberia, Nigeria and elsewhere supported flexible responses allowing decentralised co-ordination and operations</w:t>
      </w:r>
      <w:r>
        <w:t xml:space="preserve"> sensitive to local conditions (Brooks, 2016; Fallah et al., 2016; Olu et al., 2016). IMS can be implemented in low-resource settings such as Liberia, among organisations with little familiarity with IMS and during times of infectious disease crisis (Pilla</w:t>
      </w:r>
      <w:r>
        <w:t>i et al., 2014).</w:t>
      </w:r>
    </w:p>
    <w:p w14:paraId="0E1D240B" w14:textId="77777777" w:rsidR="00060622" w:rsidRDefault="001C5AE5">
      <w:pPr>
        <w:pStyle w:val="Heading3"/>
      </w:pPr>
      <w:bookmarkStart w:id="34" w:name="limited-resources-and-sustainability"/>
      <w:bookmarkStart w:id="35" w:name="_Toc103228669"/>
      <w:bookmarkEnd w:id="32"/>
      <w:r>
        <w:t>Limited resources and sustainability</w:t>
      </w:r>
      <w:bookmarkEnd w:id="35"/>
    </w:p>
    <w:p w14:paraId="0EFC7172" w14:textId="77777777" w:rsidR="00060622" w:rsidRDefault="001C5AE5">
      <w:pPr>
        <w:pStyle w:val="FirstParagraph"/>
        <w:rPr>
          <w:rFonts w:hint="eastAsia"/>
        </w:rPr>
      </w:pPr>
      <w:r>
        <w:t>CBOs operating in a crisis environment can rapidly exhaust their limited resources (Carstensen et al., 2021)</w:t>
      </w:r>
      <w:r>
        <w:t>. Though CBOs are well-placed to recruit community volunteers, the attrition and turnover rate of community volunteers can be high. Attrition can be reduced by appropriate compensation, perhaps funded by government or international agencies (Bedson et al.,</w:t>
      </w:r>
      <w:r>
        <w:t xml:space="preserve"> 2020).</w:t>
      </w:r>
    </w:p>
    <w:p w14:paraId="0598E5C7" w14:textId="77777777" w:rsidR="00060622" w:rsidRDefault="001C5AE5">
      <w:pPr>
        <w:pStyle w:val="BodyText"/>
        <w:rPr>
          <w:rFonts w:hint="eastAsia"/>
        </w:rPr>
      </w:pPr>
      <w:r>
        <w:t>Long-term sustainability of community-based mitigation measures is characterised by ongoing, continuously monitored actions with feedback e.g. monitoring of cases and morbidity, rather than one-off action items e.g. initial installation of a hand-w</w:t>
      </w:r>
      <w:r>
        <w:t>ashing station (Bedson et al., 2020).</w:t>
      </w:r>
    </w:p>
    <w:p w14:paraId="55B3C215" w14:textId="77777777" w:rsidR="00060622" w:rsidRDefault="001C5AE5">
      <w:pPr>
        <w:pStyle w:val="Heading2"/>
      </w:pPr>
      <w:bookmarkStart w:id="36" w:name="conclusion"/>
      <w:bookmarkStart w:id="37" w:name="_Toc103228670"/>
      <w:bookmarkEnd w:id="28"/>
      <w:bookmarkEnd w:id="34"/>
      <w:r>
        <w:t>Conclusion</w:t>
      </w:r>
      <w:bookmarkEnd w:id="37"/>
    </w:p>
    <w:p w14:paraId="6C2981B5" w14:textId="77777777" w:rsidR="00060622" w:rsidRDefault="001C5AE5">
      <w:pPr>
        <w:pStyle w:val="FirstParagraph"/>
        <w:rPr>
          <w:rFonts w:hint="eastAsia"/>
        </w:rPr>
      </w:pPr>
      <w:r>
        <w:t>Like most other organisations, community-based organisations in sub-Saharan Africa are typically not oriented towards crisis response. Much can be done to prepare and strengthen CBOs to be part of a decentra</w:t>
      </w:r>
      <w:r>
        <w:t>lized crisis response which is coordinated with government (Clarke, 2014; Leonard &amp; Howitt, 2010b). Community-based organisations can provide a flexible, localised and adaptive responses to epidemic crises and ultimately strengthen community resilience, ev</w:t>
      </w:r>
      <w:r>
        <w:t>en in the absence of crisis.</w:t>
      </w:r>
    </w:p>
    <w:p w14:paraId="0F61F40B" w14:textId="77777777" w:rsidR="00060622" w:rsidRDefault="001C5AE5">
      <w:r>
        <w:br w:type="page"/>
      </w:r>
    </w:p>
    <w:p w14:paraId="3BDC0411" w14:textId="77777777" w:rsidR="00060622" w:rsidRDefault="001C5AE5">
      <w:pPr>
        <w:pStyle w:val="Heading2"/>
      </w:pPr>
      <w:bookmarkStart w:id="38" w:name="references"/>
      <w:bookmarkStart w:id="39" w:name="_Toc103228671"/>
      <w:bookmarkEnd w:id="36"/>
      <w:r>
        <w:lastRenderedPageBreak/>
        <w:t>References</w:t>
      </w:r>
      <w:bookmarkEnd w:id="39"/>
    </w:p>
    <w:p w14:paraId="0294D141" w14:textId="77777777" w:rsidR="00060622" w:rsidRDefault="001C5AE5">
      <w:pPr>
        <w:pStyle w:val="Bibliography1"/>
      </w:pPr>
      <w:bookmarkStart w:id="40" w:name="ref-ahmed2020"/>
      <w:bookmarkStart w:id="41" w:name="refs"/>
      <w:r>
        <w:t xml:space="preserve">Ahmed, S. A. K. S., Ajisola, M., Azeem, K., Bakibinga, P., Chen, Y.-F., Choudhury, N. N., Fayehun, O., Griffiths, F., Harris, B., Kibe, P., Lilford, R. J., Omigbodun, A., Rizvi, N., Sartori, J., Smith, S., Watson, S. I., Wilson, R., Yeboah, G., Aujla, N., </w:t>
      </w:r>
      <w:r>
        <w:t xml:space="preserve">… Yusuf, R. (2020). Impact of the societal response to COVID-19 on access to healthcare for non-COVID-19 health issues in slum communities of Bangladesh, Kenya, Nigeria and Pakistan: results of pre-COVID and COVID-19 lockdown stakeholder engagements. </w:t>
      </w:r>
      <w:r>
        <w:rPr>
          <w:i/>
          <w:iCs/>
        </w:rPr>
        <w:t>BMJ G</w:t>
      </w:r>
      <w:r>
        <w:rPr>
          <w:i/>
          <w:iCs/>
        </w:rPr>
        <w:t>lobal Health</w:t>
      </w:r>
      <w:r>
        <w:t xml:space="preserve">, </w:t>
      </w:r>
      <w:r>
        <w:rPr>
          <w:i/>
          <w:iCs/>
        </w:rPr>
        <w:t>5</w:t>
      </w:r>
      <w:r>
        <w:t xml:space="preserve">(8), e003042. </w:t>
      </w:r>
      <w:hyperlink r:id="rId7">
        <w:r>
          <w:rPr>
            <w:rStyle w:val="Hyperlink"/>
          </w:rPr>
          <w:t>https://doi.org/10.1136/bmjgh-2020-003042</w:t>
        </w:r>
      </w:hyperlink>
    </w:p>
    <w:p w14:paraId="222C4C42" w14:textId="77777777" w:rsidR="00060622" w:rsidRDefault="001C5AE5">
      <w:pPr>
        <w:pStyle w:val="Bibliography1"/>
      </w:pPr>
      <w:bookmarkStart w:id="42" w:name="ref-banerjee2012"/>
      <w:bookmarkEnd w:id="40"/>
      <w:r>
        <w:t xml:space="preserve">Banerjee, A. V., &amp; Duflo, E. (2012). </w:t>
      </w:r>
      <w:r>
        <w:rPr>
          <w:i/>
          <w:iCs/>
        </w:rPr>
        <w:t>Poor economics: a radical rethinking of the way to fight global poverty</w:t>
      </w:r>
      <w:r>
        <w:t>. PublicAffairs.</w:t>
      </w:r>
    </w:p>
    <w:p w14:paraId="187648D0" w14:textId="77777777" w:rsidR="00060622" w:rsidRDefault="001C5AE5">
      <w:pPr>
        <w:pStyle w:val="Bibliography1"/>
      </w:pPr>
      <w:bookmarkStart w:id="43" w:name="ref-bedson2020"/>
      <w:bookmarkEnd w:id="42"/>
      <w:r>
        <w:t>Bedson, J., Jalloh, M. F., Pedi, D., Bah, S., Owen, K., Oniba, A., Sangarie, M., Fofanah, J. S., Jalloh, M. B., Sengeh, P., Skrip, L., Althouse, B. M., &amp; Hébert-Dufresne, L. (2020). Community engagement in outbreak response: lessons from the 20142016 Ebol</w:t>
      </w:r>
      <w:r>
        <w:t xml:space="preserve">a outbreak in Sierra Leone. </w:t>
      </w:r>
      <w:r>
        <w:rPr>
          <w:i/>
          <w:iCs/>
        </w:rPr>
        <w:t>BMJ Global Health</w:t>
      </w:r>
      <w:r>
        <w:t xml:space="preserve">, </w:t>
      </w:r>
      <w:r>
        <w:rPr>
          <w:i/>
          <w:iCs/>
        </w:rPr>
        <w:t>5</w:t>
      </w:r>
      <w:r>
        <w:t xml:space="preserve">(8), e002145. </w:t>
      </w:r>
      <w:hyperlink r:id="rId8">
        <w:r>
          <w:rPr>
            <w:rStyle w:val="Hyperlink"/>
          </w:rPr>
          <w:t>https://doi.org/10.1136/bmjgh-2019-002145</w:t>
        </w:r>
      </w:hyperlink>
    </w:p>
    <w:p w14:paraId="0CD40CF6" w14:textId="77777777" w:rsidR="00060622" w:rsidRDefault="001C5AE5">
      <w:pPr>
        <w:pStyle w:val="Bibliography1"/>
      </w:pPr>
      <w:bookmarkStart w:id="44" w:name="ref-bhaskar2020"/>
      <w:bookmarkEnd w:id="43"/>
      <w:r>
        <w:t>Bhaskar, S., Rastogi, A., Menon, K. V., Kunheri, B., Balakrishnan, S., &amp; Howick, J. (2020).</w:t>
      </w:r>
      <w:r>
        <w:t xml:space="preserve"> Call for action to address equity and justice divide during COVID-19. </w:t>
      </w:r>
      <w:r>
        <w:rPr>
          <w:i/>
          <w:iCs/>
        </w:rPr>
        <w:t>Frontiers in Psychiatry</w:t>
      </w:r>
      <w:r>
        <w:t xml:space="preserve">, </w:t>
      </w:r>
      <w:r>
        <w:rPr>
          <w:i/>
          <w:iCs/>
        </w:rPr>
        <w:t>11</w:t>
      </w:r>
      <w:r>
        <w:t xml:space="preserve">. </w:t>
      </w:r>
      <w:hyperlink r:id="rId9">
        <w:r>
          <w:rPr>
            <w:rStyle w:val="Hyperlink"/>
          </w:rPr>
          <w:t>https://www.frontiersin.org/article/10.3389/fpsyt.2020.559905</w:t>
        </w:r>
      </w:hyperlink>
    </w:p>
    <w:p w14:paraId="3E01F217" w14:textId="77777777" w:rsidR="00060622" w:rsidRDefault="001C5AE5">
      <w:pPr>
        <w:pStyle w:val="Bibliography1"/>
      </w:pPr>
      <w:bookmarkStart w:id="45" w:name="ref-boin2016"/>
      <w:bookmarkEnd w:id="44"/>
      <w:r>
        <w:t>Boin, A., Har</w:t>
      </w:r>
      <w:r>
        <w:t xml:space="preserve">t, P. ’t., Stern, E., &amp; Sundelius, B. (2016). </w:t>
      </w:r>
      <w:r>
        <w:rPr>
          <w:i/>
          <w:iCs/>
        </w:rPr>
        <w:t>The politics of crisis management: Public leadership under pressure</w:t>
      </w:r>
      <w:r>
        <w:t xml:space="preserve"> (Second edition). Cambridge University Press.</w:t>
      </w:r>
    </w:p>
    <w:p w14:paraId="6BB12316" w14:textId="77777777" w:rsidR="00060622" w:rsidRDefault="001C5AE5">
      <w:pPr>
        <w:pStyle w:val="Bibliography1"/>
      </w:pPr>
      <w:bookmarkStart w:id="46" w:name="ref-boutayeb2010"/>
      <w:bookmarkEnd w:id="45"/>
      <w:r>
        <w:lastRenderedPageBreak/>
        <w:t xml:space="preserve">Boutayeb, A. (2010). The impact of infectious diseases on the development of africa. </w:t>
      </w:r>
      <w:r>
        <w:rPr>
          <w:i/>
          <w:iCs/>
        </w:rPr>
        <w:t>Handbook of</w:t>
      </w:r>
      <w:r>
        <w:rPr>
          <w:i/>
          <w:iCs/>
        </w:rPr>
        <w:t xml:space="preserve"> Disease Burdens and Quality of Life Measures</w:t>
      </w:r>
      <w:r>
        <w:t xml:space="preserve">, 1171–1188. </w:t>
      </w:r>
      <w:hyperlink r:id="rId10">
        <w:r>
          <w:rPr>
            <w:rStyle w:val="Hyperlink"/>
          </w:rPr>
          <w:t>https://doi.org/10.1007/978-0-387-78665-0_66</w:t>
        </w:r>
      </w:hyperlink>
    </w:p>
    <w:p w14:paraId="059BEED1" w14:textId="77777777" w:rsidR="00060622" w:rsidRDefault="001C5AE5">
      <w:pPr>
        <w:pStyle w:val="Bibliography1"/>
      </w:pPr>
      <w:bookmarkStart w:id="47" w:name="ref-brooks2016"/>
      <w:bookmarkEnd w:id="46"/>
      <w:r>
        <w:t>Brooks, J. C. (2016). Incident management systems and building emergency management capac</w:t>
      </w:r>
      <w:r>
        <w:t xml:space="preserve">ity during the 20142016 ebola epidemic  liberia, sierra leone, and guinea. </w:t>
      </w:r>
      <w:r>
        <w:rPr>
          <w:i/>
          <w:iCs/>
        </w:rPr>
        <w:t>MMWR Supplements</w:t>
      </w:r>
      <w:r>
        <w:t xml:space="preserve">, </w:t>
      </w:r>
      <w:r>
        <w:rPr>
          <w:i/>
          <w:iCs/>
        </w:rPr>
        <w:t>65</w:t>
      </w:r>
      <w:r>
        <w:t xml:space="preserve">. </w:t>
      </w:r>
      <w:hyperlink r:id="rId11">
        <w:r>
          <w:rPr>
            <w:rStyle w:val="Hyperlink"/>
          </w:rPr>
          <w:t>https://doi.org/10.15585/mmwr.su6503a5</w:t>
        </w:r>
      </w:hyperlink>
    </w:p>
    <w:p w14:paraId="4A258A16" w14:textId="77777777" w:rsidR="00060622" w:rsidRDefault="001C5AE5">
      <w:pPr>
        <w:pStyle w:val="Bibliography1"/>
      </w:pPr>
      <w:bookmarkStart w:id="48" w:name="Xd469dc97559c291b488d86d68eb8e80ff7fe41e"/>
      <w:bookmarkEnd w:id="47"/>
      <w:r>
        <w:rPr>
          <w:i/>
          <w:iCs/>
        </w:rPr>
        <w:t>Building resilience to natural disasters in our states and ter</w:t>
      </w:r>
      <w:r>
        <w:rPr>
          <w:i/>
          <w:iCs/>
        </w:rPr>
        <w:t>ritories</w:t>
      </w:r>
      <w:r>
        <w:t xml:space="preserve">. (2017). Deloitte Access Economics. </w:t>
      </w:r>
      <w:hyperlink r:id="rId12">
        <w:r>
          <w:rPr>
            <w:rStyle w:val="Hyperlink"/>
          </w:rPr>
          <w:t>https://www2.deloitte.com/au/en/pages/economics/articles/building-australias-natur</w:t>
        </w:r>
        <w:r>
          <w:rPr>
            <w:rStyle w:val="Hyperlink"/>
          </w:rPr>
          <w:t>al-disaster-resilience.html</w:t>
        </w:r>
      </w:hyperlink>
    </w:p>
    <w:p w14:paraId="1D2F56BF" w14:textId="77777777" w:rsidR="00060622" w:rsidRDefault="001C5AE5">
      <w:pPr>
        <w:pStyle w:val="Bibliography1"/>
      </w:pPr>
      <w:bookmarkStart w:id="49" w:name="ref-cancedda2016"/>
      <w:bookmarkEnd w:id="48"/>
      <w:r>
        <w:t xml:space="preserve">Cancedda, C., Davis, S. M., Dierberg, K. L., Lascher, J., Kelly, J. D., Barrie, M. B., Koroma, A. P., George, P., Kamara, A. A., Marsh, R., Sumbuya, M. S., Nutt, C. T., Scott, K. W., Thomas, E., Bollbach, K., Sesay, A., Barrie, </w:t>
      </w:r>
      <w:r>
        <w:t xml:space="preserve">A., Barrera, E., Barron, K., … Farmer, P. E. (2016). Strengthening health systems while responding to a health crisis: Lessons learned by a nongovernmental organization during the ebola virus disease epidemic in sierra leone. </w:t>
      </w:r>
      <w:r>
        <w:rPr>
          <w:i/>
          <w:iCs/>
        </w:rPr>
        <w:t>The Journal of Infectious Dise</w:t>
      </w:r>
      <w:r>
        <w:rPr>
          <w:i/>
          <w:iCs/>
        </w:rPr>
        <w:t>ases</w:t>
      </w:r>
      <w:r>
        <w:t xml:space="preserve">, </w:t>
      </w:r>
      <w:r>
        <w:rPr>
          <w:i/>
          <w:iCs/>
        </w:rPr>
        <w:t>214</w:t>
      </w:r>
      <w:r>
        <w:t xml:space="preserve">(Suppl 3), S153–S163. </w:t>
      </w:r>
      <w:hyperlink r:id="rId13">
        <w:r>
          <w:rPr>
            <w:rStyle w:val="Hyperlink"/>
          </w:rPr>
          <w:t>https://doi.org/10.1093/infdis/jiw345</w:t>
        </w:r>
      </w:hyperlink>
    </w:p>
    <w:p w14:paraId="3C1F8E51" w14:textId="77777777" w:rsidR="00060622" w:rsidRDefault="001C5AE5">
      <w:pPr>
        <w:pStyle w:val="Bibliography1"/>
      </w:pPr>
      <w:bookmarkStart w:id="50" w:name="ref-carstensen2021"/>
      <w:bookmarkEnd w:id="49"/>
      <w:r>
        <w:t>Carstensen, N., Mudhar, M., &amp; Munksgaard, F. S. (2021). ‘Let communities do their work’: the role of mutual aid and self-help grou</w:t>
      </w:r>
      <w:r>
        <w:t xml:space="preserve">ps in the Covid-19 pandemic response. </w:t>
      </w:r>
      <w:r>
        <w:rPr>
          <w:i/>
          <w:iCs/>
        </w:rPr>
        <w:t>Disasters</w:t>
      </w:r>
      <w:r>
        <w:t xml:space="preserve">, </w:t>
      </w:r>
      <w:r>
        <w:rPr>
          <w:i/>
          <w:iCs/>
        </w:rPr>
        <w:t>45</w:t>
      </w:r>
      <w:r>
        <w:t xml:space="preserve">(S1), S146–S173. </w:t>
      </w:r>
      <w:hyperlink r:id="rId14">
        <w:r>
          <w:rPr>
            <w:rStyle w:val="Hyperlink"/>
          </w:rPr>
          <w:t>https://doi.org/10.1111/disa.12515</w:t>
        </w:r>
      </w:hyperlink>
    </w:p>
    <w:p w14:paraId="21A3845B" w14:textId="77777777" w:rsidR="00060622" w:rsidRDefault="001C5AE5">
      <w:pPr>
        <w:pStyle w:val="Bibliography1"/>
      </w:pPr>
      <w:bookmarkStart w:id="51" w:name="ref-cho2018"/>
      <w:bookmarkEnd w:id="50"/>
      <w:r>
        <w:t xml:space="preserve">Cho, H., Mbai, I., Luseno, W. K., Hobbs, M., Halpern, C., &amp; Hallfors, D. D. (2018). School Support </w:t>
      </w:r>
      <w:r>
        <w:t xml:space="preserve">as Structural HIV Prevention for Adolescent Orphans in Western Kenya. </w:t>
      </w:r>
      <w:r>
        <w:rPr>
          <w:i/>
          <w:iCs/>
        </w:rPr>
        <w:t>Journal of Adolescent Health</w:t>
      </w:r>
      <w:r>
        <w:t xml:space="preserve">, </w:t>
      </w:r>
      <w:r>
        <w:rPr>
          <w:i/>
          <w:iCs/>
        </w:rPr>
        <w:t>62</w:t>
      </w:r>
      <w:r>
        <w:t xml:space="preserve">(1), 44–51. </w:t>
      </w:r>
      <w:hyperlink r:id="rId15">
        <w:r>
          <w:rPr>
            <w:rStyle w:val="Hyperlink"/>
          </w:rPr>
          <w:t>https://doi.org/10.1016/j.jadohealth.2017.07.015</w:t>
        </w:r>
      </w:hyperlink>
    </w:p>
    <w:p w14:paraId="1919631D" w14:textId="77777777" w:rsidR="00060622" w:rsidRDefault="001C5AE5">
      <w:pPr>
        <w:pStyle w:val="Bibliography1"/>
      </w:pPr>
      <w:bookmarkStart w:id="52" w:name="ref-clarke2013"/>
      <w:bookmarkEnd w:id="51"/>
      <w:r>
        <w:lastRenderedPageBreak/>
        <w:t xml:space="preserve">Clarke, P. K. (2013). </w:t>
      </w:r>
      <w:r>
        <w:rPr>
          <w:i/>
          <w:iCs/>
        </w:rPr>
        <w:t>Who’s in Charge Here? A literature review on approaches to leadership in humanitarian operations</w:t>
      </w:r>
      <w:r>
        <w:t xml:space="preserve"> (p. 92).</w:t>
      </w:r>
    </w:p>
    <w:p w14:paraId="7DFC1105" w14:textId="77777777" w:rsidR="00060622" w:rsidRDefault="001C5AE5">
      <w:pPr>
        <w:pStyle w:val="Bibliography1"/>
      </w:pPr>
      <w:bookmarkStart w:id="53" w:name="ref-clarke2014"/>
      <w:bookmarkEnd w:id="52"/>
      <w:r>
        <w:t>Clarke, P. K. (2014). Between chaos and control: rethinking operational leaders</w:t>
      </w:r>
      <w:r>
        <w:t xml:space="preserve">hip. </w:t>
      </w:r>
      <w:r>
        <w:rPr>
          <w:i/>
          <w:iCs/>
        </w:rPr>
        <w:t>ALNAP Study</w:t>
      </w:r>
      <w:r>
        <w:t>, 114.</w:t>
      </w:r>
    </w:p>
    <w:p w14:paraId="4A25E394" w14:textId="77777777" w:rsidR="00060622" w:rsidRDefault="001C5AE5">
      <w:pPr>
        <w:pStyle w:val="Bibliography1"/>
      </w:pPr>
      <w:bookmarkStart w:id="54" w:name="ref-clulow2020"/>
      <w:bookmarkEnd w:id="53"/>
      <w:r>
        <w:t xml:space="preserve">Clulow, S., Dimitrouka, N., &amp; Zapata, I. Z. (2020). COVID on three continents: How local children’s organisations in africa, europe and south america are adapting to the coronavirus challenge. </w:t>
      </w:r>
      <w:r>
        <w:rPr>
          <w:i/>
          <w:iCs/>
        </w:rPr>
        <w:t>Journal of Children’s Services</w:t>
      </w:r>
      <w:r>
        <w:t xml:space="preserve">, </w:t>
      </w:r>
      <w:r>
        <w:rPr>
          <w:i/>
          <w:iCs/>
        </w:rPr>
        <w:t>15</w:t>
      </w:r>
      <w:r>
        <w:t>(4), 2</w:t>
      </w:r>
      <w:r>
        <w:t>95–303. https://doi.org/</w:t>
      </w:r>
      <w:hyperlink r:id="rId16">
        <w:r>
          <w:rPr>
            <w:rStyle w:val="Hyperlink"/>
          </w:rPr>
          <w:t>http://dx.doi.org/10.1108/JCS-07-2020-0046</w:t>
        </w:r>
      </w:hyperlink>
    </w:p>
    <w:p w14:paraId="2A987ADC" w14:textId="77777777" w:rsidR="00060622" w:rsidRDefault="001C5AE5">
      <w:pPr>
        <w:pStyle w:val="Bibliography1"/>
      </w:pPr>
      <w:bookmarkStart w:id="55" w:name="ref-colten2008"/>
      <w:bookmarkEnd w:id="54"/>
      <w:r>
        <w:t xml:space="preserve">Colten, C. E., Kates, R. W., &amp; Laska, S. B. (2008). Three years after katrina: Lessons for community resilience. </w:t>
      </w:r>
      <w:r>
        <w:rPr>
          <w:i/>
          <w:iCs/>
        </w:rPr>
        <w:t>Environment: S</w:t>
      </w:r>
      <w:r>
        <w:rPr>
          <w:i/>
          <w:iCs/>
        </w:rPr>
        <w:t>cience and Policy for Sustainable Development</w:t>
      </w:r>
      <w:r>
        <w:t xml:space="preserve">, </w:t>
      </w:r>
      <w:r>
        <w:rPr>
          <w:i/>
          <w:iCs/>
        </w:rPr>
        <w:t>50</w:t>
      </w:r>
      <w:r>
        <w:t xml:space="preserve">(5), 36–47. </w:t>
      </w:r>
      <w:hyperlink r:id="rId17">
        <w:r>
          <w:rPr>
            <w:rStyle w:val="Hyperlink"/>
          </w:rPr>
          <w:t>https://doi.org/10.3200/ENVT.50.5.36-47</w:t>
        </w:r>
      </w:hyperlink>
    </w:p>
    <w:p w14:paraId="36AE1873" w14:textId="77777777" w:rsidR="00060622" w:rsidRDefault="001C5AE5">
      <w:pPr>
        <w:pStyle w:val="Bibliography1"/>
      </w:pPr>
      <w:bookmarkStart w:id="56" w:name="ref-dvorak2020"/>
      <w:bookmarkEnd w:id="55"/>
      <w:r>
        <w:t xml:space="preserve">Dvorak, B. M., &amp; Phred. (2020). A deadly coronavirus was inevitable. Why was no one ready? </w:t>
      </w:r>
      <w:r>
        <w:rPr>
          <w:i/>
          <w:iCs/>
        </w:rPr>
        <w:t xml:space="preserve">Wall </w:t>
      </w:r>
      <w:r>
        <w:rPr>
          <w:i/>
          <w:iCs/>
        </w:rPr>
        <w:t>Street Journal</w:t>
      </w:r>
      <w:r>
        <w:t xml:space="preserve">. </w:t>
      </w:r>
      <w:hyperlink r:id="rId18">
        <w:r>
          <w:rPr>
            <w:rStyle w:val="Hyperlink"/>
          </w:rPr>
          <w:t>https://www.wsj.com/articles/a-deadly-coronavirus-was-inevitable-why-was-no-one-ready-for-covid-11597325213</w:t>
        </w:r>
      </w:hyperlink>
    </w:p>
    <w:p w14:paraId="4FECB50A" w14:textId="77777777" w:rsidR="00060622" w:rsidRDefault="001C5AE5">
      <w:pPr>
        <w:pStyle w:val="Bibliography1"/>
      </w:pPr>
      <w:bookmarkStart w:id="57" w:name="ref-ebolaou2015"/>
      <w:bookmarkEnd w:id="56"/>
      <w:r>
        <w:rPr>
          <w:i/>
          <w:iCs/>
        </w:rPr>
        <w:t>Ebola</w:t>
      </w:r>
      <w:r>
        <w:rPr>
          <w:i/>
          <w:iCs/>
        </w:rPr>
        <w:t xml:space="preserve"> Outbreak, Sierra Leone: Communication: Challenges and Good Practices | ALNAP</w:t>
      </w:r>
      <w:r>
        <w:t xml:space="preserve">. (2015). </w:t>
      </w:r>
      <w:hyperlink r:id="rId19">
        <w:r>
          <w:rPr>
            <w:rStyle w:val="Hyperlink"/>
          </w:rPr>
          <w:t>https://www.alnap.org/help-library/ebola-ou</w:t>
        </w:r>
        <w:r>
          <w:rPr>
            <w:rStyle w:val="Hyperlink"/>
          </w:rPr>
          <w:t>tbreak-sierra-leone-communication-challenges-and-good-practices</w:t>
        </w:r>
      </w:hyperlink>
    </w:p>
    <w:p w14:paraId="46EA227D" w14:textId="77777777" w:rsidR="00060622" w:rsidRDefault="001C5AE5">
      <w:pPr>
        <w:pStyle w:val="Bibliography1"/>
      </w:pPr>
      <w:bookmarkStart w:id="58" w:name="ref-ekeland2022"/>
      <w:bookmarkEnd w:id="57"/>
      <w:r>
        <w:t xml:space="preserve">Ekeland, M. G. (2022). COVID-19’s ambiguous parcel: Agency, dignity, and claims to a rightful share during food parcel distribution in lockdown South Africa. </w:t>
      </w:r>
      <w:r>
        <w:rPr>
          <w:i/>
          <w:iCs/>
        </w:rPr>
        <w:t>Economic Anthropology</w:t>
      </w:r>
      <w:r>
        <w:t xml:space="preserve">, </w:t>
      </w:r>
      <w:r>
        <w:rPr>
          <w:i/>
          <w:iCs/>
        </w:rPr>
        <w:t>9</w:t>
      </w:r>
      <w:r>
        <w:t>(1), 137–1</w:t>
      </w:r>
      <w:r>
        <w:t xml:space="preserve">48. </w:t>
      </w:r>
      <w:hyperlink r:id="rId20">
        <w:r>
          <w:rPr>
            <w:rStyle w:val="Hyperlink"/>
          </w:rPr>
          <w:t>https://doi.org/10.1002/sea2.12224</w:t>
        </w:r>
      </w:hyperlink>
    </w:p>
    <w:p w14:paraId="1F39F7CB" w14:textId="77777777" w:rsidR="00060622" w:rsidRDefault="001C5AE5">
      <w:pPr>
        <w:pStyle w:val="Bibliography1"/>
      </w:pPr>
      <w:bookmarkStart w:id="59" w:name="ref-fallah2016"/>
      <w:bookmarkEnd w:id="58"/>
      <w:r>
        <w:t xml:space="preserve">Fallah, M., Dahn, B., Nyenswah, T. G., Massaquoi, M., Skrip, L. A., Yamin, D., Mbah, M. N., Joe, N., Freeman, S., Harris, T., Benson, Z., &amp; Galvani, A. P. (2016). </w:t>
      </w:r>
      <w:r>
        <w:t xml:space="preserve">Interrupting ebola </w:t>
      </w:r>
      <w:r>
        <w:lastRenderedPageBreak/>
        <w:t xml:space="preserve">transmission in liberia through community-based initiatives. </w:t>
      </w:r>
      <w:r>
        <w:rPr>
          <w:i/>
          <w:iCs/>
        </w:rPr>
        <w:t>Annals of Internal Medicine</w:t>
      </w:r>
      <w:r>
        <w:t xml:space="preserve">, </w:t>
      </w:r>
      <w:r>
        <w:rPr>
          <w:i/>
          <w:iCs/>
        </w:rPr>
        <w:t>164</w:t>
      </w:r>
      <w:r>
        <w:t xml:space="preserve">(5), 367–369. </w:t>
      </w:r>
      <w:hyperlink r:id="rId21">
        <w:r>
          <w:rPr>
            <w:rStyle w:val="Hyperlink"/>
          </w:rPr>
          <w:t>https://doi.org/10.7326/M15-1464</w:t>
        </w:r>
      </w:hyperlink>
    </w:p>
    <w:p w14:paraId="0DE3ED2F" w14:textId="77777777" w:rsidR="00060622" w:rsidRDefault="001C5AE5">
      <w:pPr>
        <w:pStyle w:val="Bibliography1"/>
      </w:pPr>
      <w:bookmarkStart w:id="60" w:name="ref-gutierrez-romero2020"/>
      <w:bookmarkEnd w:id="59"/>
      <w:r>
        <w:t>Gutierrez-Romero, R. (2020). Conflict in Afri</w:t>
      </w:r>
      <w:r>
        <w:t xml:space="preserve">ca during COVID-19: Social Distancing, Food Vulnerability and Welfare Response. </w:t>
      </w:r>
      <w:r>
        <w:rPr>
          <w:i/>
          <w:iCs/>
        </w:rPr>
        <w:t>SSRN Electronic Journal</w:t>
      </w:r>
      <w:r>
        <w:t xml:space="preserve">. </w:t>
      </w:r>
      <w:hyperlink r:id="rId22">
        <w:r>
          <w:rPr>
            <w:rStyle w:val="Hyperlink"/>
          </w:rPr>
          <w:t>https://doi.org/10.2139/ssrn.3616421</w:t>
        </w:r>
      </w:hyperlink>
    </w:p>
    <w:p w14:paraId="7C0ECDA8" w14:textId="77777777" w:rsidR="00060622" w:rsidRDefault="001C5AE5">
      <w:pPr>
        <w:pStyle w:val="Bibliography1"/>
      </w:pPr>
      <w:bookmarkStart w:id="61" w:name="ref-hasan2022"/>
      <w:bookmarkEnd w:id="60"/>
      <w:r>
        <w:t>Hasan, M. M., Mohanan, P., Emmanuella, N., Costa, A. C. do</w:t>
      </w:r>
      <w:r>
        <w:t xml:space="preserve">s S., Ahmad, S., Mousavi, S. H., &amp; Essar, M. Y. (2022). Challenges of HIV amidst COVID-19 in Africa: Can we conquer them? </w:t>
      </w:r>
      <w:r>
        <w:rPr>
          <w:i/>
          <w:iCs/>
        </w:rPr>
        <w:t>Journal of Medical Virology</w:t>
      </w:r>
      <w:r>
        <w:t xml:space="preserve">, </w:t>
      </w:r>
      <w:r>
        <w:rPr>
          <w:i/>
          <w:iCs/>
        </w:rPr>
        <w:t>94</w:t>
      </w:r>
      <w:r>
        <w:t xml:space="preserve">(1), 11–13. </w:t>
      </w:r>
      <w:hyperlink r:id="rId23">
        <w:r>
          <w:rPr>
            <w:rStyle w:val="Hyperlink"/>
          </w:rPr>
          <w:t>https://doi.org/10.1002/jmv.27276</w:t>
        </w:r>
      </w:hyperlink>
    </w:p>
    <w:p w14:paraId="5EF49EF7" w14:textId="77777777" w:rsidR="00060622" w:rsidRDefault="001C5AE5">
      <w:pPr>
        <w:pStyle w:val="Bibliography1"/>
      </w:pPr>
      <w:bookmarkStart w:id="62" w:name="ref-hushie2021"/>
      <w:bookmarkEnd w:id="61"/>
      <w:r>
        <w:t xml:space="preserve">Hushie, M., Salifu, R. S., &amp; Seidu, I. (2021). </w:t>
      </w:r>
      <w:r>
        <w:rPr>
          <w:i/>
          <w:iCs/>
        </w:rPr>
        <w:t>Strengthening International Health Security by Embedding the Role of Civil Society Organizations in National Health Systems: Lessons from the 20142016 West Africa Ebola Response</w:t>
      </w:r>
      <w:r>
        <w:t xml:space="preserve">. IntechOpen. </w:t>
      </w:r>
      <w:hyperlink r:id="rId24">
        <w:r>
          <w:rPr>
            <w:rStyle w:val="Hyperlink"/>
          </w:rPr>
          <w:t>https://www.intechopen.com/chapters/74355</w:t>
        </w:r>
      </w:hyperlink>
    </w:p>
    <w:p w14:paraId="69834A29" w14:textId="77777777" w:rsidR="00060622" w:rsidRDefault="001C5AE5">
      <w:pPr>
        <w:pStyle w:val="Bibliography1"/>
      </w:pPr>
      <w:bookmarkStart w:id="63" w:name="ref-internationalrescuecommittee2016"/>
      <w:bookmarkEnd w:id="62"/>
      <w:r>
        <w:t xml:space="preserve">International Rescue Committee. (2016). </w:t>
      </w:r>
      <w:r>
        <w:rPr>
          <w:i/>
          <w:iCs/>
        </w:rPr>
        <w:t>The ebola lessons reader: What’s being said, what’s missing and why it matters</w:t>
      </w:r>
      <w:r>
        <w:t xml:space="preserve">. </w:t>
      </w:r>
      <w:hyperlink r:id="rId25">
        <w:r>
          <w:rPr>
            <w:rStyle w:val="Hyperlink"/>
          </w:rPr>
          <w:t>https://www.rescue.org/sites/default/files/document/563/theebolalessonsreaderlowres.pdf</w:t>
        </w:r>
      </w:hyperlink>
    </w:p>
    <w:p w14:paraId="6CC0FE54" w14:textId="77777777" w:rsidR="00060622" w:rsidRDefault="001C5AE5">
      <w:pPr>
        <w:pStyle w:val="Bibliography1"/>
      </w:pPr>
      <w:bookmarkStart w:id="64" w:name="ref-kevany2012"/>
      <w:bookmarkEnd w:id="63"/>
      <w:r>
        <w:t>Kevany, S., Khumalo-Sakutukwa, G., Murima, O., Chingono, A., Mo</w:t>
      </w:r>
      <w:r>
        <w:t xml:space="preserve">diba, P., Gray, G., Van Rooyen, H., Mrumbi, K., Mbwambo, J., Kawichai, S., Chariyalertsak, S., Chariyalertsak, C., Paradza, E., Mulawa, M., Curran, K., Fritz, K., &amp; Morin, S. F. (2012). Health diplomacy and the adaptation of global health interventions to </w:t>
      </w:r>
      <w:r>
        <w:t xml:space="preserve">local needs in sub-Saharan Africa and Thailand: evaluating findings from Project Accept. </w:t>
      </w:r>
      <w:r>
        <w:rPr>
          <w:i/>
          <w:iCs/>
        </w:rPr>
        <w:t>BMC public health</w:t>
      </w:r>
      <w:r>
        <w:t xml:space="preserve">, </w:t>
      </w:r>
      <w:r>
        <w:rPr>
          <w:i/>
          <w:iCs/>
        </w:rPr>
        <w:t>12</w:t>
      </w:r>
      <w:r>
        <w:t xml:space="preserve">, 459. </w:t>
      </w:r>
      <w:hyperlink r:id="rId26">
        <w:r>
          <w:rPr>
            <w:rStyle w:val="Hyperlink"/>
          </w:rPr>
          <w:t>https://doi.org/10.1186/1471-2458-12-459</w:t>
        </w:r>
      </w:hyperlink>
    </w:p>
    <w:p w14:paraId="42E9CAE3" w14:textId="77777777" w:rsidR="00060622" w:rsidRDefault="001C5AE5">
      <w:pPr>
        <w:pStyle w:val="Bibliography1"/>
      </w:pPr>
      <w:bookmarkStart w:id="65" w:name="ref-kieffer-døssing2020"/>
      <w:bookmarkEnd w:id="64"/>
      <w:r>
        <w:lastRenderedPageBreak/>
        <w:t xml:space="preserve">Kieffer-Døssing, G. (2020). </w:t>
      </w:r>
      <w:r>
        <w:rPr>
          <w:i/>
          <w:iCs/>
        </w:rPr>
        <w:t>Community-</w:t>
      </w:r>
      <w:r>
        <w:rPr>
          <w:i/>
          <w:iCs/>
        </w:rPr>
        <w:t>led responses to COVID-19 in the sahel, oral testimonies #1</w:t>
      </w:r>
      <w:r>
        <w:t xml:space="preserve">. </w:t>
      </w:r>
      <w:hyperlink r:id="rId27">
        <w:r>
          <w:rPr>
            <w:rStyle w:val="Hyperlink"/>
          </w:rPr>
          <w:t>https://usercontent.one/wp/www.local2global.info/wp-conten</w:t>
        </w:r>
        <w:r>
          <w:rPr>
            <w:rStyle w:val="Hyperlink"/>
          </w:rPr>
          <w:t>t/uploads/Com_response_covid_-Sahelreport1_final_080720.pdf</w:t>
        </w:r>
      </w:hyperlink>
    </w:p>
    <w:p w14:paraId="1E192F5F" w14:textId="77777777" w:rsidR="00060622" w:rsidRDefault="001C5AE5">
      <w:pPr>
        <w:pStyle w:val="Bibliography1"/>
      </w:pPr>
      <w:bookmarkStart w:id="66" w:name="ref-kimani2020"/>
      <w:bookmarkEnd w:id="65"/>
      <w:r>
        <w:t>Kimani, J., Adhiambo, J., Kasiba, R., Mwangi, P., Were, V., Mathenge, J., Macharia, P., Cholette, F., Moore, S., Shaw, S., Becker, M., Musyoki, H., Bhattacharjee, P., Moses, S., Fowke, K. R., McKi</w:t>
      </w:r>
      <w:r>
        <w:t xml:space="preserve">nnon, L. R., &amp; Lorway, R. (2020). The effects of COVID-19 on the health and socio-economic security of sex workers in Nairobi, Kenya: Emerging intersections with HIV. </w:t>
      </w:r>
      <w:r>
        <w:rPr>
          <w:i/>
          <w:iCs/>
        </w:rPr>
        <w:t>Global Public Health</w:t>
      </w:r>
      <w:r>
        <w:t xml:space="preserve">, </w:t>
      </w:r>
      <w:r>
        <w:rPr>
          <w:i/>
          <w:iCs/>
        </w:rPr>
        <w:t>15</w:t>
      </w:r>
      <w:r>
        <w:t xml:space="preserve">(7), 1073–1082. </w:t>
      </w:r>
      <w:hyperlink r:id="rId28">
        <w:r>
          <w:rPr>
            <w:rStyle w:val="Hyperlink"/>
          </w:rPr>
          <w:t>https://doi.org/10.1080/17441692.2020.1770831</w:t>
        </w:r>
      </w:hyperlink>
    </w:p>
    <w:p w14:paraId="473B1F3C" w14:textId="77777777" w:rsidR="00060622" w:rsidRDefault="001C5AE5">
      <w:pPr>
        <w:pStyle w:val="Bibliography1"/>
      </w:pPr>
      <w:bookmarkStart w:id="67" w:name="ref-leonard2009a"/>
      <w:bookmarkEnd w:id="66"/>
      <w:r>
        <w:t xml:space="preserve">Leonard, H. B., &amp; Howitt, A. M. (2009a). Acting in Time Against Disasters: A Comprehensive Risk-Management Framework. In H. Kunreuther &amp; M. Useem (Eds.), </w:t>
      </w:r>
      <w:r>
        <w:rPr>
          <w:i/>
          <w:iCs/>
        </w:rPr>
        <w:t>Learning from Catastrophes: Strategies f</w:t>
      </w:r>
      <w:r>
        <w:rPr>
          <w:i/>
          <w:iCs/>
        </w:rPr>
        <w:t>or Reaction and Response</w:t>
      </w:r>
      <w:r>
        <w:t xml:space="preserve">. Wharton School of Publishing. </w:t>
      </w:r>
      <w:hyperlink r:id="rId29">
        <w:r>
          <w:rPr>
            <w:rStyle w:val="Hyperlink"/>
          </w:rPr>
          <w:t>https://learning.oreilly.com/library/view/learning-from-catastrophes/9780137067237/ch02.</w:t>
        </w:r>
        <w:r>
          <w:rPr>
            <w:rStyle w:val="Hyperlink"/>
          </w:rPr>
          <w:t>html</w:t>
        </w:r>
      </w:hyperlink>
    </w:p>
    <w:p w14:paraId="422A24D4" w14:textId="77777777" w:rsidR="00060622" w:rsidRDefault="001C5AE5">
      <w:pPr>
        <w:pStyle w:val="Bibliography1"/>
      </w:pPr>
      <w:bookmarkStart w:id="68" w:name="ref-leonard2009"/>
      <w:bookmarkEnd w:id="67"/>
      <w:r>
        <w:t xml:space="preserve">Leonard, H. B., &amp; Howitt, A. M. (2009b). High performance in emergencies: Two modes of operation. In A. M. Howitt, H. B. Leonard, &amp; D. W. Giles (Eds.), </w:t>
      </w:r>
      <w:r>
        <w:rPr>
          <w:i/>
          <w:iCs/>
        </w:rPr>
        <w:t>Managing crises: Responses to large-scale emergencies</w:t>
      </w:r>
      <w:r>
        <w:t xml:space="preserve"> (pp. 611–624). CQ Press.</w:t>
      </w:r>
    </w:p>
    <w:p w14:paraId="65D39F4C" w14:textId="77777777" w:rsidR="00060622" w:rsidRDefault="001C5AE5">
      <w:pPr>
        <w:pStyle w:val="Bibliography1"/>
      </w:pPr>
      <w:bookmarkStart w:id="69" w:name="ref-leonard2010a"/>
      <w:bookmarkEnd w:id="68"/>
      <w:r>
        <w:t>Leonard, H. B., &amp; Ho</w:t>
      </w:r>
      <w:r>
        <w:t xml:space="preserve">witt, A. M. (2010a). </w:t>
      </w:r>
      <w:r>
        <w:rPr>
          <w:i/>
          <w:iCs/>
        </w:rPr>
        <w:t>Advance recovery and the development of resilient organisations and societies</w:t>
      </w:r>
      <w:r>
        <w:t xml:space="preserve"> (S. Woodward, Ed.; pp. 45–58). Centre for Global Dialogue (Rüschlikon, Switzerland : Swiss Re). </w:t>
      </w:r>
      <w:hyperlink r:id="rId30">
        <w:r>
          <w:rPr>
            <w:rStyle w:val="Hyperlink"/>
          </w:rPr>
          <w:t>https://www.hks.harvard.edu/sites/default/files/centers/research-initiatives/crisisleadership/files/Risk_Dialogue_Ch%202.pdf</w:t>
        </w:r>
      </w:hyperlink>
    </w:p>
    <w:p w14:paraId="02930EFD" w14:textId="77777777" w:rsidR="00060622" w:rsidRDefault="001C5AE5">
      <w:pPr>
        <w:pStyle w:val="Bibliography1"/>
      </w:pPr>
      <w:bookmarkStart w:id="70" w:name="ref-leonard2010"/>
      <w:bookmarkEnd w:id="69"/>
      <w:r>
        <w:lastRenderedPageBreak/>
        <w:t>Leonard, H. B., &amp; Howitt, A. M. (2010b). Organis</w:t>
      </w:r>
      <w:r>
        <w:t xml:space="preserve">ing Response to Extreme Emergencies: The Victorian Bushfires of 2009: Organising Response to Extreme Emergencies. </w:t>
      </w:r>
      <w:r>
        <w:rPr>
          <w:i/>
          <w:iCs/>
        </w:rPr>
        <w:t>Australian Journal of Public Administration</w:t>
      </w:r>
      <w:r>
        <w:t xml:space="preserve">, </w:t>
      </w:r>
      <w:r>
        <w:rPr>
          <w:i/>
          <w:iCs/>
        </w:rPr>
        <w:t>69</w:t>
      </w:r>
      <w:r>
        <w:t xml:space="preserve">(4), 372–386. </w:t>
      </w:r>
      <w:hyperlink r:id="rId31">
        <w:r>
          <w:rPr>
            <w:rStyle w:val="Hyperlink"/>
          </w:rPr>
          <w:t>https://doi.o</w:t>
        </w:r>
        <w:r>
          <w:rPr>
            <w:rStyle w:val="Hyperlink"/>
          </w:rPr>
          <w:t>rg/10.1111/j.1467-8500.2010.00695.x</w:t>
        </w:r>
      </w:hyperlink>
    </w:p>
    <w:p w14:paraId="5EB2B45C" w14:textId="77777777" w:rsidR="00060622" w:rsidRDefault="001C5AE5">
      <w:pPr>
        <w:pStyle w:val="Bibliography1"/>
      </w:pPr>
      <w:bookmarkStart w:id="71" w:name="ref-okma2016"/>
      <w:bookmarkEnd w:id="70"/>
      <w:r>
        <w:t xml:space="preserve">Okma, K. G. H., Kay, A., Hockenberry, S., Liu, J., &amp; Watkins, S. (2016). The changing role of health-oriented international organizations and nongovernmental organizations. </w:t>
      </w:r>
      <w:r>
        <w:rPr>
          <w:i/>
          <w:iCs/>
        </w:rPr>
        <w:t>The International Journal of Health Planning an</w:t>
      </w:r>
      <w:r>
        <w:rPr>
          <w:i/>
          <w:iCs/>
        </w:rPr>
        <w:t>d Management</w:t>
      </w:r>
      <w:r>
        <w:t xml:space="preserve">, </w:t>
      </w:r>
      <w:r>
        <w:rPr>
          <w:i/>
          <w:iCs/>
        </w:rPr>
        <w:t>31</w:t>
      </w:r>
      <w:r>
        <w:t xml:space="preserve">(4), 488–510. </w:t>
      </w:r>
      <w:hyperlink r:id="rId32">
        <w:r>
          <w:rPr>
            <w:rStyle w:val="Hyperlink"/>
          </w:rPr>
          <w:t>https://doi.org/10.1002/hpm.2298</w:t>
        </w:r>
      </w:hyperlink>
    </w:p>
    <w:p w14:paraId="08BE0CF6" w14:textId="77777777" w:rsidR="00060622" w:rsidRDefault="001C5AE5">
      <w:pPr>
        <w:pStyle w:val="Bibliography1"/>
      </w:pPr>
      <w:bookmarkStart w:id="72" w:name="ref-olu2016"/>
      <w:bookmarkEnd w:id="71"/>
      <w:r>
        <w:t>Olu, O. O., Lamunu, M., Chimbaru, A., Adegboyega, A., Conteh, I., Nsenga, N., Sempiira, N., Kamara, K.-B., &amp; Dafae, F. M. (2016). Incident Ma</w:t>
      </w:r>
      <w:r>
        <w:t xml:space="preserve">nagement Systems Are Essential for Effective Coordination of Large Disease Outbreaks: Perspectives from the Coordination of the Ebola Outbreak Response in Sierra Leone. </w:t>
      </w:r>
      <w:r>
        <w:rPr>
          <w:i/>
          <w:iCs/>
        </w:rPr>
        <w:t>Frontiers in Public Health</w:t>
      </w:r>
      <w:r>
        <w:t xml:space="preserve">, </w:t>
      </w:r>
      <w:r>
        <w:rPr>
          <w:i/>
          <w:iCs/>
        </w:rPr>
        <w:t>4</w:t>
      </w:r>
      <w:r>
        <w:t xml:space="preserve">. </w:t>
      </w:r>
      <w:hyperlink r:id="rId33">
        <w:r>
          <w:rPr>
            <w:rStyle w:val="Hyperlink"/>
          </w:rPr>
          <w:t>https://doi.org/10.3389/fpubh.2016.00254</w:t>
        </w:r>
      </w:hyperlink>
    </w:p>
    <w:p w14:paraId="7E03F42F" w14:textId="77777777" w:rsidR="00060622" w:rsidRDefault="001C5AE5">
      <w:pPr>
        <w:pStyle w:val="Bibliography1"/>
      </w:pPr>
      <w:bookmarkStart w:id="73" w:name="ref-particip2017"/>
      <w:bookmarkEnd w:id="72"/>
      <w:r>
        <w:rPr>
          <w:i/>
          <w:iCs/>
        </w:rPr>
        <w:t>Participatory learning and action</w:t>
      </w:r>
      <w:r>
        <w:t xml:space="preserve">. (2017). </w:t>
      </w:r>
      <w:hyperlink r:id="rId34">
        <w:r>
          <w:rPr>
            <w:rStyle w:val="Hyperlink"/>
          </w:rPr>
          <w:t>https://www.intrac.org/wpcms/wp-content/uploads/2017/01</w:t>
        </w:r>
        <w:r>
          <w:rPr>
            <w:rStyle w:val="Hyperlink"/>
          </w:rPr>
          <w:t>/Participatory-learning-and-action.pdf</w:t>
        </w:r>
      </w:hyperlink>
    </w:p>
    <w:p w14:paraId="78BB9F77" w14:textId="77777777" w:rsidR="00060622" w:rsidRDefault="001C5AE5">
      <w:pPr>
        <w:pStyle w:val="Bibliography1"/>
      </w:pPr>
      <w:bookmarkStart w:id="74" w:name="ref-paterson2017"/>
      <w:bookmarkEnd w:id="73"/>
      <w:r>
        <w:t xml:space="preserve">Paterson, D., &amp; Widner, J. (2017). Filling Skill Gaps: Mobilizing Human Resources in the Fight Against Ebola, 20142015. </w:t>
      </w:r>
      <w:r>
        <w:rPr>
          <w:i/>
          <w:iCs/>
        </w:rPr>
        <w:t>GLOBAL CHALLENGES</w:t>
      </w:r>
      <w:r>
        <w:t>, 34.</w:t>
      </w:r>
    </w:p>
    <w:p w14:paraId="50E183C0" w14:textId="77777777" w:rsidR="00060622" w:rsidRDefault="001C5AE5">
      <w:pPr>
        <w:pStyle w:val="Bibliography1"/>
      </w:pPr>
      <w:bookmarkStart w:id="75" w:name="ref-pillai2014"/>
      <w:bookmarkEnd w:id="74"/>
      <w:r>
        <w:t xml:space="preserve">Pillai, S. K., Nyenswah, T., Rouse, E., Arwady, M. A., Forrester, J. D., Hunter, J. C., Matanock, A., Ayscue, P., Monroe, B., Schafer, I. J., Poblano, L., Neatherlin, J., Montgomery, J. M., &amp; De Cock, K. M. (2014). Developing an incident management system </w:t>
      </w:r>
      <w:r>
        <w:t xml:space="preserve">to support ebola response – liberia, july-august 2014. </w:t>
      </w:r>
      <w:r>
        <w:rPr>
          <w:i/>
          <w:iCs/>
        </w:rPr>
        <w:t>MMWR: Morbidity &amp; Mortality Weekly Report</w:t>
      </w:r>
      <w:r>
        <w:t xml:space="preserve">, </w:t>
      </w:r>
      <w:r>
        <w:rPr>
          <w:i/>
          <w:iCs/>
        </w:rPr>
        <w:t>63</w:t>
      </w:r>
      <w:r>
        <w:t xml:space="preserve">(41), 930–933. </w:t>
      </w:r>
      <w:hyperlink r:id="rId35">
        <w:r>
          <w:rPr>
            <w:rStyle w:val="Hyperlink"/>
          </w:rPr>
          <w:t>http://ezp-</w:t>
        </w:r>
        <w:r>
          <w:rPr>
            <w:rStyle w:val="Hyperlink"/>
          </w:rPr>
          <w:lastRenderedPageBreak/>
          <w:t>prod1.hul.harvard.edu/login?url=https://search.ebscohost.com/login.aspx?direct=true&amp;db=ccm&amp;AN=103850974&amp;site=ehost-live&amp;scope=site</w:t>
        </w:r>
      </w:hyperlink>
    </w:p>
    <w:p w14:paraId="76884FC3" w14:textId="77777777" w:rsidR="00060622" w:rsidRDefault="001C5AE5">
      <w:pPr>
        <w:pStyle w:val="Bibliography1"/>
      </w:pPr>
      <w:bookmarkStart w:id="76" w:name="ref-sasidharan2021"/>
      <w:bookmarkEnd w:id="75"/>
      <w:r>
        <w:t>Sasidharan, S., &amp; Dhillon, H. S. (2021). Ebola, COVID-19 and Africa: What we expected and what</w:t>
      </w:r>
      <w:r>
        <w:t xml:space="preserve"> we got. </w:t>
      </w:r>
      <w:r>
        <w:rPr>
          <w:i/>
          <w:iCs/>
        </w:rPr>
        <w:t>Developing World Bioethics</w:t>
      </w:r>
      <w:r>
        <w:t xml:space="preserve">, </w:t>
      </w:r>
      <w:r>
        <w:rPr>
          <w:i/>
          <w:iCs/>
        </w:rPr>
        <w:t>21</w:t>
      </w:r>
      <w:r>
        <w:t xml:space="preserve">(1), 51–54. </w:t>
      </w:r>
      <w:hyperlink r:id="rId36">
        <w:r>
          <w:rPr>
            <w:rStyle w:val="Hyperlink"/>
          </w:rPr>
          <w:t>https://doi.org/10.1111/dewb.12292</w:t>
        </w:r>
      </w:hyperlink>
    </w:p>
    <w:p w14:paraId="6668E512" w14:textId="77777777" w:rsidR="00060622" w:rsidRDefault="001C5AE5">
      <w:pPr>
        <w:pStyle w:val="Bibliography1"/>
      </w:pPr>
      <w:bookmarkStart w:id="77" w:name="ref-tiberghien2022"/>
      <w:bookmarkEnd w:id="76"/>
      <w:r>
        <w:t xml:space="preserve">Tiberghien, Y. (2022). </w:t>
      </w:r>
      <w:r>
        <w:rPr>
          <w:i/>
          <w:iCs/>
        </w:rPr>
        <w:t>Why has the east asian covid model diverged over delta and omicron?</w:t>
      </w:r>
      <w:r>
        <w:t xml:space="preserve"> </w:t>
      </w:r>
      <w:hyperlink r:id="rId37">
        <w:r>
          <w:rPr>
            <w:rStyle w:val="Hyperlink"/>
          </w:rPr>
          <w:t>https://fairbank.fas.harvard.edu/events/yves-tiberghien-why-has-the-east-asian-covid-model-diverged-over-delta-and-omicron/</w:t>
        </w:r>
      </w:hyperlink>
    </w:p>
    <w:p w14:paraId="6128DFD8" w14:textId="77777777" w:rsidR="00060622" w:rsidRDefault="001C5AE5">
      <w:pPr>
        <w:pStyle w:val="Bibliography1"/>
      </w:pPr>
      <w:bookmarkStart w:id="78" w:name="ref-vardavas2021"/>
      <w:bookmarkEnd w:id="77"/>
      <w:r>
        <w:t xml:space="preserve">Vardavas, C., </w:t>
      </w:r>
      <w:r>
        <w:t xml:space="preserve">Nikitara, K., Zisis, K., Athanasakis, K., Phalkey, R., Leonardi-Bee, J., Johnson, H., Tsolova, S., Ciotti, M., &amp; Suk, J. E. (2021). Cost-effectiveness of emergency preparedness measures in response to infectious respiratory disease outbreaks: a systematic </w:t>
      </w:r>
      <w:r>
        <w:t xml:space="preserve">review and econometric analysis. </w:t>
      </w:r>
      <w:r>
        <w:rPr>
          <w:i/>
          <w:iCs/>
        </w:rPr>
        <w:t>BMJ Open</w:t>
      </w:r>
      <w:r>
        <w:t xml:space="preserve">, </w:t>
      </w:r>
      <w:r>
        <w:rPr>
          <w:i/>
          <w:iCs/>
        </w:rPr>
        <w:t>11</w:t>
      </w:r>
      <w:r>
        <w:t xml:space="preserve">(4), e045113. </w:t>
      </w:r>
      <w:hyperlink r:id="rId38">
        <w:r>
          <w:rPr>
            <w:rStyle w:val="Hyperlink"/>
          </w:rPr>
          <w:t>https://doi.org/10.1136/bmjopen-2020-045113</w:t>
        </w:r>
      </w:hyperlink>
      <w:bookmarkEnd w:id="38"/>
      <w:bookmarkEnd w:id="41"/>
      <w:bookmarkEnd w:id="78"/>
    </w:p>
    <w:sectPr w:rsidR="00060622">
      <w:headerReference w:type="default" r:id="rId39"/>
      <w:footerReference w:type="default" r:id="rId40"/>
      <w:pgSz w:w="11906" w:h="16838"/>
      <w:pgMar w:top="1440" w:right="1440" w:bottom="1440" w:left="1440"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E3AB9" w14:textId="77777777" w:rsidR="001C5AE5" w:rsidRDefault="001C5AE5">
      <w:pPr>
        <w:spacing w:before="0" w:after="0" w:line="240" w:lineRule="auto"/>
      </w:pPr>
      <w:r>
        <w:separator/>
      </w:r>
    </w:p>
  </w:endnote>
  <w:endnote w:type="continuationSeparator" w:id="0">
    <w:p w14:paraId="2E97D783" w14:textId="77777777" w:rsidR="001C5AE5" w:rsidRDefault="001C5A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2020603050405020304"/>
    <w:charset w:val="01"/>
    <w:family w:val="roman"/>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1"/>
    <w:family w:val="roman"/>
    <w:pitch w:val="variable"/>
  </w:font>
  <w:font w:name="OpenSymbol">
    <w:altName w:val="Arial Unicode MS"/>
    <w:panose1 w:val="05010000000000000000"/>
    <w:charset w:val="01"/>
    <w:family w:val="roman"/>
    <w:pitch w:val="variable"/>
  </w:font>
  <w:font w:name="Liberation Sans">
    <w:altName w:val="Arial"/>
    <w:panose1 w:val="020B0604020202020204"/>
    <w:charset w:val="01"/>
    <w:family w:val="roman"/>
    <w:pitch w:val="variable"/>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65943" w14:textId="5761E5AE" w:rsidR="00060622" w:rsidRDefault="001B35F8">
    <w:pPr>
      <w:pStyle w:val="Footer"/>
      <w:jc w:val="left"/>
    </w:pPr>
    <w:r>
      <w:rPr>
        <w:noProof/>
      </w:rPr>
      <w:pict w14:anchorId="43ACCDD9">
        <v:rect id="_x005F_x0000_s2049" o:spid="_x0000_s1025" style="position:absolute;margin-left:210.3pt;margin-top:.05pt;width:144.15pt;height:23.1pt;z-index:-50331647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" o:allowincell="f" filled="f" stroked="f" strokeweight="0">
          <v:textbox style="mso-fit-shape-to-text:t" inset="0,0,0,0">
            <w:txbxContent>
              <w:p w14:paraId="7586462B" w14:textId="77777777" w:rsidR="00060622" w:rsidRDefault="001C5AE5">
                <w:pPr>
                  <w:pStyle w:val="Footer"/>
                  <w:jc w:val="left"/>
                  <w:rPr>
                    <w:color w:val="000000"/>
                  </w:rPr>
                </w:pPr>
                <w:r>
                  <w:rPr>
                    <w:color w:val="000000"/>
                  </w:rPr>
                  <w:fldChar w:fldCharType="begin"/>
                </w:r>
                <w:r>
                  <w:rPr>
                    <w:color w:val="000000"/>
                  </w:rPr>
                  <w:instrText>PAGE</w:instrText>
                </w:r>
                <w:r>
                  <w:rPr>
                    <w:color w:val="000000"/>
                  </w:rPr>
                  <w:fldChar w:fldCharType="separate"/>
                </w:r>
                <w:r>
                  <w:rPr>
                    <w:color w:val="000000"/>
                  </w:rPr>
                  <w:t>3</w:t>
                </w:r>
                <w:r>
                  <w:rPr>
                    <w:color w:val="000000"/>
                  </w:rPr>
                  <w:fldChar w:fldCharType="end"/>
                </w:r>
              </w:p>
            </w:txbxContent>
          </v:textbox>
          <w10:wrap anchorx="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71DF7" w14:textId="77777777" w:rsidR="001C5AE5" w:rsidRDefault="001C5AE5">
      <w:r>
        <w:separator/>
      </w:r>
    </w:p>
  </w:footnote>
  <w:footnote w:type="continuationSeparator" w:id="0">
    <w:p w14:paraId="7175F7A8" w14:textId="77777777" w:rsidR="001C5AE5" w:rsidRDefault="001C5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78FE1" w14:textId="77777777" w:rsidR="00060622" w:rsidRDefault="001C5AE5">
    <w:pPr>
      <w:pStyle w:val="NormalWeb"/>
      <w:spacing w:before="280" w:after="0"/>
      <w:jc w:val="right"/>
      <w:rPr>
        <w:rFonts w:hint="eastAsia"/>
      </w:rPr>
    </w:pPr>
    <w:r>
      <w:rPr>
        <w:i/>
        <w:iCs/>
      </w:rPr>
      <w:t>MGMT-5090 Assignment 3, David Fong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E7E52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79072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275539F"/>
    <w:multiLevelType w:val="multilevel"/>
    <w:tmpl w:val="9F5E56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7E50081"/>
    <w:multiLevelType w:val="multilevel"/>
    <w:tmpl w:val="E606F4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16cid:durableId="2032224478">
    <w:abstractNumId w:val="3"/>
  </w:num>
  <w:num w:numId="2" w16cid:durableId="828135283">
    <w:abstractNumId w:val="2"/>
  </w:num>
  <w:num w:numId="3" w16cid:durableId="798306830">
    <w:abstractNumId w:val="0"/>
  </w:num>
  <w:num w:numId="4" w16cid:durableId="547230120">
    <w:abstractNumId w:val="1"/>
  </w:num>
  <w:num w:numId="5" w16cid:durableId="1484003633">
    <w:abstractNumId w:val="1"/>
  </w:num>
  <w:num w:numId="6" w16cid:durableId="268393602">
    <w:abstractNumId w:val="1"/>
  </w:num>
  <w:num w:numId="7" w16cid:durableId="1973902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60622"/>
    <w:rsid w:val="00060622"/>
    <w:rsid w:val="001B35F8"/>
    <w:rsid w:val="001C5AE5"/>
  </w:rsids>
  <m:mathPr>
    <m:mathFont m:val="Cambria Math"/>
    <m:brkBin m:val="before"/>
    <m:brkBinSub m:val="--"/>
    <m:smallFrac m:val="0"/>
    <m:dispDef/>
    <m:lMargin m:val="0"/>
    <m:rMargin m:val="0"/>
    <m:defJc m:val="centerGroup"/>
    <m:wrapRight/>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4F827"/>
  <w15:docId w15:val="{5FA56EF3-3421-446C-9C3C-DDE0A0C9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zh-CN" w:bidi="hi-IN"/>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qFormat="1"/>
    <w:lsdException w:name="toc 2" w:uiPriority="39" w:qFormat="1"/>
    <w:lsdException w:name="toc 3" w:uiPriority="39" w:qFormat="1"/>
    <w:lsdException w:name="footnote text" w:uiPriority="9" w:unhideWhenUsed="1" w:qFormat="1"/>
    <w:lsdException w:name="header" w:qFormat="1"/>
    <w:lsdException w:name="footer" w:qFormat="1"/>
    <w:lsdException w:name="caption" w:qFormat="1"/>
    <w:lsdException w:name="footnote reference" w:qFormat="1"/>
    <w:lsdException w:name="Title" w:qFormat="1"/>
    <w:lsdException w:name="Default Paragraph Font" w:unhideWhenUsed="1" w:qFormat="1"/>
    <w:lsdException w:name="Body Text" w:qFormat="1"/>
    <w:lsdException w:name="Subtitle" w:qFormat="1"/>
    <w:lsdException w:name="Date" w:qFormat="1"/>
    <w:lsdException w:name="Block Text" w:uiPriority="9" w:unhideWhenUsed="1" w:qFormat="1"/>
    <w:lsdException w:name="Hyperlink" w:uiPriority="99"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7" w:after="187" w:line="480" w:lineRule="auto"/>
    </w:pPr>
    <w:rPr>
      <w:rFonts w:ascii="Liberation Serif" w:eastAsiaTheme="minorHAnsi" w:hAnsi="Liberation Serif" w:cstheme="minorBidi"/>
      <w:sz w:val="24"/>
      <w:szCs w:val="24"/>
      <w:lang w:eastAsia="en-US" w:bidi="ar-SA"/>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BodyTextChar"/>
    <w:qFormat/>
    <w:rPr>
      <w:rFonts w:ascii="Liberation Serif" w:eastAsiaTheme="minorEastAsia" w:hAnsi="Liberation Serif"/>
      <w:vertAlign w:val="superscript"/>
    </w:rPr>
  </w:style>
  <w:style w:type="character" w:customStyle="1" w:styleId="FootnoteAnchor">
    <w:name w:val="Footnote Anchor"/>
    <w:rPr>
      <w:vertAlign w:val="superscript"/>
    </w:rPr>
  </w:style>
  <w:style w:type="character" w:customStyle="1" w:styleId="BodyTextChar">
    <w:name w:val="Body Text Char"/>
    <w:basedOn w:val="DefaultParagraphFont"/>
    <w:qFormat/>
    <w:rPr>
      <w:rFonts w:ascii="Liberation Serif" w:eastAsiaTheme="minorEastAsia" w:hAnsi="Liberation Serif"/>
    </w:rPr>
  </w:style>
  <w:style w:type="character" w:styleId="Hyperlink">
    <w:name w:val="Hyperlink"/>
    <w:basedOn w:val="BodyTextChar"/>
    <w:uiPriority w:val="99"/>
    <w:qFormat/>
    <w:rPr>
      <w:rFonts w:ascii="Liberation Serif" w:eastAsiaTheme="minorEastAsia" w:hAnsi="Liberation Serif"/>
      <w:color w:val="4F81BD" w:themeColor="accent1"/>
    </w:rPr>
  </w:style>
  <w:style w:type="character" w:customStyle="1" w:styleId="VerbatimChar">
    <w:name w:val="Verbatim Char"/>
    <w:basedOn w:val="BodyTextChar"/>
    <w:link w:val="SourceCode"/>
    <w:qFormat/>
    <w:rPr>
      <w:rFonts w:ascii="Consolas" w:eastAsiaTheme="minorEastAsia" w:hAnsi="Consolas"/>
      <w:sz w:val="22"/>
    </w:rPr>
  </w:style>
  <w:style w:type="character" w:customStyle="1" w:styleId="SectionNumber">
    <w:name w:val="Section Number"/>
    <w:basedOn w:val="BodyTextChar"/>
    <w:qFormat/>
    <w:rPr>
      <w:rFonts w:ascii="Liberation Serif" w:eastAsia="SimSun" w:hAnsi="Liberation Serif"/>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qFormat/>
    <w:pPr>
      <w:spacing w:before="180" w:after="180"/>
    </w:pPr>
    <w:rPr>
      <w:rFonts w:eastAsiaTheme="minorEastAsia"/>
    </w:rPr>
  </w:style>
  <w:style w:type="paragraph" w:styleId="List">
    <w:name w:val="List"/>
    <w:basedOn w:val="BodyText"/>
    <w:rPr>
      <w:rFonts w:cs="Arial Unicode MS"/>
    </w:rPr>
  </w:style>
  <w:style w:type="paragraph" w:styleId="Caption">
    <w:name w:val="caption"/>
    <w:basedOn w:val="Normal"/>
    <w:next w:val="Normal"/>
    <w:qFormat/>
    <w:pPr>
      <w:spacing w:before="0" w:after="120"/>
    </w:pPr>
    <w:rPr>
      <w:i/>
    </w:rPr>
  </w:style>
  <w:style w:type="paragraph" w:customStyle="1" w:styleId="Index">
    <w:name w:val="Index"/>
    <w:basedOn w:val="Normal"/>
    <w:qFormat/>
    <w:pPr>
      <w:suppressLineNumbers/>
    </w:pPr>
    <w:rPr>
      <w:rFonts w:cs="Arial Unicode MS"/>
      <w:lang/>
    </w:rPr>
  </w:style>
  <w:style w:type="paragraph" w:styleId="BlockText">
    <w:name w:val="Block Text"/>
    <w:basedOn w:val="BodyText"/>
    <w:next w:val="BodyText"/>
    <w:uiPriority w:val="9"/>
    <w:unhideWhenUsed/>
    <w:qFormat/>
    <w:pPr>
      <w:spacing w:before="100" w:after="100"/>
      <w:ind w:left="480" w:right="480"/>
    </w:pPr>
  </w:style>
  <w:style w:type="paragraph" w:styleId="Date">
    <w:name w:val="Date"/>
    <w:next w:val="BodyText"/>
    <w:qFormat/>
    <w:pPr>
      <w:keepNext/>
      <w:keepLines/>
      <w:spacing w:after="200"/>
      <w:jc w:val="center"/>
    </w:pPr>
    <w:rPr>
      <w:rFonts w:asciiTheme="minorHAnsi" w:eastAsiaTheme="minorHAnsi" w:hAnsiTheme="minorHAnsi" w:cstheme="minorBidi"/>
      <w:sz w:val="24"/>
      <w:szCs w:val="24"/>
      <w:lang w:eastAsia="en-US" w:bidi="ar-SA"/>
    </w:rPr>
  </w:style>
  <w:style w:type="paragraph" w:customStyle="1" w:styleId="HeaderandFooter">
    <w:name w:val="Header and Footer"/>
    <w:basedOn w:val="Normal"/>
    <w:qFormat/>
  </w:style>
  <w:style w:type="paragraph" w:styleId="Footer">
    <w:name w:val="footer"/>
    <w:basedOn w:val="Normal"/>
    <w:qFormat/>
    <w:pPr>
      <w:tabs>
        <w:tab w:val="center" w:pos="4153"/>
        <w:tab w:val="right" w:pos="8306"/>
      </w:tabs>
      <w:snapToGrid w:val="0"/>
      <w:jc w:val="center"/>
    </w:pPr>
    <w:rPr>
      <w:szCs w:val="18"/>
    </w:rPr>
  </w:style>
  <w:style w:type="paragraph" w:styleId="FootnoteText">
    <w:name w:val="footnote text"/>
    <w:basedOn w:val="Normal"/>
    <w:uiPriority w:val="9"/>
    <w:unhideWhenUsed/>
    <w:qFormat/>
  </w:style>
  <w:style w:type="paragraph" w:styleId="Header">
    <w:name w:val="header"/>
    <w:basedOn w:val="Normal"/>
    <w:qFormat/>
    <w:pPr>
      <w:tabs>
        <w:tab w:val="center" w:pos="4153"/>
        <w:tab w:val="right" w:pos="8306"/>
      </w:tabs>
      <w:snapToGrid w:val="0"/>
    </w:pPr>
    <w:rPr>
      <w:rFonts w:asciiTheme="minorHAnsi" w:eastAsiaTheme="minorEastAsia" w:hAnsiTheme="minorHAnsi"/>
      <w:szCs w:val="18"/>
    </w:rPr>
  </w:style>
  <w:style w:type="paragraph" w:styleId="NormalWeb">
    <w:name w:val="Normal (Web)"/>
    <w:next w:val="Normal"/>
    <w:qFormat/>
    <w:pPr>
      <w:spacing w:beforeAutospacing="1" w:after="144" w:line="480" w:lineRule="auto"/>
      <w:ind w:firstLine="720"/>
    </w:pPr>
    <w:rPr>
      <w:rFonts w:ascii="Liberation Serif" w:hAnsi="Liberation Serif"/>
      <w:sz w:val="24"/>
      <w:lang w:bidi="ar-SA"/>
    </w:rPr>
  </w:style>
  <w:style w:type="paragraph" w:styleId="Subtitle">
    <w:name w:val="Subtitle"/>
    <w:basedOn w:val="Title"/>
    <w:next w:val="BodyText"/>
    <w:qFormat/>
    <w:pPr>
      <w:spacing w:before="240"/>
    </w:pPr>
    <w:rPr>
      <w:sz w:val="30"/>
      <w:szCs w:val="3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TOC1">
    <w:name w:val="toc 1"/>
    <w:basedOn w:val="Normal"/>
    <w:next w:val="Normal"/>
    <w:qFormat/>
  </w:style>
  <w:style w:type="paragraph" w:styleId="TOC2">
    <w:name w:val="toc 2"/>
    <w:basedOn w:val="Normal"/>
    <w:next w:val="Normal"/>
    <w:uiPriority w:val="39"/>
    <w:qFormat/>
    <w:pPr>
      <w:ind w:left="420"/>
    </w:pPr>
  </w:style>
  <w:style w:type="paragraph" w:styleId="TOC3">
    <w:name w:val="toc 3"/>
    <w:basedOn w:val="Normal"/>
    <w:next w:val="Normal"/>
    <w:uiPriority w:val="39"/>
    <w:qFormat/>
    <w:pPr>
      <w:ind w:left="840"/>
    </w:pPr>
  </w:style>
  <w:style w:type="paragraph" w:customStyle="1" w:styleId="FirstParagraph">
    <w:name w:val="First Paragraph"/>
    <w:basedOn w:val="BodyText"/>
    <w:next w:val="BodyText"/>
    <w:qFormat/>
  </w:style>
  <w:style w:type="paragraph" w:customStyle="1" w:styleId="Compact">
    <w:name w:val="Compact"/>
    <w:basedOn w:val="BodyText"/>
    <w:qFormat/>
    <w:pPr>
      <w:spacing w:before="0" w:after="0"/>
    </w:pPr>
  </w:style>
  <w:style w:type="paragraph" w:customStyle="1" w:styleId="Author">
    <w:name w:val="Author"/>
    <w:next w:val="BodyText"/>
    <w:qFormat/>
    <w:pPr>
      <w:keepNext/>
      <w:keepLines/>
      <w:spacing w:after="200"/>
      <w:jc w:val="center"/>
    </w:pPr>
    <w:rPr>
      <w:rFonts w:asciiTheme="minorHAnsi" w:eastAsiaTheme="minorHAnsi" w:hAnsiTheme="minorHAnsi" w:cstheme="minorBidi"/>
      <w:sz w:val="24"/>
      <w:szCs w:val="24"/>
      <w:lang w:eastAsia="en-US" w:bidi="ar-SA"/>
    </w:rPr>
  </w:style>
  <w:style w:type="paragraph" w:customStyle="1" w:styleId="Abstract">
    <w:name w:val="Abstract"/>
    <w:basedOn w:val="Normal"/>
    <w:next w:val="BodyText"/>
    <w:qFormat/>
    <w:pPr>
      <w:keepNext/>
      <w:keepLines/>
      <w:spacing w:before="300" w:after="300"/>
    </w:pPr>
    <w:rPr>
      <w:sz w:val="20"/>
      <w:szCs w:val="20"/>
    </w:rPr>
  </w:style>
  <w:style w:type="paragraph" w:customStyle="1" w:styleId="Bibliography1">
    <w:name w:val="Bibliography1"/>
    <w:basedOn w:val="Normal"/>
    <w:qFormat/>
    <w:rPr>
      <w:rFonts w:asciiTheme="minorHAnsi" w:eastAsiaTheme="minorEastAsia" w:hAnsiTheme="minorHAnsi"/>
    </w:rPr>
  </w:style>
  <w:style w:type="paragraph" w:customStyle="1" w:styleId="DefinitionTerm">
    <w:name w:val="Definition Term"/>
    <w:basedOn w:val="Normal"/>
    <w:next w:val="Definition"/>
    <w:qFormat/>
    <w:pPr>
      <w:keepNext/>
      <w:keepLines/>
      <w:spacing w:before="0" w:after="0"/>
    </w:pPr>
    <w:rPr>
      <w:rFonts w:asciiTheme="minorHAnsi" w:eastAsiaTheme="minorEastAsia" w:hAnsiTheme="minorHAnsi"/>
      <w:b/>
    </w:rPr>
  </w:style>
  <w:style w:type="paragraph" w:customStyle="1" w:styleId="Definition">
    <w:name w:val="Definition"/>
    <w:basedOn w:val="Normal"/>
    <w:qFormat/>
    <w:rPr>
      <w:rFonts w:asciiTheme="minorHAnsi" w:eastAsiaTheme="minorEastAsia" w:hAnsiTheme="minorHAnsi"/>
    </w:rPr>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customStyle="1" w:styleId="TOCHeading1">
    <w:name w:val="TOC Heading1"/>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FrameContents">
    <w:name w:val="Frame Contents"/>
    <w:basedOn w:val="Normal"/>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eastAsiaTheme="minorEastAsia" w:hAnsi="Consolas"/>
      <w:color w:val="003B4F"/>
      <w:sz w:val="22"/>
      <w:shd w:val="clear" w:color="auto" w:fill="F1F3F5"/>
    </w:rPr>
  </w:style>
  <w:style w:type="character" w:customStyle="1" w:styleId="DataTypeTok">
    <w:name w:val="DataTypeTok"/>
    <w:basedOn w:val="VerbatimChar"/>
    <w:rPr>
      <w:rFonts w:ascii="Consolas" w:eastAsiaTheme="minorEastAsia" w:hAnsi="Consolas"/>
      <w:color w:val="AD0000"/>
      <w:sz w:val="22"/>
      <w:shd w:val="clear" w:color="auto" w:fill="F1F3F5"/>
    </w:rPr>
  </w:style>
  <w:style w:type="character" w:customStyle="1" w:styleId="DecValTok">
    <w:name w:val="DecValTok"/>
    <w:basedOn w:val="VerbatimChar"/>
    <w:rPr>
      <w:rFonts w:ascii="Consolas" w:eastAsiaTheme="minorEastAsia" w:hAnsi="Consolas"/>
      <w:color w:val="AD0000"/>
      <w:sz w:val="22"/>
      <w:shd w:val="clear" w:color="auto" w:fill="F1F3F5"/>
    </w:rPr>
  </w:style>
  <w:style w:type="character" w:customStyle="1" w:styleId="BaseNTok">
    <w:name w:val="BaseNTok"/>
    <w:basedOn w:val="VerbatimChar"/>
    <w:rPr>
      <w:rFonts w:ascii="Consolas" w:eastAsiaTheme="minorEastAsia" w:hAnsi="Consolas"/>
      <w:color w:val="AD0000"/>
      <w:sz w:val="22"/>
      <w:shd w:val="clear" w:color="auto" w:fill="F1F3F5"/>
    </w:rPr>
  </w:style>
  <w:style w:type="character" w:customStyle="1" w:styleId="FloatTok">
    <w:name w:val="FloatTok"/>
    <w:basedOn w:val="VerbatimChar"/>
    <w:rPr>
      <w:rFonts w:ascii="Consolas" w:eastAsiaTheme="minorEastAsia" w:hAnsi="Consolas"/>
      <w:color w:val="AD0000"/>
      <w:sz w:val="22"/>
      <w:shd w:val="clear" w:color="auto" w:fill="F1F3F5"/>
    </w:rPr>
  </w:style>
  <w:style w:type="character" w:customStyle="1" w:styleId="ConstantTok">
    <w:name w:val="ConstantTok"/>
    <w:basedOn w:val="VerbatimChar"/>
    <w:rPr>
      <w:rFonts w:ascii="Consolas" w:eastAsiaTheme="minorEastAsia" w:hAnsi="Consolas"/>
      <w:color w:val="8F5902"/>
      <w:sz w:val="22"/>
      <w:shd w:val="clear" w:color="auto" w:fill="F1F3F5"/>
    </w:rPr>
  </w:style>
  <w:style w:type="character" w:customStyle="1" w:styleId="CharTok">
    <w:name w:val="CharTok"/>
    <w:basedOn w:val="VerbatimChar"/>
    <w:rPr>
      <w:rFonts w:ascii="Consolas" w:eastAsiaTheme="minorEastAsia" w:hAnsi="Consolas"/>
      <w:color w:val="20794D"/>
      <w:sz w:val="22"/>
      <w:shd w:val="clear" w:color="auto" w:fill="F1F3F5"/>
    </w:rPr>
  </w:style>
  <w:style w:type="character" w:customStyle="1" w:styleId="SpecialCharTok">
    <w:name w:val="SpecialCharTok"/>
    <w:basedOn w:val="VerbatimChar"/>
    <w:rPr>
      <w:rFonts w:ascii="Consolas" w:eastAsiaTheme="minorEastAsia" w:hAnsi="Consolas"/>
      <w:color w:val="5E5E5E"/>
      <w:sz w:val="22"/>
      <w:shd w:val="clear" w:color="auto" w:fill="F1F3F5"/>
    </w:rPr>
  </w:style>
  <w:style w:type="character" w:customStyle="1" w:styleId="StringTok">
    <w:name w:val="StringTok"/>
    <w:basedOn w:val="VerbatimChar"/>
    <w:rPr>
      <w:rFonts w:ascii="Consolas" w:eastAsiaTheme="minorEastAsia" w:hAnsi="Consolas"/>
      <w:color w:val="20794D"/>
      <w:sz w:val="22"/>
      <w:shd w:val="clear" w:color="auto" w:fill="F1F3F5"/>
    </w:rPr>
  </w:style>
  <w:style w:type="character" w:customStyle="1" w:styleId="VerbatimStringTok">
    <w:name w:val="VerbatimStringTok"/>
    <w:basedOn w:val="VerbatimChar"/>
    <w:rPr>
      <w:rFonts w:ascii="Consolas" w:eastAsiaTheme="minorEastAsia" w:hAnsi="Consolas"/>
      <w:color w:val="20794D"/>
      <w:sz w:val="22"/>
      <w:shd w:val="clear" w:color="auto" w:fill="F1F3F5"/>
    </w:rPr>
  </w:style>
  <w:style w:type="character" w:customStyle="1" w:styleId="SpecialStringTok">
    <w:name w:val="SpecialStringTok"/>
    <w:basedOn w:val="VerbatimChar"/>
    <w:rPr>
      <w:rFonts w:ascii="Consolas" w:eastAsiaTheme="minorEastAsia" w:hAnsi="Consolas"/>
      <w:color w:val="20794D"/>
      <w:sz w:val="22"/>
      <w:shd w:val="clear" w:color="auto" w:fill="F1F3F5"/>
    </w:rPr>
  </w:style>
  <w:style w:type="character" w:customStyle="1" w:styleId="ImportTok">
    <w:name w:val="ImportTok"/>
    <w:basedOn w:val="VerbatimChar"/>
    <w:rPr>
      <w:rFonts w:ascii="Consolas" w:eastAsiaTheme="minorEastAsia" w:hAnsi="Consolas"/>
      <w:color w:val="00769E"/>
      <w:sz w:val="22"/>
      <w:shd w:val="clear" w:color="auto" w:fill="F1F3F5"/>
    </w:rPr>
  </w:style>
  <w:style w:type="character" w:customStyle="1" w:styleId="CommentTok">
    <w:name w:val="CommentTok"/>
    <w:basedOn w:val="VerbatimChar"/>
    <w:rPr>
      <w:rFonts w:ascii="Consolas" w:eastAsiaTheme="minorEastAsia" w:hAnsi="Consolas"/>
      <w:color w:val="5E5E5E"/>
      <w:sz w:val="22"/>
      <w:shd w:val="clear" w:color="auto" w:fill="F1F3F5"/>
    </w:rPr>
  </w:style>
  <w:style w:type="character" w:customStyle="1" w:styleId="DocumentationTok">
    <w:name w:val="DocumentationTok"/>
    <w:basedOn w:val="VerbatimChar"/>
    <w:rPr>
      <w:rFonts w:ascii="Consolas" w:eastAsiaTheme="minorEastAsia" w:hAnsi="Consolas"/>
      <w:i/>
      <w:color w:val="5E5E5E"/>
      <w:sz w:val="22"/>
      <w:shd w:val="clear" w:color="auto" w:fill="F1F3F5"/>
    </w:rPr>
  </w:style>
  <w:style w:type="character" w:customStyle="1" w:styleId="AnnotationTok">
    <w:name w:val="AnnotationTok"/>
    <w:basedOn w:val="VerbatimChar"/>
    <w:rPr>
      <w:rFonts w:ascii="Consolas" w:eastAsiaTheme="minorEastAsia" w:hAnsi="Consolas"/>
      <w:color w:val="5E5E5E"/>
      <w:sz w:val="22"/>
      <w:shd w:val="clear" w:color="auto" w:fill="F1F3F5"/>
    </w:rPr>
  </w:style>
  <w:style w:type="character" w:customStyle="1" w:styleId="CommentVarTok">
    <w:name w:val="CommentVarTok"/>
    <w:basedOn w:val="VerbatimChar"/>
    <w:rPr>
      <w:rFonts w:ascii="Consolas" w:eastAsiaTheme="minorEastAsia" w:hAnsi="Consolas"/>
      <w:i/>
      <w:color w:val="5E5E5E"/>
      <w:sz w:val="22"/>
      <w:shd w:val="clear" w:color="auto" w:fill="F1F3F5"/>
    </w:rPr>
  </w:style>
  <w:style w:type="character" w:customStyle="1" w:styleId="OtherTok">
    <w:name w:val="OtherTok"/>
    <w:basedOn w:val="VerbatimChar"/>
    <w:rPr>
      <w:rFonts w:ascii="Consolas" w:eastAsiaTheme="minorEastAsia" w:hAnsi="Consolas"/>
      <w:color w:val="003B4F"/>
      <w:sz w:val="22"/>
      <w:shd w:val="clear" w:color="auto" w:fill="F1F3F5"/>
    </w:rPr>
  </w:style>
  <w:style w:type="character" w:customStyle="1" w:styleId="FunctionTok">
    <w:name w:val="FunctionTok"/>
    <w:basedOn w:val="VerbatimChar"/>
    <w:rPr>
      <w:rFonts w:ascii="Consolas" w:eastAsiaTheme="minorEastAsia" w:hAnsi="Consolas"/>
      <w:color w:val="4758AB"/>
      <w:sz w:val="22"/>
      <w:shd w:val="clear" w:color="auto" w:fill="F1F3F5"/>
    </w:rPr>
  </w:style>
  <w:style w:type="character" w:customStyle="1" w:styleId="VariableTok">
    <w:name w:val="VariableTok"/>
    <w:basedOn w:val="VerbatimChar"/>
    <w:rPr>
      <w:rFonts w:ascii="Consolas" w:eastAsiaTheme="minorEastAsia" w:hAnsi="Consolas"/>
      <w:color w:val="111111"/>
      <w:sz w:val="22"/>
      <w:shd w:val="clear" w:color="auto" w:fill="F1F3F5"/>
    </w:rPr>
  </w:style>
  <w:style w:type="character" w:customStyle="1" w:styleId="ControlFlowTok">
    <w:name w:val="ControlFlowTok"/>
    <w:basedOn w:val="VerbatimChar"/>
    <w:rPr>
      <w:rFonts w:ascii="Consolas" w:eastAsiaTheme="minorEastAsia" w:hAnsi="Consolas"/>
      <w:color w:val="003B4F"/>
      <w:sz w:val="22"/>
      <w:shd w:val="clear" w:color="auto" w:fill="F1F3F5"/>
    </w:rPr>
  </w:style>
  <w:style w:type="character" w:customStyle="1" w:styleId="OperatorTok">
    <w:name w:val="OperatorTok"/>
    <w:basedOn w:val="VerbatimChar"/>
    <w:rPr>
      <w:rFonts w:ascii="Consolas" w:eastAsiaTheme="minorEastAsia" w:hAnsi="Consolas"/>
      <w:color w:val="5E5E5E"/>
      <w:sz w:val="22"/>
      <w:shd w:val="clear" w:color="auto" w:fill="F1F3F5"/>
    </w:rPr>
  </w:style>
  <w:style w:type="character" w:customStyle="1" w:styleId="BuiltInTok">
    <w:name w:val="BuiltInTok"/>
    <w:basedOn w:val="VerbatimChar"/>
    <w:rPr>
      <w:rFonts w:ascii="Consolas" w:eastAsiaTheme="minorEastAsia" w:hAnsi="Consolas"/>
      <w:color w:val="003B4F"/>
      <w:sz w:val="22"/>
      <w:shd w:val="clear" w:color="auto" w:fill="F1F3F5"/>
    </w:rPr>
  </w:style>
  <w:style w:type="character" w:customStyle="1" w:styleId="ExtensionTok">
    <w:name w:val="ExtensionTok"/>
    <w:basedOn w:val="VerbatimChar"/>
    <w:rPr>
      <w:rFonts w:ascii="Consolas" w:eastAsiaTheme="minorEastAsia" w:hAnsi="Consolas"/>
      <w:color w:val="003B4F"/>
      <w:sz w:val="22"/>
      <w:shd w:val="clear" w:color="auto" w:fill="F1F3F5"/>
    </w:rPr>
  </w:style>
  <w:style w:type="character" w:customStyle="1" w:styleId="PreprocessorTok">
    <w:name w:val="PreprocessorTok"/>
    <w:basedOn w:val="VerbatimChar"/>
    <w:rPr>
      <w:rFonts w:ascii="Consolas" w:eastAsiaTheme="minorEastAsia" w:hAnsi="Consolas"/>
      <w:color w:val="AD0000"/>
      <w:sz w:val="22"/>
      <w:shd w:val="clear" w:color="auto" w:fill="F1F3F5"/>
    </w:rPr>
  </w:style>
  <w:style w:type="character" w:customStyle="1" w:styleId="AttributeTok">
    <w:name w:val="AttributeTok"/>
    <w:basedOn w:val="VerbatimChar"/>
    <w:rPr>
      <w:rFonts w:ascii="Consolas" w:eastAsiaTheme="minorEastAsia" w:hAnsi="Consolas"/>
      <w:color w:val="657422"/>
      <w:sz w:val="22"/>
      <w:shd w:val="clear" w:color="auto" w:fill="F1F3F5"/>
    </w:rPr>
  </w:style>
  <w:style w:type="character" w:customStyle="1" w:styleId="RegionMarkerTok">
    <w:name w:val="RegionMarkerTok"/>
    <w:basedOn w:val="VerbatimChar"/>
    <w:rPr>
      <w:rFonts w:ascii="Consolas" w:eastAsiaTheme="minorEastAsia" w:hAnsi="Consolas"/>
      <w:color w:val="003B4F"/>
      <w:sz w:val="22"/>
      <w:shd w:val="clear" w:color="auto" w:fill="F1F3F5"/>
    </w:rPr>
  </w:style>
  <w:style w:type="character" w:customStyle="1" w:styleId="InformationTok">
    <w:name w:val="InformationTok"/>
    <w:basedOn w:val="VerbatimChar"/>
    <w:rPr>
      <w:rFonts w:ascii="Consolas" w:eastAsiaTheme="minorEastAsia" w:hAnsi="Consolas"/>
      <w:color w:val="5E5E5E"/>
      <w:sz w:val="22"/>
      <w:shd w:val="clear" w:color="auto" w:fill="F1F3F5"/>
    </w:rPr>
  </w:style>
  <w:style w:type="character" w:customStyle="1" w:styleId="WarningTok">
    <w:name w:val="WarningTok"/>
    <w:basedOn w:val="VerbatimChar"/>
    <w:rPr>
      <w:rFonts w:ascii="Consolas" w:eastAsiaTheme="minorEastAsia" w:hAnsi="Consolas"/>
      <w:i/>
      <w:color w:val="5E5E5E"/>
      <w:sz w:val="22"/>
      <w:shd w:val="clear" w:color="auto" w:fill="F1F3F5"/>
    </w:rPr>
  </w:style>
  <w:style w:type="character" w:customStyle="1" w:styleId="AlertTok">
    <w:name w:val="AlertTok"/>
    <w:basedOn w:val="VerbatimChar"/>
    <w:rPr>
      <w:rFonts w:ascii="Consolas" w:eastAsiaTheme="minorEastAsia" w:hAnsi="Consolas"/>
      <w:color w:val="AD0000"/>
      <w:sz w:val="22"/>
      <w:shd w:val="clear" w:color="auto" w:fill="F1F3F5"/>
    </w:rPr>
  </w:style>
  <w:style w:type="character" w:customStyle="1" w:styleId="ErrorTok">
    <w:name w:val="ErrorTok"/>
    <w:basedOn w:val="VerbatimChar"/>
    <w:rPr>
      <w:rFonts w:ascii="Consolas" w:eastAsiaTheme="minorEastAsia" w:hAnsi="Consolas"/>
      <w:color w:val="AD0000"/>
      <w:sz w:val="22"/>
      <w:shd w:val="clear" w:color="auto" w:fill="F1F3F5"/>
    </w:rPr>
  </w:style>
  <w:style w:type="character" w:customStyle="1" w:styleId="NormalTok">
    <w:name w:val="NormalTok"/>
    <w:basedOn w:val="VerbatimChar"/>
    <w:rPr>
      <w:rFonts w:ascii="Consolas" w:eastAsiaTheme="minorEastAsia"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infdis/jiw345" TargetMode="External"/><Relationship Id="rId18" Type="http://schemas.openxmlformats.org/officeDocument/2006/relationships/hyperlink" Target="https://www.wsj.com/articles/a-deadly-coronavirus-was-inevitable-why-was-no-one-ready-for-covid-11597325213" TargetMode="External"/><Relationship Id="rId26" Type="http://schemas.openxmlformats.org/officeDocument/2006/relationships/hyperlink" Target="https://doi.org/10.1186/1471-2458-12-459" TargetMode="External"/><Relationship Id="rId39" Type="http://schemas.openxmlformats.org/officeDocument/2006/relationships/header" Target="header1.xml"/><Relationship Id="rId21" Type="http://schemas.openxmlformats.org/officeDocument/2006/relationships/hyperlink" Target="https://doi.org/10.7326/M15-1464" TargetMode="External"/><Relationship Id="rId34" Type="http://schemas.openxmlformats.org/officeDocument/2006/relationships/hyperlink" Target="https://www.intrac.org/wpcms/wp-content/uploads/2017/01/Participatory-learning-and-action.pdf" TargetMode="External"/><Relationship Id="rId42" Type="http://schemas.openxmlformats.org/officeDocument/2006/relationships/theme" Target="theme/theme1.xml"/><Relationship Id="rId7" Type="http://schemas.openxmlformats.org/officeDocument/2006/relationships/hyperlink" Target="https://doi.org/10.1136/bmjgh-2020-003042" TargetMode="External"/><Relationship Id="rId2" Type="http://schemas.openxmlformats.org/officeDocument/2006/relationships/styles" Target="styles.xml"/><Relationship Id="rId16" Type="http://schemas.openxmlformats.org/officeDocument/2006/relationships/hyperlink" Target="http://dx.doi.org/10.1108/JCS-07-2020-0046" TargetMode="External"/><Relationship Id="rId20" Type="http://schemas.openxmlformats.org/officeDocument/2006/relationships/hyperlink" Target="https://doi.org/10.1002/sea2.12224" TargetMode="External"/><Relationship Id="rId29" Type="http://schemas.openxmlformats.org/officeDocument/2006/relationships/hyperlink" Target="https://learning.oreilly.com/library/view/learning-from-catastrophes/9780137067237/ch02.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5585/mmwr.su6503a5" TargetMode="External"/><Relationship Id="rId24" Type="http://schemas.openxmlformats.org/officeDocument/2006/relationships/hyperlink" Target="https://www.intechopen.com/chapters/74355" TargetMode="External"/><Relationship Id="rId32" Type="http://schemas.openxmlformats.org/officeDocument/2006/relationships/hyperlink" Target="https://doi.org/10.1002/hpm.2298" TargetMode="External"/><Relationship Id="rId37" Type="http://schemas.openxmlformats.org/officeDocument/2006/relationships/hyperlink" Target="https://fairbank.fas.harvard.edu/events/yves-tiberghien-why-has-the-east-asian-covid-model-diverged-over-delta-and-omicron/"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16/j.jadohealth.2017.07.015" TargetMode="External"/><Relationship Id="rId23" Type="http://schemas.openxmlformats.org/officeDocument/2006/relationships/hyperlink" Target="https://doi.org/10.1002/jmv.27276" TargetMode="External"/><Relationship Id="rId28" Type="http://schemas.openxmlformats.org/officeDocument/2006/relationships/hyperlink" Target="https://doi.org/10.1080/17441692.2020.1770831" TargetMode="External"/><Relationship Id="rId36" Type="http://schemas.openxmlformats.org/officeDocument/2006/relationships/hyperlink" Target="https://doi.org/10.1111/dewb.12292" TargetMode="External"/><Relationship Id="rId10" Type="http://schemas.openxmlformats.org/officeDocument/2006/relationships/hyperlink" Target="https://doi.org/10.1007/978-0-387-78665-0_66" TargetMode="External"/><Relationship Id="rId19" Type="http://schemas.openxmlformats.org/officeDocument/2006/relationships/hyperlink" Target="https://www.alnap.org/help-library/ebola-outbreak-sierra-leone-communication-challenges-and-good-practices" TargetMode="External"/><Relationship Id="rId31" Type="http://schemas.openxmlformats.org/officeDocument/2006/relationships/hyperlink" Target="https://doi.org/10.1111/j.1467-8500.2010.00695.x" TargetMode="External"/><Relationship Id="rId4" Type="http://schemas.openxmlformats.org/officeDocument/2006/relationships/webSettings" Target="webSettings.xml"/><Relationship Id="rId9" Type="http://schemas.openxmlformats.org/officeDocument/2006/relationships/hyperlink" Target="https://www.frontiersin.org/article/10.3389/fpsyt.2020.559905" TargetMode="External"/><Relationship Id="rId14" Type="http://schemas.openxmlformats.org/officeDocument/2006/relationships/hyperlink" Target="https://doi.org/10.1111/disa.12515" TargetMode="External"/><Relationship Id="rId22" Type="http://schemas.openxmlformats.org/officeDocument/2006/relationships/hyperlink" Target="https://doi.org/10.2139/ssrn.3616421" TargetMode="External"/><Relationship Id="rId27" Type="http://schemas.openxmlformats.org/officeDocument/2006/relationships/hyperlink" Target="https://usercontent.one/wp/www.local2global.info/wp-content/uploads/Com_response_covid_-Sahelreport1_final_080720.pdf" TargetMode="External"/><Relationship Id="rId30" Type="http://schemas.openxmlformats.org/officeDocument/2006/relationships/hyperlink" Target="https://www.hks.harvard.edu/sites/default/files/centers/research-initiatives/crisisleadership/files/Risk_Dialogue_Ch%202.pdf" TargetMode="External"/><Relationship Id="rId35" Type="http://schemas.openxmlformats.org/officeDocument/2006/relationships/hyperlink" Target="http://ezp-prod1.hul.harvard.edu/login?url=https://search.ebscohost.com/login.aspx?direct=true&amp;db=ccm&amp;AN=103850974&amp;site=ehost-live&amp;scope=site" TargetMode="External"/><Relationship Id="rId8" Type="http://schemas.openxmlformats.org/officeDocument/2006/relationships/hyperlink" Target="https://doi.org/10.1136/bmjgh-2019-002145" TargetMode="External"/><Relationship Id="rId3" Type="http://schemas.openxmlformats.org/officeDocument/2006/relationships/settings" Target="settings.xml"/><Relationship Id="rId12" Type="http://schemas.openxmlformats.org/officeDocument/2006/relationships/hyperlink" Target="https://www2.deloitte.com/au/en/pages/economics/articles/building-australias-natural-disaster-resilience.html" TargetMode="External"/><Relationship Id="rId17" Type="http://schemas.openxmlformats.org/officeDocument/2006/relationships/hyperlink" Target="https://doi.org/10.3200/ENVT.50.5.36-47" TargetMode="External"/><Relationship Id="rId25" Type="http://schemas.openxmlformats.org/officeDocument/2006/relationships/hyperlink" Target="https://www.rescue.org/sites/default/files/document/563/theebolalessonsreaderlowres.pdf" TargetMode="External"/><Relationship Id="rId33" Type="http://schemas.openxmlformats.org/officeDocument/2006/relationships/hyperlink" Target="https://doi.org/10.3389/fpubh.2016.00254" TargetMode="External"/><Relationship Id="rId38" Type="http://schemas.openxmlformats.org/officeDocument/2006/relationships/hyperlink" Target="https://doi.org/10.1136/bmjopen-2020-045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5573</Words>
  <Characters>31770</Characters>
  <Application>Microsoft Office Word</Application>
  <DocSecurity>0</DocSecurity>
  <Lines>264</Lines>
  <Paragraphs>74</Paragraphs>
  <ScaleCrop>false</ScaleCrop>
  <Company/>
  <LinksUpToDate>false</LinksUpToDate>
  <CharactersWithSpaces>37269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community-based service organisations in the humanitarian response to infectious disease crises in vulnerable populations of sub-Saharan Africa”</dc:title>
  <dc:creator>David Fong, daf422@g.harvard.edu</dc:creator>
  <cp:keywords/>
  <cp:lastModifiedBy>David Fong</cp:lastModifiedBy>
  <cp:revision>2</cp:revision>
  <dcterms:created xsi:type="dcterms:W3CDTF">2022-05-11T20:17:00Z</dcterms:created>
  <dcterms:modified xsi:type="dcterms:W3CDTF">2022-05-11T20:17:00Z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graphy">
    <vt:lpwstr>references.bib</vt:lpwstr>
  </property>
  <property fmtid="{D5CDD505-2E9C-101B-9397-08002B2CF9AE}" pid="4" name="csl">
    <vt:lpwstr>apa7.csl</vt:lpwstr>
  </property>
  <property fmtid="{D5CDD505-2E9C-101B-9397-08002B2CF9AE}" pid="5" name="date">
    <vt:lpwstr>05/11/2022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section-numbers">
    <vt:lpwstr>True</vt:lpwstr>
  </property>
  <property fmtid="{D5CDD505-2E9C-101B-9397-08002B2CF9AE}" pid="11" name="subtitle">
    <vt:lpwstr>for MGMT-5090</vt:lpwstr>
  </property>
  <property fmtid="{D5CDD505-2E9C-101B-9397-08002B2CF9AE}" pid="12" name="toc-title">
    <vt:lpwstr>Table of contents</vt:lpwstr>
  </property>
</Properties>
</file>