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21.png" ContentType="image/png"/>
  <Override PartName="/word/media/rId111.png" ContentType="image/png"/>
  <Override PartName="/word/media/rId114.png" ContentType="image/png"/>
  <Override PartName="/word/media/rId93.png" ContentType="image/png"/>
  <Override PartName="/word/media/rId89.png" ContentType="image/png"/>
  <Override PartName="/word/media/rId85.png" ContentType="image/png"/>
  <Override PartName="/word/media/rId25.png" ContentType="image/png"/>
  <Override PartName="/word/media/rId28.png" ContentType="image/png"/>
  <Override PartName="/word/media/rId41.png" ContentType="image/png"/>
  <Override PartName="/word/media/rId4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6.1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 see</w:t>
      </w:r>
      <w:r>
        <w:t xml:space="preserve"> </w:t>
      </w:r>
      <w:hyperlink w:anchor="sec-appendix-mhtpeligible">
        <w:r>
          <w:rPr>
            <w:rStyle w:val="Hyperlink"/>
          </w:rPr>
          <w:t xml:space="preserve">Section 6.1</w:t>
        </w:r>
      </w:hyperlink>
      <w:r>
        <w:t xml:space="preserve"> </w:t>
      </w:r>
      <w:r>
        <w:t xml:space="preserve">for details on how</w:t>
      </w:r>
      <w:r>
        <w:t xml:space="preserve"> </w:t>
      </w:r>
      <w:r>
        <w:t xml:space="preserve">‘active’</w:t>
      </w:r>
      <w:r>
        <w:t xml:space="preserve"> </w:t>
      </w:r>
      <w:r>
        <w:t xml:space="preserve">patient numbers were determined using PenCS) are with patients who have a recorded low-frequency mental health condition (schizophrenia or bipolar affective disorder) compared to the Australian general practice average of 0.5%</w:t>
      </w:r>
      <w:r>
        <w:rPr>
          <w:rStyle w:val="FootnoteReference"/>
        </w:rPr>
        <w:footnoteReference w:id="21"/>
      </w:r>
      <w:r>
        <w:t xml:space="preserve">. To help meet the needs of cohealth patients with mental health conditions, cohealth medical clinics work closely and co-operatively with area mental health services (e.g. </w:t>
      </w:r>
      <w:hyperlink r:id="rId23">
        <w:r>
          <w:rPr>
            <w:rStyle w:val="Hyperlink"/>
          </w:rPr>
          <w:t xml:space="preserve">Inner West Area Mental Health Service</w:t>
        </w:r>
      </w:hyperlink>
      <w:r>
        <w:t xml:space="preserve">) and cohealth clinics also employ mental health nurses through the Primary Health Network</w:t>
      </w:r>
      <w:r>
        <w:t xml:space="preserve"> </w:t>
      </w:r>
      <w:hyperlink r:id="rId24">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7920"/>
      </w:tblGrid>
      <w:tr>
        <w:tc>
          <w:tcPr/>
          <w:bookmarkStart w:id="31" w:name="figure-mhtp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26" name="Picture"/>
                        <a:graphic>
                          <a:graphicData uri="http://schemas.openxmlformats.org/drawingml/2006/picture">
                            <pic:pic>
                              <pic:nvPicPr>
                                <pic:cNvPr descr="MHTP_files/figure-docx/unnamed-chunk-4-1.png" id="27" name="Picture"/>
                                <pic:cNvPicPr>
                                  <a:picLocks noChangeArrowheads="1" noChangeAspect="1"/>
                                </pic:cNvPicPr>
                              </pic:nvPicPr>
                              <pic:blipFill>
                                <a:blip r:embed="rId25"/>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29" name="Picture"/>
                        <a:graphic>
                          <a:graphicData uri="http://schemas.openxmlformats.org/drawingml/2006/picture">
                            <pic:pic>
                              <pic:nvPicPr>
                                <pic:cNvPr descr="MHTP_files/figure-docx/unnamed-chunk-4-2.png" id="30" name="Picture"/>
                                <pic:cNvPicPr>
                                  <a:picLocks noChangeArrowheads="1" noChangeAspect="1"/>
                                </pic:cNvPicPr>
                              </pic:nvPicPr>
                              <pic:blipFill>
                                <a:blip r:embed="rId28"/>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1: Prevalence of mental health conditions at cohealth general practice clinics</w:t>
            </w:r>
          </w:p>
          <w:bookmarkEnd w:id="31"/>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2"/>
      </w:r>
      <w:r>
        <w:t xml:space="preserve">. A secondary use of MHTP item billing, and billing of the</w:t>
      </w:r>
      <w:r>
        <w:t xml:space="preserve"> </w:t>
      </w:r>
      <w:hyperlink r:id="rId34">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5"/>
      </w:r>
      <w:r>
        <w:t xml:space="preserve"> </w:t>
      </w:r>
      <w:r>
        <w:rPr>
          <w:rStyle w:val="FootnoteReference"/>
        </w:rPr>
        <w:footnoteReference w:id="37"/>
      </w:r>
      <w:r>
        <w:t xml:space="preserve"> </w:t>
      </w:r>
      <w:r>
        <w:rPr>
          <w:rStyle w:val="FootnoteReference"/>
        </w:rPr>
        <w:footnoteReference w:id="39"/>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6.1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7920"/>
      </w:tblGrid>
      <w:tr>
        <w:tc>
          <w:tcPr/>
          <w:bookmarkStart w:id="47" w:name="figure-mhtp_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42" name="Picture"/>
                        <a:graphic>
                          <a:graphicData uri="http://schemas.openxmlformats.org/drawingml/2006/picture">
                            <pic:pic>
                              <pic:nvPicPr>
                                <pic:cNvPr descr="MHTP_files/figure-docx/unnamed-chunk-6-1.png" id="43" name="Picture"/>
                                <pic:cNvPicPr>
                                  <a:picLocks noChangeArrowheads="1" noChangeAspect="1"/>
                                </pic:cNvPicPr>
                              </pic:nvPicPr>
                              <pic:blipFill>
                                <a:blip r:embed="rId41"/>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45" name="Picture"/>
                        <a:graphic>
                          <a:graphicData uri="http://schemas.openxmlformats.org/drawingml/2006/picture">
                            <pic:pic>
                              <pic:nvPicPr>
                                <pic:cNvPr descr="MHTP_files/figure-docx/unnamed-chunk-6-2.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2: cohealth general practice clinics usage of mental health treatment plans (MHTPs)</w:t>
            </w:r>
          </w:p>
          <w:bookmarkEnd w:id="47"/>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When asked, cohealth general practitioners suggested reasons which can be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enjoy as many benefits from mental health treatment plans as others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4">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increasing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low-frequency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low-frequency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4">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these MBS items in the year prior to 1 May 2025.</w:t>
      </w:r>
    </w:p>
    <w:p>
      <w:pPr>
        <w:pStyle w:val="Compact"/>
        <w:numPr>
          <w:ilvl w:val="0"/>
          <w:numId w:val="1005"/>
        </w:numPr>
      </w:pPr>
      <w:r>
        <w:t xml:space="preserve">If patients living with mental health conditions and low socio-economic resources or low-frequency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1" w:name="method"/>
    <w:p>
      <w:pPr>
        <w:pStyle w:val="Heading2"/>
      </w:pPr>
      <w:r>
        <w:t xml:space="preserve">3 Method</w:t>
      </w:r>
    </w:p>
    <w:bookmarkStart w:id="69" w:name="mental-health-treatment-plans"/>
    <w:p>
      <w:pPr>
        <w:pStyle w:val="Heading3"/>
      </w:pPr>
      <w:r>
        <w:t xml:space="preserve">3.1 Mental health treatment plans</w:t>
      </w:r>
    </w:p>
    <w:p>
      <w:pPr>
        <w:numPr>
          <w:ilvl w:val="0"/>
          <w:numId w:val="1009"/>
        </w:numPr>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numPr>
          <w:ilvl w:val="0"/>
          <w:numId w:val="1009"/>
        </w:numPr>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w:t>
      </w:r>
    </w:p>
    <w:bookmarkEnd w:id="69"/>
    <w:bookmarkStart w:id="72" w:name="mental-health-consultation-mbs-item-2713"/>
    <w:p>
      <w:pPr>
        <w:pStyle w:val="Heading3"/>
      </w:pPr>
      <w:r>
        <w:t xml:space="preserve">3.2 Mental health consultation (MBS item</w:t>
      </w:r>
      <w:r>
        <w:t xml:space="preserve"> </w:t>
      </w:r>
      <w:r>
        <w:t xml:space="preserve">‘2713’</w:t>
      </w:r>
      <w:r>
        <w:t xml:space="preserve">)</w:t>
      </w:r>
    </w:p>
    <w:p>
      <w:pPr>
        <w:pStyle w:val="FirstParagraph"/>
      </w:pPr>
      <w:r>
        <w:t xml:space="preserve">If patients with mental health conditions</w:t>
      </w:r>
      <w:r>
        <w:t xml:space="preserve"> </w:t>
      </w:r>
      <w:r>
        <w:rPr>
          <w:i/>
          <w:iCs/>
        </w:rPr>
        <w:t xml:space="preserve">and</w:t>
      </w:r>
      <w:r>
        <w:t xml:space="preserve"> </w:t>
      </w:r>
      <w:r>
        <w:t xml:space="preserve">a health concession card have less mental health treatment plans billed at cohealth general practices, perhaps those patients</w:t>
      </w:r>
      <w:r>
        <w:t xml:space="preserve"> </w:t>
      </w:r>
      <w:r>
        <w:rPr>
          <w:i/>
          <w:iCs/>
        </w:rPr>
        <w:t xml:space="preserve">also</w:t>
      </w:r>
      <w:r>
        <w:t xml:space="preserve"> </w:t>
      </w:r>
      <w:r>
        <w:t xml:space="preserve">have less mental health care delivered by those general practitioners.</w:t>
      </w:r>
    </w:p>
    <w:p>
      <w:pPr>
        <w:pStyle w:val="BodyText"/>
      </w:pPr>
      <w:r>
        <w:t xml:space="preserve">There other potential ways to measure mental health care delivery in general practice.</w:t>
      </w:r>
    </w:p>
    <w:p>
      <w:pPr>
        <w:pStyle w:val="BodyText"/>
      </w:pPr>
      <w:r>
        <w:t xml:space="preserve">Potential measurements:</w:t>
      </w:r>
    </w:p>
    <w:p>
      <w:pPr>
        <w:pStyle w:val="Compact"/>
        <w:numPr>
          <w:ilvl w:val="0"/>
          <w:numId w:val="1010"/>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1"/>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10"/>
        </w:numPr>
      </w:pPr>
      <w:r>
        <w:t xml:space="preserve">Examination of the electronic medical record (EMR) consultation notes</w:t>
      </w:r>
    </w:p>
    <w:p>
      <w:pPr>
        <w:pStyle w:val="Compact"/>
        <w:numPr>
          <w:ilvl w:val="1"/>
          <w:numId w:val="1012"/>
        </w:numPr>
      </w:pPr>
      <w:r>
        <w:t xml:space="preserve">More difficult to do than option (1), but can be done with basic natural language processing (NLP)</w:t>
      </w:r>
    </w:p>
    <w:p>
      <w:pPr>
        <w:pStyle w:val="Compact"/>
        <w:numPr>
          <w:ilvl w:val="0"/>
          <w:numId w:val="1010"/>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to use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4">
        <w:r>
          <w:rPr>
            <w:rStyle w:val="Hyperlink"/>
          </w:rPr>
          <w:t xml:space="preserve">general practitioner attendance in relation to a mental health disorder, Medicare Benefit Schedule - Item 2713</w:t>
        </w:r>
      </w:hyperlink>
      <w:r>
        <w:t xml:space="preserve">. Unfortunately, MBS item 2713 is little used, because there are alternative item numbers - not specific to mental health - which are easy to use and bill</w:t>
      </w:r>
      <w:r>
        <w:rPr>
          <w:rStyle w:val="FootnoteReference"/>
        </w:rPr>
        <w:footnoteReference w:id="70"/>
      </w:r>
      <w:r>
        <w:t xml:space="preserve">.</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item 2713 - depending on the duration and content of the consult - can sometimes be</w:t>
      </w:r>
      <w:r>
        <w:t xml:space="preserve"> </w:t>
      </w:r>
      <w:r>
        <w:t xml:space="preserve">‘co-billed’</w:t>
      </w:r>
      <w:r>
        <w:t xml:space="preserve"> </w:t>
      </w:r>
      <w:r>
        <w:t xml:space="preserve">with a standard consult item (such as level B or C consult).</w:t>
      </w:r>
    </w:p>
    <w:p>
      <w:pPr>
        <w:pStyle w:val="BodyText"/>
      </w:pPr>
      <w:r>
        <w:rPr>
          <w:i/>
          <w:iCs/>
        </w:rPr>
        <w:t xml:space="preserve">Are concession card holders, or patients living with low-frequency mental health disorders, billed the general practice mental health item</w:t>
      </w:r>
      <w:r>
        <w:rPr>
          <w:i/>
          <w:iCs/>
        </w:rPr>
        <w:t xml:space="preserve"> </w:t>
      </w:r>
      <w:r>
        <w:rPr>
          <w:i/>
          <w:iCs/>
        </w:rPr>
        <w:t xml:space="preserve">‘2713’</w:t>
      </w:r>
      <w:r>
        <w:rPr>
          <w:i/>
          <w:iCs/>
        </w:rPr>
        <w:t xml:space="preserve"> </w:t>
      </w:r>
      <w:r>
        <w:rPr>
          <w:i/>
          <w:iCs/>
        </w:rPr>
        <w:t xml:space="preserve">the same, more, or less than patients without concession card holders at cohealth clinics?</w:t>
      </w:r>
    </w:p>
    <w:bookmarkEnd w:id="72"/>
    <w:bookmarkStart w:id="73"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bookmarkEnd w:id="73"/>
    <w:bookmarkStart w:id="80" w:name="data-gathering-and-analysis"/>
    <w:p>
      <w:pPr>
        <w:pStyle w:val="Heading3"/>
      </w:pPr>
      <w:r>
        <w:t xml:space="preserve">3.4 Data gathering and analysis</w:t>
      </w:r>
    </w:p>
    <w:p>
      <w:pPr>
        <w:pStyle w:val="FirstParagraph"/>
      </w:pPr>
      <w:r>
        <w:t xml:space="preserve">The number of mental health treatment plan (MHTP) eligible and active patients at coHealth who were billed MHTPs, mental health consult items (MBS item 2713) or chronic disease management plans (MBS item 721) in the previous twelve months were counted using PenCS, for the one year up to 1st May 2025 (for details of the extraction procedure using PenCS, see</w:t>
      </w:r>
      <w:r>
        <w:t xml:space="preserve"> </w:t>
      </w:r>
      <w:hyperlink w:anchor="sec-appendix-mhtpgroups">
        <w:r>
          <w:rPr>
            <w:rStyle w:val="Hyperlink"/>
          </w:rPr>
          <w:t xml:space="preserve">Section 6.2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The results are analysed using</w:t>
      </w:r>
      <w:r>
        <w:t xml:space="preserve"> </w:t>
      </w:r>
      <w:hyperlink r:id="rId74">
        <w:r>
          <w:rPr>
            <w:rStyle w:val="Hyperlink"/>
          </w:rPr>
          <w:t xml:space="preserve">R version 4.3.1</w:t>
        </w:r>
      </w:hyperlink>
      <w:r>
        <w:t xml:space="preserve">. Logistic regression was used, with clinic location as a random effect</w:t>
      </w:r>
      <w:r>
        <w:rPr>
          <w:rStyle w:val="FootnoteReference"/>
        </w:rPr>
        <w:footnoteReference w:id="75"/>
      </w:r>
      <w:r>
        <w:t xml:space="preserve">. Source code can be viewed on www.github.com/DavidPatShuiFong</w:t>
      </w:r>
      <w:r>
        <w:rPr>
          <w:rStyle w:val="FootnoteReference"/>
        </w:rPr>
        <w:footnoteReference w:id="76"/>
      </w:r>
      <w:r>
        <w:t xml:space="preserve"> </w:t>
      </w:r>
      <w:r>
        <w:t xml:space="preserve">and davidfong.org</w:t>
      </w:r>
      <w:r>
        <w:rPr>
          <w:rStyle w:val="FootnoteReference"/>
        </w:rPr>
        <w:footnoteReference w:id="78"/>
      </w:r>
      <w:r>
        <w:t xml:space="preserve">.</w:t>
      </w:r>
    </w:p>
    <w:bookmarkEnd w:id="80"/>
    <w:bookmarkEnd w:id="81"/>
    <w:bookmarkStart w:id="102" w:name="results"/>
    <w:p>
      <w:pPr>
        <w:pStyle w:val="Heading2"/>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82" w:name="table-tableone"/>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1: Mental health treatment plans (claimed in the previous twelve months), concession card status and High- vs Low- frequency mental health conditions.</w:t>
            </w:r>
          </w:p>
          <w:bookmarkEnd w:id="82"/>
        </w:tc>
      </w:tr>
    </w:tbl>
    <w:p>
      <w:pPr>
        <w:pStyle w:val="BodyText"/>
      </w:pPr>
      <w:r>
        <w:t xml:space="preserve">A lower proportion of concession card holders (with either high-prevalence or low-prevalence mental health conditions) were billed a mental health treatment plans in the previous year compared to those without a concession card (11.8% vs 16.7%, Odds ratio 0.664, p = 0.004). The proportion of people with low-frequency mental health conditions were billed a mental health treatment plans in the previous year was similar, if lower, to those with high-frequency conditions (11.7% vs 13.0%, Odds ratio 0.910, p = 0.543).</w:t>
      </w:r>
    </w:p>
    <w:p>
      <w:pPr>
        <w:pStyle w:val="BodyText"/>
      </w:pPr>
      <w:r>
        <w:t xml:space="preserve">Relatively few patients are billed mental health GP consults (item 2713), far fewer than those who are billed for mental health treatment plans. A higher proportion of concession cards holders were billed a mental health GP consult (item 2713) in the previous year more than those without a concession card (5.7% vs 6.5%, Odds ratio 1.329, p = 0.193), though the difference is not statistically significant. A higher proportion of people with low-frequency conditions were billed a mental health GP consult (item 2713) in the previous year than those with a high-frequency condition (10.9% vs 6.5%, Odds ratio 1.685, p = 0.002)</w:t>
      </w:r>
    </w:p>
    <w:p>
      <w:pPr>
        <w:pStyle w:val="BodyText"/>
      </w:pPr>
      <w:r>
        <w:t xml:space="preserve">A higher proportion of concession card holders were billed with a chronic disease management plan (item 721) in the previous year than those without a concession card (31.6% vs 21.6%, Odds ratio 1.779, p&lt;0.001). A higher proportion of patients with patients with low-frequency mental health conditions were billed a chronic disease management plan in the previous year than those with a high-frequency mental health condition (33.9% vs 28.6%, Odds ratio = 1.227, p=0.059), though the result is not statistically significant at the 5% level.</w:t>
      </w:r>
    </w:p>
    <w:tbl>
      <w:tblPr>
        <w:tblStyle w:val="Table"/>
        <w:tblW w:type="pct" w:w="5000"/>
        <w:tblLayout w:type="fixed"/>
        <w:tblLook w:firstRow="0" w:lastRow="0" w:firstColumn="0" w:lastColumn="0" w:noHBand="0" w:noVBand="0" w:val="0000"/>
      </w:tblPr>
      <w:tblGrid>
        <w:gridCol w:w="7920"/>
      </w:tblGrid>
      <w:tr>
        <w:tc>
          <w:tcPr/>
          <w:bookmarkStart w:id="83" w:name="table-mbs_concess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2: MBS items by concession card status</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able-mbs_condit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579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177 (33.9%)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1443 (71.4%)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345 (66.1%)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3: MBS items by high- and low- prevalence mental health conditions</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ure-mhtp_effects"/>
          <w:p>
            <w:pPr>
              <w:jc w:val="center"/>
            </w:pPr>
            <w:r>
              <w:drawing>
                <wp:inline>
                  <wp:extent cx="4620126" cy="3696101"/>
                  <wp:effectExtent b="0" l="0" r="0" t="0"/>
                  <wp:docPr descr="" title="" id="86" name="Picture"/>
                  <a:graphic>
                    <a:graphicData uri="http://schemas.openxmlformats.org/drawingml/2006/picture">
                      <pic:pic>
                        <pic:nvPicPr>
                          <pic:cNvPr descr="MHTP_files/figure-docx/effects_plot_mhtp-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Relationship between Mental Health Treatment Plan (MHTP) billing and concession card status or low- vs high- frequency mental health condition</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ure-mh2713_effects"/>
          <w:p>
            <w:pPr>
              <w:jc w:val="center"/>
            </w:pPr>
            <w:r>
              <w:drawing>
                <wp:inline>
                  <wp:extent cx="4620126" cy="3696101"/>
                  <wp:effectExtent b="0" l="0" r="0" t="0"/>
                  <wp:docPr descr="" title="" id="90" name="Picture"/>
                  <a:graphic>
                    <a:graphicData uri="http://schemas.openxmlformats.org/drawingml/2006/picture">
                      <pic:pic>
                        <pic:nvPicPr>
                          <pic:cNvPr descr="MHTP_files/figure-docx/effects_plot_mh271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Relationship between GP mental health consultation (MBS item 2713) billing and concession card status or low- vs high- frequency mental health condition</w:t>
            </w:r>
          </w:p>
          <w:bookmarkEnd w:id="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ure-gpmp-effects"/>
          <w:p>
            <w:pPr>
              <w:jc w:val="center"/>
            </w:pPr>
            <w:r>
              <w:drawing>
                <wp:inline>
                  <wp:extent cx="4620126" cy="3696101"/>
                  <wp:effectExtent b="0" l="0" r="0" t="0"/>
                  <wp:docPr descr="" title="" id="94" name="Picture"/>
                  <a:graphic>
                    <a:graphicData uri="http://schemas.openxmlformats.org/drawingml/2006/picture">
                      <pic:pic>
                        <pic:nvPicPr>
                          <pic:cNvPr descr="MHTP_files/figure-docx/effects_plot_gpmp-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Relationship between GP chronic disease management plan (MBS item 721) billing and concession card status or low- vs high- frequency mental health condition</w:t>
            </w:r>
          </w:p>
          <w:bookmarkEnd w:id="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table-logist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1"/>
              <w:gridCol w:w="785"/>
              <w:gridCol w:w="785"/>
              <w:gridCol w:w="785"/>
              <w:gridCol w:w="785"/>
              <w:gridCol w:w="785"/>
              <w:gridCol w:w="785"/>
              <w:gridCol w:w="785"/>
              <w:gridCol w:w="785"/>
              <w:gridCol w:w="785"/>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MHTP</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footer 1
              <w:tc>
                <w:tcPr>
                  <w:gridSpan w:val="10"/>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treatment plan 'MPTP', GP mental health consultation 'MH2713' or GP chronic disease management plan 'GPMP', according to concession card status and low-vs-high prevalence mental health condition (coHealth GP clinics, May 2025)</w:t>
                  </w:r>
                </w:p>
              </w:tc>
            </w:tr>
          </w:tbl>
          <w:p>
            <w:pPr>
              <w:jc w:val="center"/>
            </w:pPr>
            <w:pPr>
              <w:jc w:val="start"/>
              <w:spacing w:before="200"/>
              <w:pStyle w:val="ImageCaption"/>
            </w:pPr>
            <w:r>
              <w:t xml:space="preserve">Table 4: Logistic model, MBS items by concession status and mental health condition</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ure-oddsratio"/>
          <w:p>
            <w:pPr>
              <w:jc w:val="center"/>
            </w:pPr>
            <w:r>
              <w:drawing>
                <wp:inline>
                  <wp:extent cx="4620126" cy="3696101"/>
                  <wp:effectExtent b="0" l="0" r="0" t="0"/>
                  <wp:docPr descr="" title="" id="99" name="Picture"/>
                  <a:graphic>
                    <a:graphicData uri="http://schemas.openxmlformats.org/drawingml/2006/picture">
                      <pic:pic>
                        <pic:nvPicPr>
                          <pic:cNvPr descr="MHTP_files/figure-docx/unnamed-chunk-8-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MHTP, MH2713 and GPMP billed in previous twelve months compared to concession and low- vs high- frequency mental health condition status. Odds ratio estimates.</w:t>
            </w:r>
          </w:p>
          <w:bookmarkEnd w:id="101"/>
        </w:tc>
      </w:tr>
    </w:tbl>
    <w:bookmarkEnd w:id="102"/>
    <w:bookmarkStart w:id="110" w:name="discussion"/>
    <w:p>
      <w:pPr>
        <w:pStyle w:val="Heading2"/>
      </w:pPr>
      <w:r>
        <w:t xml:space="preserve">5 Discussion</w:t>
      </w:r>
    </w:p>
    <w:p>
      <w:pPr>
        <w:pStyle w:val="FirstParagraph"/>
      </w:pPr>
      <w:r>
        <w:t xml:space="preserve">A relatively high proportion of coHealth patients have high-frequency and low-frequency mental health conditions</w:t>
      </w:r>
    </w:p>
    <w:p>
      <w:pPr>
        <w:pStyle w:val="BodyText"/>
      </w:pPr>
      <w:r>
        <w:t xml:space="preserve">Relatively few patients at coHealth with mental health conditions have had a recent billed mental health care plan.</w:t>
      </w:r>
    </w:p>
    <w:p>
      <w:pPr>
        <w:pStyle w:val="BodyText"/>
      </w:pPr>
      <w:r>
        <w:t xml:space="preserve">Low MHCP billing may reflect low patient demand or awareness of mental health care plans and/or access to private psychology services.</w:t>
      </w:r>
    </w:p>
    <w:p>
      <w:pPr>
        <w:pStyle w:val="BodyText"/>
      </w:pPr>
      <w:r>
        <w:t xml:space="preserve">Low access to psychology services may be related to patients having relatively few resources (</w:t>
      </w:r>
      <w:r>
        <w:t xml:space="preserve">‘inverse care law’</w:t>
      </w:r>
      <w:r>
        <w:rPr>
          <w:rStyle w:val="FootnoteReference"/>
        </w:rPr>
        <w:footnoteReference w:id="103"/>
      </w:r>
      <w:r>
        <w:t xml:space="preserve">) e.g. pensioners and health care card holders. Barriers to access for those with the least resources but greater needs applies not only to mental health services, but also to other Medicare-funded allied health services</w:t>
      </w:r>
      <w:r>
        <w:rPr>
          <w:rStyle w:val="FootnoteReference"/>
        </w:rPr>
        <w:footnoteReference w:id="105"/>
      </w:r>
      <w:r>
        <w:t xml:space="preserve">.</w:t>
      </w:r>
    </w:p>
    <w:p>
      <w:pPr>
        <w:pStyle w:val="CaptionedFigure"/>
      </w:pPr>
      <w:r>
        <w:drawing>
          <wp:inline>
            <wp:extent cx="5334000" cy="2906141"/>
            <wp:effectExtent b="0" l="0" r="0" t="0"/>
            <wp:docPr descr="Medicare-funded allied health services are needed most, but used least, by more disadvantaged Australians. ‘A new Medicare: Strengthening general practice’, Grattan Institute, 2022." title="" id="108" name="Picture"/>
            <a:graphic>
              <a:graphicData uri="http://schemas.openxmlformats.org/drawingml/2006/picture">
                <pic:pic>
                  <pic:nvPicPr>
                    <pic:cNvPr descr="./images/Medicare_funded_alliedhealth.png" id="109" name="Picture"/>
                    <pic:cNvPicPr>
                      <a:picLocks noChangeArrowheads="1" noChangeAspect="1"/>
                    </pic:cNvPicPr>
                  </pic:nvPicPr>
                  <pic:blipFill>
                    <a:blip r:embed="rId107"/>
                    <a:stretch>
                      <a:fillRect/>
                    </a:stretch>
                  </pic:blipFill>
                  <pic:spPr bwMode="auto">
                    <a:xfrm>
                      <a:off x="0" y="0"/>
                      <a:ext cx="5334000" cy="2906141"/>
                    </a:xfrm>
                    <a:prstGeom prst="rect">
                      <a:avLst/>
                    </a:prstGeom>
                    <a:noFill/>
                    <a:ln w="9525">
                      <a:noFill/>
                      <a:headEnd/>
                      <a:tailEnd/>
                    </a:ln>
                  </pic:spPr>
                </pic:pic>
              </a:graphicData>
            </a:graphic>
          </wp:inline>
        </w:drawing>
      </w:r>
    </w:p>
    <w:p>
      <w:pPr>
        <w:pStyle w:val="ImageCaption"/>
      </w:pPr>
      <w:r>
        <w:t xml:space="preserve">Medicare-funded allied health services are needed most, but used least, by more disadvantaged Australians.</w:t>
      </w:r>
      <w:r>
        <w:t xml:space="preserve"> </w:t>
      </w:r>
      <w:r>
        <w:t xml:space="preserve">‘A new Medicare: Strengthening general practice’</w:t>
      </w:r>
      <w:r>
        <w:t xml:space="preserve">, Grattan Institute, 2022.</w:t>
      </w:r>
    </w:p>
    <w:p>
      <w:pPr>
        <w:pStyle w:val="BodyText"/>
      </w:pPr>
      <w:r>
        <w:t xml:space="preserve">If mental health care plans offer an opportunity to plan for and review mental health care, including for patients with reduced resources, deliberate actions may need to be considered to improve uptake of mental health care plans among patients who already have reduced access to healthcare.</w:t>
      </w:r>
    </w:p>
    <w:p>
      <w:pPr>
        <w:pStyle w:val="BodyText"/>
      </w:pPr>
      <w:r>
        <w:t xml:space="preserve">For example, general practitioners at cohealth have suggested:</w:t>
      </w:r>
    </w:p>
    <w:p>
      <w:pPr>
        <w:numPr>
          <w:ilvl w:val="0"/>
          <w:numId w:val="1013"/>
        </w:numPr>
      </w:pPr>
      <w:r>
        <w:t xml:space="preserve">Is could be possible to document a mental health treatment plan (MHTP) that is worthwhile for the patient and meet the criteria for a mental health treatment plan. If this could be done, then a MHTP could be prepared to many more patients regardless of need for rebated psychology.</w:t>
      </w:r>
    </w:p>
    <w:p>
      <w:pPr>
        <w:numPr>
          <w:ilvl w:val="0"/>
          <w:numId w:val="1013"/>
        </w:numPr>
      </w:pPr>
      <w:r>
        <w:t xml:space="preserve">Mental health treatment plan (MHTP) preparation can be done over several consults. Maybe preparation and</w:t>
      </w:r>
      <w:r>
        <w:t xml:space="preserve"> </w:t>
      </w:r>
      <w:r>
        <w:t xml:space="preserve">‘co-billing’</w:t>
      </w:r>
      <w:r>
        <w:t xml:space="preserve"> </w:t>
      </w:r>
      <w:r>
        <w:t xml:space="preserve">a mental health care plan could be done after taking care to appropriately document the time and plan. Nevertheless, the effort required would still be considerably more than, for example, general practitioner chronic disease management plans. There may be a role for large-language-model (LLM) assisted plan generation to help reduce the manual workload of MHTP creation.</w:t>
      </w:r>
    </w:p>
    <w:p>
      <w:pPr>
        <w:numPr>
          <w:ilvl w:val="0"/>
          <w:numId w:val="1013"/>
        </w:numPr>
      </w:pPr>
      <w:r>
        <w:t xml:space="preserve">Currently, clinic mental health nurses can help prepare mental health treatment plans. However, due to funding arrangements, clinic mental health nurse involvement is often limited to patients who are</w:t>
      </w:r>
      <w:r>
        <w:t xml:space="preserve"> </w:t>
      </w:r>
      <w:r>
        <w:rPr>
          <w:i/>
          <w:iCs/>
        </w:rPr>
        <w:t xml:space="preserve">already</w:t>
      </w:r>
      <w:r>
        <w:t xml:space="preserve"> </w:t>
      </w:r>
      <w:r>
        <w:t xml:space="preserve">referred (or at least, will be referred) to the clinic mental health nurse program.</w:t>
      </w:r>
    </w:p>
    <w:bookmarkEnd w:id="110"/>
    <w:bookmarkStart w:id="125" w:name="appendices"/>
    <w:p>
      <w:pPr>
        <w:pStyle w:val="Heading2"/>
      </w:pPr>
      <w:r>
        <w:t xml:space="preserve">6 Appendices</w:t>
      </w:r>
    </w:p>
    <w:bookmarkStart w:id="117" w:name="sec-appendix-mhtpeligible"/>
    <w:p>
      <w:pPr>
        <w:pStyle w:val="Heading3"/>
      </w:pPr>
      <w:r>
        <w:t xml:space="preserve">6.1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p>
      <w:pPr>
        <w:pStyle w:val="CaptionedFigure"/>
      </w:pPr>
      <w:r>
        <w:drawing>
          <wp:inline>
            <wp:extent cx="5334000" cy="3000375"/>
            <wp:effectExtent b="0" l="0" r="0" t="0"/>
            <wp:docPr descr="cohealth, DCP statistics, 28/Apr/2025 to 25/May/2025" title="" id="112" name="Picture"/>
            <a:graphic>
              <a:graphicData uri="http://schemas.openxmlformats.org/drawingml/2006/picture">
                <pic:pic>
                  <pic:nvPicPr>
                    <pic:cNvPr descr="./images/cohealth_20250428_mhtpeligible.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cohealth, DCP statistics, 28/Apr/2025 to 25/May/2025</w:t>
      </w:r>
    </w:p>
    <w:p>
      <w:pPr>
        <w:pStyle w:val="CaptionedFigure"/>
      </w:pPr>
      <w:r>
        <w:drawing>
          <wp:inline>
            <wp:extent cx="5334000" cy="3000375"/>
            <wp:effectExtent b="0" l="0" r="0" t="0"/>
            <wp:docPr descr="National, DCP statistics, 28/Apr/2025 to 25/May/2025" title="" id="115" name="Picture"/>
            <a:graphic>
              <a:graphicData uri="http://schemas.openxmlformats.org/drawingml/2006/picture">
                <pic:pic>
                  <pic:nvPicPr>
                    <pic:cNvPr descr="./images/national_20250428_mhtpeligible.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National, DCP statistics, 28/Apr/2025 to 25/May/2025</w:t>
      </w:r>
    </w:p>
    <w:bookmarkEnd w:id="117"/>
    <w:bookmarkStart w:id="124" w:name="sec-appendix-mhtpgroups"/>
    <w:p>
      <w:pPr>
        <w:pStyle w:val="Heading3"/>
      </w:pPr>
      <w:r>
        <w:t xml:space="preserve">6.2 Patients eligible and who have a mental health treatment plan according to concession card status, mental health condition and clinic attended</w:t>
      </w:r>
    </w:p>
    <w:p>
      <w:pPr>
        <w:pStyle w:val="FirstParagraph"/>
      </w:pPr>
      <w:hyperlink r:id="rId118">
        <w:r>
          <w:rPr>
            <w:rStyle w:val="Hyperlink"/>
          </w:rPr>
          <w:t xml:space="preserve">PenCS</w:t>
        </w:r>
      </w:hyperlink>
      <w:r>
        <w:t xml:space="preserve"> </w:t>
      </w:r>
      <w:r>
        <w:t xml:space="preserve">was used to identify patients with recorded mental health conditions, whether the condition was high- or low- frequency,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119">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4"/>
        </w:numPr>
      </w:pPr>
      <w:r>
        <w:t xml:space="preserve">Using Filter</w:t>
      </w:r>
      <w:r>
        <w:t xml:space="preserve"> </w:t>
      </w:r>
      <w:r>
        <w:t xml:space="preserve">‘General’</w:t>
      </w:r>
    </w:p>
    <w:p>
      <w:pPr>
        <w:pStyle w:val="Compact"/>
        <w:numPr>
          <w:ilvl w:val="1"/>
          <w:numId w:val="1015"/>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5"/>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120">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6"/>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4"/>
        </w:numPr>
      </w:pPr>
      <w:r>
        <w:t xml:space="preserve">Using Filter</w:t>
      </w:r>
      <w:r>
        <w:t xml:space="preserve"> </w:t>
      </w:r>
      <w:r>
        <w:t xml:space="preserve">‘MBS Attendance’</w:t>
      </w:r>
    </w:p>
    <w:p>
      <w:pPr>
        <w:pStyle w:val="Compact"/>
        <w:numPr>
          <w:ilvl w:val="1"/>
          <w:numId w:val="1017"/>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8"/>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7"/>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7"/>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7"/>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9"/>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p>
      <w:pPr>
        <w:pStyle w:val="CaptionedFigure"/>
      </w:pPr>
      <w:r>
        <w:drawing>
          <wp:inline>
            <wp:extent cx="5334000" cy="2650331"/>
            <wp:effectExtent b="0" l="0" r="0" t="0"/>
            <wp:docPr descr="PenCS example, Kensington extract 1st June 2025 (note, not from 1st May 2025!)" title="" id="122" name="Picture"/>
            <a:graphic>
              <a:graphicData uri="http://schemas.openxmlformats.org/drawingml/2006/picture">
                <pic:pic>
                  <pic:nvPicPr>
                    <pic:cNvPr descr="./images/PenCS.png" id="123" name="Picture"/>
                    <pic:cNvPicPr>
                      <a:picLocks noChangeArrowheads="1" noChangeAspect="1"/>
                    </pic:cNvPicPr>
                  </pic:nvPicPr>
                  <pic:blipFill>
                    <a:blip r:embed="rId121"/>
                    <a:stretch>
                      <a:fillRect/>
                    </a:stretch>
                  </pic:blipFill>
                  <pic:spPr bwMode="auto">
                    <a:xfrm>
                      <a:off x="0" y="0"/>
                      <a:ext cx="5334000" cy="2650331"/>
                    </a:xfrm>
                    <a:prstGeom prst="rect">
                      <a:avLst/>
                    </a:prstGeom>
                    <a:noFill/>
                    <a:ln w="9525">
                      <a:noFill/>
                      <a:headEnd/>
                      <a:tailEnd/>
                    </a:ln>
                  </pic:spPr>
                </pic:pic>
              </a:graphicData>
            </a:graphic>
          </wp:inline>
        </w:drawing>
      </w:r>
    </w:p>
    <w:p>
      <w:pPr>
        <w:pStyle w:val="ImageCaption"/>
      </w:pPr>
      <w:r>
        <w:t xml:space="preserve">PenCS example, Kensington extract 1st June 2025 (note, not from 1st May 2025!)</w:t>
      </w:r>
    </w:p>
    <w:p>
      <w:pPr>
        <w:pStyle w:val="BodyText"/>
      </w:pPr>
      <w:r>
        <w:t xml:space="preserve">Patient high- or low- frequency mental health condition status</w:t>
      </w:r>
    </w:p>
    <w:p>
      <w:pPr>
        <w:pStyle w:val="Compact"/>
        <w:numPr>
          <w:ilvl w:val="0"/>
          <w:numId w:val="1020"/>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21"/>
        </w:numPr>
      </w:pPr>
      <w:r>
        <w:t xml:space="preserve">For patients with high-frequency conditions</w:t>
      </w:r>
    </w:p>
    <w:p>
      <w:pPr>
        <w:pStyle w:val="Compact"/>
        <w:numPr>
          <w:ilvl w:val="2"/>
          <w:numId w:val="1022"/>
        </w:numPr>
      </w:pPr>
      <w:r>
        <w:t xml:space="preserve">Set</w:t>
      </w:r>
      <w:r>
        <w:t xml:space="preserve"> </w:t>
      </w:r>
      <w:r>
        <w:t xml:space="preserve">‘High Prevalence’</w:t>
      </w:r>
      <w:r>
        <w:t xml:space="preserve"> </w:t>
      </w:r>
      <w:r>
        <w:t xml:space="preserve">to yes (ticked).</w:t>
      </w:r>
    </w:p>
    <w:p>
      <w:pPr>
        <w:pStyle w:val="Compact"/>
        <w:numPr>
          <w:ilvl w:val="2"/>
          <w:numId w:val="1022"/>
        </w:numPr>
      </w:pPr>
      <w:r>
        <w:t xml:space="preserve">In this case, we are interested in patients with recorded low-frequency conditions</w:t>
      </w:r>
      <w:r>
        <w:t xml:space="preserve"> </w:t>
      </w:r>
      <w:r>
        <w:rPr>
          <w:i/>
          <w:iCs/>
        </w:rPr>
        <w:t xml:space="preserve">without</w:t>
      </w:r>
      <w:r>
        <w:t xml:space="preserve"> </w:t>
      </w:r>
      <w:r>
        <w:t xml:space="preserve">high-frequency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21"/>
        </w:numPr>
      </w:pPr>
      <w:r>
        <w:t xml:space="preserve">For patients with low-frequency conditions</w:t>
      </w:r>
    </w:p>
    <w:p>
      <w:pPr>
        <w:pStyle w:val="Compact"/>
        <w:numPr>
          <w:ilvl w:val="2"/>
          <w:numId w:val="1023"/>
        </w:numPr>
      </w:pPr>
      <w:r>
        <w:t xml:space="preserve">Set</w:t>
      </w:r>
      <w:r>
        <w:t xml:space="preserve"> </w:t>
      </w:r>
      <w:r>
        <w:t xml:space="preserve">‘Low Prevalence’</w:t>
      </w:r>
      <w:r>
        <w:t xml:space="preserve"> </w:t>
      </w:r>
      <w:r>
        <w:t xml:space="preserve">to yes (ticked).</w:t>
      </w:r>
    </w:p>
    <w:p>
      <w:pPr>
        <w:pStyle w:val="Compact"/>
        <w:numPr>
          <w:ilvl w:val="2"/>
          <w:numId w:val="1023"/>
        </w:numPr>
      </w:pPr>
      <w:r>
        <w:t xml:space="preserve">Many patients with low-frequency conditions will also have high-frequency mental health conditions. For this search, we are interested in the presence or absence of a low-frequency mental health condition, regardless of the presence or absence of a high-frequency condition.</w:t>
      </w:r>
    </w:p>
    <w:p>
      <w:pPr>
        <w:pStyle w:val="FirstParagraph"/>
      </w:pPr>
      <w:r>
        <w:t xml:space="preserve">Patient concession card status</w:t>
      </w:r>
    </w:p>
    <w:p>
      <w:pPr>
        <w:pStyle w:val="Compact"/>
        <w:numPr>
          <w:ilvl w:val="0"/>
          <w:numId w:val="1024"/>
        </w:numPr>
      </w:pPr>
      <w:r>
        <w:t xml:space="preserve">Using Filter</w:t>
      </w:r>
      <w:r>
        <w:t xml:space="preserve"> </w:t>
      </w:r>
      <w:r>
        <w:t xml:space="preserve">‘General’</w:t>
      </w:r>
    </w:p>
    <w:p>
      <w:pPr>
        <w:pStyle w:val="Compact"/>
        <w:numPr>
          <w:ilvl w:val="1"/>
          <w:numId w:val="1025"/>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6"/>
        </w:numPr>
      </w:pPr>
      <w:r>
        <w:t xml:space="preserve">Using Filter</w:t>
      </w:r>
      <w:r>
        <w:t xml:space="preserve"> </w:t>
      </w:r>
      <w:r>
        <w:t xml:space="preserve">‘MBS Attendance’</w:t>
      </w:r>
    </w:p>
    <w:p>
      <w:pPr>
        <w:pStyle w:val="Compact"/>
        <w:numPr>
          <w:ilvl w:val="1"/>
          <w:numId w:val="1027"/>
        </w:numPr>
      </w:pPr>
      <w:r>
        <w:t xml:space="preserve">For Mental health treatment plan (MHTP)</w:t>
      </w:r>
    </w:p>
    <w:p>
      <w:pPr>
        <w:pStyle w:val="Compact"/>
        <w:numPr>
          <w:ilvl w:val="2"/>
          <w:numId w:val="1028"/>
        </w:numPr>
      </w:pPr>
      <w:r>
        <w:t xml:space="preserve">Set</w:t>
      </w:r>
      <w:r>
        <w:t xml:space="preserve"> </w:t>
      </w:r>
      <w:r>
        <w:t xml:space="preserve">‘GP MH Care Plan’</w:t>
      </w:r>
      <w:r>
        <w:t xml:space="preserve"> </w:t>
      </w:r>
      <w:r>
        <w:t xml:space="preserve">to yes (ticked)</w:t>
      </w:r>
    </w:p>
    <w:p>
      <w:pPr>
        <w:pStyle w:val="Compact"/>
        <w:numPr>
          <w:ilvl w:val="1"/>
          <w:numId w:val="1027"/>
        </w:numPr>
      </w:pPr>
      <w:r>
        <w:t xml:space="preserve">For Mental health consultation (MBS item</w:t>
      </w:r>
      <w:r>
        <w:t xml:space="preserve"> </w:t>
      </w:r>
      <w:r>
        <w:t xml:space="preserve">‘2713’</w:t>
      </w:r>
      <w:r>
        <w:t xml:space="preserve">)</w:t>
      </w:r>
    </w:p>
    <w:p>
      <w:pPr>
        <w:pStyle w:val="Compact"/>
        <w:numPr>
          <w:ilvl w:val="2"/>
          <w:numId w:val="1029"/>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7"/>
        </w:numPr>
      </w:pPr>
      <w:r>
        <w:t xml:space="preserve">For Chronic Disease management plans (MBS item</w:t>
      </w:r>
      <w:r>
        <w:t xml:space="preserve"> </w:t>
      </w:r>
      <w:r>
        <w:t xml:space="preserve">‘721’</w:t>
      </w:r>
      <w:r>
        <w:t xml:space="preserve">)</w:t>
      </w:r>
    </w:p>
    <w:p>
      <w:pPr>
        <w:pStyle w:val="Compact"/>
        <w:numPr>
          <w:ilvl w:val="2"/>
          <w:numId w:val="1030"/>
        </w:numPr>
      </w:pPr>
      <w:r>
        <w:t xml:space="preserve">In</w:t>
      </w:r>
      <w:r>
        <w:t xml:space="preserve"> </w:t>
      </w:r>
      <w:r>
        <w:t xml:space="preserve">‘MBS Item Numbers’</w:t>
      </w:r>
      <w:r>
        <w:t xml:space="preserve"> </w:t>
      </w:r>
      <w:r>
        <w:t xml:space="preserve">tick only item</w:t>
      </w:r>
      <w:r>
        <w:t xml:space="preserve"> </w:t>
      </w:r>
      <w:r>
        <w:t xml:space="preserve">‘721’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w:t>
      </w:r>
      <w:hyperlink r:id="rId22">
        <w:r>
          <w:rPr>
            <w:rStyle w:val="Hyperlink"/>
          </w:rPr>
          <w:t xml:space="preserve">General practice activity in Australia 2015-2016</w:t>
        </w:r>
      </w:hyperlink>
      <w:r>
        <w:t xml:space="preserve">”</w:t>
      </w:r>
      <w:r>
        <w:t xml:space="preserve">, Sydney University Press, 2016.</w:t>
      </w:r>
    </w:p>
  </w:footnote>
  <w:footnote w:id="32">
    <w:p>
      <w:pPr>
        <w:pStyle w:val="FootnoteText"/>
      </w:pPr>
      <w:r>
        <w:rPr>
          <w:rStyle w:val="FootnoteReference"/>
        </w:rPr>
        <w:footnoteRef/>
      </w:r>
      <w:r>
        <w:t xml:space="preserve"> </w:t>
      </w:r>
      <w:hyperlink r:id="rId33">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5">
    <w:p>
      <w:pPr>
        <w:pStyle w:val="FootnoteText"/>
      </w:pPr>
      <w:r>
        <w:rPr>
          <w:rStyle w:val="FootnoteReference"/>
        </w:rPr>
        <w:footnoteRef/>
      </w:r>
      <w:r>
        <w:t xml:space="preserve"> </w:t>
      </w:r>
      <w:r>
        <w:t xml:space="preserve">“</w:t>
      </w:r>
      <w:hyperlink r:id="rId36">
        <w:r>
          <w:rPr>
            <w:rStyle w:val="Hyperlink"/>
          </w:rPr>
          <w:t xml:space="preserve">GPs rebut criticism of mental health care plan oversight</w:t>
        </w:r>
      </w:hyperlink>
      <w:r>
        <w:t xml:space="preserve">”</w:t>
      </w:r>
      <w:r>
        <w:t xml:space="preserve">. Joyon Attwooll, RACGP newsGP, 8 August 2022.</w:t>
      </w:r>
    </w:p>
  </w:footnote>
  <w:footnote w:id="37">
    <w:p>
      <w:pPr>
        <w:pStyle w:val="FootnoteText"/>
      </w:pPr>
      <w:r>
        <w:rPr>
          <w:rStyle w:val="FootnoteReference"/>
        </w:rPr>
        <w:footnoteRef/>
      </w:r>
      <w:r>
        <w:t xml:space="preserve"> </w:t>
      </w:r>
      <w:r>
        <w:t xml:space="preserve">“</w:t>
      </w:r>
      <w:hyperlink r:id="rId38">
        <w:r>
          <w:rPr>
            <w:rStyle w:val="Hyperlink"/>
          </w:rPr>
          <w:t xml:space="preserve">Myth-busting: role of the GP in primary mental health care</w:t>
        </w:r>
      </w:hyperlink>
      <w:r>
        <w:t xml:space="preserve">”</w:t>
      </w:r>
      <w:r>
        <w:t xml:space="preserve">. Louise Stone et al, MJA Insight+, 8 August 2022.</w:t>
      </w:r>
    </w:p>
  </w:footnote>
  <w:footnote w:id="39">
    <w:p>
      <w:pPr>
        <w:pStyle w:val="FootnoteText"/>
      </w:pPr>
      <w:r>
        <w:rPr>
          <w:rStyle w:val="FootnoteReference"/>
        </w:rPr>
        <w:footnoteRef/>
      </w:r>
      <w:r>
        <w:t xml:space="preserve"> </w:t>
      </w:r>
      <w:r>
        <w:t xml:space="preserve">“</w:t>
      </w:r>
      <w:hyperlink r:id="rId40">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 w:id="70">
    <w:p>
      <w:pPr>
        <w:pStyle w:val="FootnoteText"/>
      </w:pPr>
      <w:r>
        <w:rPr>
          <w:rStyle w:val="FootnoteReference"/>
        </w:rPr>
        <w:footnoteRef/>
      </w:r>
      <w:r>
        <w:t xml:space="preserve"> </w:t>
      </w:r>
      <w:hyperlink r:id="rId34">
        <w:r>
          <w:rPr>
            <w:rStyle w:val="Hyperlink"/>
          </w:rPr>
          <w:t xml:space="preserve">MBS item 2713</w:t>
        </w:r>
      </w:hyperlink>
      <w:r>
        <w:t xml:space="preserve"> </w:t>
      </w:r>
      <w:r>
        <w:t xml:space="preserve">has a requirement for minimum consultation length of 20 minutes, and has a rebate value of $81.70.</w:t>
      </w:r>
    </w:p>
    <w:p>
      <w:pPr>
        <w:pStyle w:val="FootnoteText"/>
      </w:pPr>
      <w:r>
        <w:t xml:space="preserve">There is an alternative item number which can also be claimed if a consult is between 20 to 40 minutes in length, the level</w:t>
      </w:r>
      <w:r>
        <w:t xml:space="preserve"> </w:t>
      </w:r>
      <w:r>
        <w:t xml:space="preserve">‘C’</w:t>
      </w:r>
      <w:r>
        <w:t xml:space="preserve"> </w:t>
      </w:r>
      <w:r>
        <w:t xml:space="preserve">consult,</w:t>
      </w:r>
      <w:r>
        <w:t xml:space="preserve"> </w:t>
      </w:r>
      <w:hyperlink r:id="rId71">
        <w:r>
          <w:rPr>
            <w:rStyle w:val="Hyperlink"/>
          </w:rPr>
          <w:t xml:space="preserve">MBS item 36</w:t>
        </w:r>
      </w:hyperlink>
      <w:r>
        <w:t xml:space="preserve">, which has a rebate value of $82.90. Where an item 2713 could be claimed, an item 36 could be claimed instead, with greater revenue than an item 2713.</w:t>
      </w:r>
    </w:p>
    <w:p>
      <w:pPr>
        <w:pStyle w:val="Footnote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footnote>
  <w:footnote w:id="75">
    <w:p>
      <w:pPr>
        <w:pStyle w:val="FootnoteText"/>
      </w:pPr>
      <w:r>
        <w:rPr>
          <w:rStyle w:val="FootnoteReference"/>
        </w:rPr>
        <w:footnoteRef/>
      </w:r>
      <w:r>
        <w:t xml:space="preserve"> </w:t>
      </w:r>
      <w:r>
        <w:t xml:space="preserve">It is to be noted that using clinic location as a random effect added little information to the model.</w:t>
      </w:r>
    </w:p>
  </w:footnote>
  <w:footnote w:id="76">
    <w:p>
      <w:pPr>
        <w:pStyle w:val="FootnoteText"/>
      </w:pPr>
      <w:r>
        <w:rPr>
          <w:rStyle w:val="FootnoteReference"/>
        </w:rPr>
        <w:footnoteRef/>
      </w:r>
      <w:r>
        <w:t xml:space="preserve"> </w:t>
      </w:r>
      <w:hyperlink r:id="rId77">
        <w:r>
          <w:rPr>
            <w:rStyle w:val="Hyperlink"/>
          </w:rPr>
          <w:t xml:space="preserve">R source code on Github</w:t>
        </w:r>
      </w:hyperlink>
    </w:p>
  </w:footnote>
  <w:footnote w:id="78">
    <w:p>
      <w:pPr>
        <w:pStyle w:val="FootnoteText"/>
      </w:pPr>
      <w:r>
        <w:rPr>
          <w:rStyle w:val="FootnoteReference"/>
        </w:rPr>
        <w:footnoteRef/>
      </w:r>
      <w:r>
        <w:t xml:space="preserve"> </w:t>
      </w:r>
      <w:hyperlink r:id="rId79">
        <w:r>
          <w:rPr>
            <w:rStyle w:val="Hyperlink"/>
          </w:rPr>
          <w:t xml:space="preserve">R source code</w:t>
        </w:r>
        <w:r>
          <w:rPr>
            <w:rStyle w:val="Hyperlink"/>
          </w:rPr>
          <w:t xml:space="preserve"> </w:t>
        </w:r>
        <w:r>
          <w:rPr>
            <w:rStyle w:val="Hyperlink"/>
          </w:rPr>
          <w:t xml:space="preserve">‘inline’</w:t>
        </w:r>
        <w:r>
          <w:rPr>
            <w:rStyle w:val="Hyperlink"/>
          </w:rPr>
          <w:t xml:space="preserve"> </w:t>
        </w:r>
        <w:r>
          <w:rPr>
            <w:rStyle w:val="Hyperlink"/>
          </w:rPr>
          <w:t xml:space="preserve">on davidfong.org</w:t>
        </w:r>
      </w:hyperlink>
    </w:p>
  </w:footnote>
  <w:footnote w:id="103">
    <w:p>
      <w:pPr>
        <w:pStyle w:val="FootnoteText"/>
      </w:pPr>
      <w:r>
        <w:rPr>
          <w:rStyle w:val="FootnoteReference"/>
        </w:rPr>
        <w:footnoteRef/>
      </w:r>
      <w:r>
        <w:t xml:space="preserve"> </w:t>
      </w:r>
      <w:r>
        <w:t xml:space="preserve">“</w:t>
      </w:r>
      <w:hyperlink r:id="rId104">
        <w:r>
          <w:rPr>
            <w:rStyle w:val="Hyperlink"/>
          </w:rPr>
          <w:t xml:space="preserve">The Inverse Care Law</w:t>
        </w:r>
      </w:hyperlink>
      <w:r>
        <w:t xml:space="preserve">”</w:t>
      </w:r>
      <w:r>
        <w:t xml:space="preserve">, Julian Tudor Hart. The Lancet, Vol 297:7696 pp 405-412, 27 February 1971.</w:t>
      </w:r>
    </w:p>
  </w:footnote>
  <w:footnote w:id="105">
    <w:p>
      <w:pPr>
        <w:pStyle w:val="FootnoteText"/>
      </w:pPr>
      <w:r>
        <w:rPr>
          <w:rStyle w:val="FootnoteReference"/>
        </w:rPr>
        <w:footnoteRef/>
      </w:r>
      <w:r>
        <w:t xml:space="preserve"> </w:t>
      </w:r>
      <w:r>
        <w:t xml:space="preserve">“</w:t>
      </w:r>
      <w:hyperlink r:id="rId106">
        <w:r>
          <w:rPr>
            <w:rStyle w:val="Hyperlink"/>
          </w:rPr>
          <w:t xml:space="preserve">A new Medicare: Strengthening general practice</w:t>
        </w:r>
      </w:hyperlink>
      <w:r>
        <w:t xml:space="preserve">”</w:t>
      </w:r>
      <w:r>
        <w:t xml:space="preserve"> </w:t>
      </w:r>
      <w:r>
        <w:t xml:space="preserve">Breadon, P., Romanes, D., Fox, L., Bolton, J., and Richardson, L. Grattan Institute,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7" Target="media/rId107.png" /><Relationship Type="http://schemas.openxmlformats.org/officeDocument/2006/relationships/image" Id="rId121" Target="media/rId121.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8" Target="media/rId98.png" /><Relationship Type="http://schemas.openxmlformats.org/officeDocument/2006/relationships/hyperlink" Id="rId119" Target="https://bestpracticesoftware.com/" TargetMode="External" /><Relationship Type="http://schemas.openxmlformats.org/officeDocument/2006/relationships/hyperlink" Id="rId104"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77"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106"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9"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8" Target="https://www.pencs.com.au/" TargetMode="External" /><Relationship Type="http://schemas.openxmlformats.org/officeDocument/2006/relationships/hyperlink" Id="rId74"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20"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1"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119" Target="https://bestpracticesoftware.com/" TargetMode="External" /><Relationship Type="http://schemas.openxmlformats.org/officeDocument/2006/relationships/hyperlink" Id="rId104"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77"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106"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9"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8" Target="https://www.pencs.com.au/" TargetMode="External" /><Relationship Type="http://schemas.openxmlformats.org/officeDocument/2006/relationships/hyperlink" Id="rId74"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20"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1"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2025-06-09T14:59:13Z</dcterms:created>
  <dcterms:modified xsi:type="dcterms:W3CDTF">2025-06-09T14:59:13Z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2025-05-29</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mmary">
    <vt:lpwstr>Are Mental Health Treatment Plans - and the billing of them - a good indicator of patient need for mental health services?</vt:lpwstr>
  </property>
  <property fmtid="{D5CDD505-2E9C-101B-9397-08002B2CF9AE}" pid="12" name="tbl-cap-location">
    <vt:lpwstr>bottom</vt:lpwstr>
  </property>
  <property fmtid="{D5CDD505-2E9C-101B-9397-08002B2CF9AE}" pid="13" name="toc-title">
    <vt:lpwstr>Table of contents</vt:lpwstr>
  </property>
</Properties>
</file>