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AAAAAAAAAAAAAAAAAA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ass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2222222222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as,  #asas CP. 22222 COLas, assa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AAAAAAAAAAAAAAAAAA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ass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2222222222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as,  #asas CP. 22222 COLas, assa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El fer Vásquez Vásquez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CAPACITADOR ZONA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El fer Vásquez Vásquez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CAPACITADOR ZONA 2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