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525"/>
      </w:tblGrid>
      <w:tr>
        <w:trPr>
          <w:tblHeader w:val="true"/>
        </w:trPr>
        <w:tc>
          <w:tcPr>
            <w:tcW w:type="dxa" w:w="9354"/>
            <w:shd w:fill="1F4E79"/>
            <w:tcBorders>
              <w:left w:val="single" w:sz="4" w:color="1F4E79"/>
              <w:top w:val="single" w:sz="4" w:color="1F4E79"/>
              <w:right w:val="single" w:sz="4" w:color="1F4E79"/>
              <w:bottom w:val="single" w:sz="4" w:color="1F4E79"/>
            </w:tcBorders>
          </w:tcPr>
          <w:p>
            <w:pPr>
              <w:jc w:val="center"/>
            </w:pPr>
            <w:r>
              <w:rPr>
                <w:rFonts w:ascii="Calibri" w:hAnsi="Calibri"/>
                <w:b/>
                <w:color w:val="FFFFFF"/>
                <w:sz w:val="36"/>
              </w:rPr>
              <w:t>DOCUMENTO MAESTRO</w:t>
            </w:r>
          </w:p>
        </w:tc>
      </w:tr>
    </w:tbl>
    <w:p/>
    <w:p>
      <w:pPr>
        <w:pStyle w:val="Title"/>
        <w:jc w:val="center"/>
      </w:pPr>
      <w:r>
        <w:t>ERP DE GESTIÓN DE SINIESTROS DEL HOGAR</w:t>
      </w:r>
    </w:p>
    <w:p>
      <w:pPr>
        <w:pStyle w:val="Subtitle"/>
        <w:jc w:val="center"/>
      </w:pPr>
      <w:r>
        <w:t>Arquitectura funcional, módulos, flujos de trabajo, lógica de negocio y guía de desarrollo asistido por IA</w:t>
      </w:r>
    </w:p>
    <w:p>
      <w:pPr>
        <w:jc w:val="center"/>
      </w:pPr>
      <w:r>
        <w:rPr>
          <w:rFonts w:ascii="Calibri" w:hAnsi="Calibri"/>
          <w:color w:val="4E5B61"/>
          <w:sz w:val="22"/>
        </w:rPr>
        <w:t>Versión consolidada basada en requerimientos de stakeholders, operativa de tramitación y criterios de diseño ERP.</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2381"/>
            <w:vAlign w:val="center"/>
            <w:tcBorders>
              <w:left w:val="single" w:sz="6" w:color="D9E2F1"/>
              <w:top w:val="single" w:sz="6" w:color="D9E2F1"/>
              <w:right w:val="single" w:sz="6" w:color="D9E2F1"/>
              <w:bottom w:val="single" w:sz="6" w:color="D9E2F1"/>
            </w:tcBorders>
            <w:shd w:fill="DCE6F2"/>
          </w:tcPr>
          <w:p>
            <w:r>
              <w:rPr>
                <w:rFonts w:ascii="Calibri" w:hAnsi="Calibri"/>
                <w:b/>
                <w:color w:val="18354A"/>
                <w:sz w:val="21"/>
              </w:rPr>
              <w:t>Propósito</w:t>
            </w:r>
          </w:p>
        </w:tc>
        <w:tc>
          <w:tcPr>
            <w:tcW w:type="dxa" w:w="6690"/>
            <w:vAlign w:val="center"/>
            <w:tcBorders>
              <w:left w:val="single" w:sz="6" w:color="D9E2F1"/>
              <w:top w:val="single" w:sz="6" w:color="D9E2F1"/>
              <w:right w:val="single" w:sz="6" w:color="D9E2F1"/>
              <w:bottom w:val="single" w:sz="6" w:color="D9E2F1"/>
            </w:tcBorders>
          </w:tcPr>
          <w:p>
            <w:r>
              <w:rPr>
                <w:rFonts w:ascii="Calibri" w:hAnsi="Calibri"/>
                <w:sz w:val="20"/>
              </w:rPr>
              <w:t>Servir como documento fuente único para que un agente de IA, un arquitecto de software o un equipo técnico puedan diseñar, construir e iterar un ERP robusto de siniestros.</w:t>
            </w:r>
          </w:p>
        </w:tc>
      </w:tr>
      <w:tr>
        <w:tc>
          <w:tcPr>
            <w:tcW w:type="dxa" w:w="2381"/>
            <w:vAlign w:val="center"/>
            <w:tcBorders>
              <w:left w:val="single" w:sz="6" w:color="D9E2F1"/>
              <w:top w:val="single" w:sz="6" w:color="D9E2F1"/>
              <w:right w:val="single" w:sz="6" w:color="D9E2F1"/>
              <w:bottom w:val="single" w:sz="6" w:color="D9E2F1"/>
            </w:tcBorders>
            <w:shd w:fill="DCE6F2"/>
          </w:tcPr>
          <w:p>
            <w:r>
              <w:rPr>
                <w:rFonts w:ascii="Calibri" w:hAnsi="Calibri"/>
                <w:b/>
                <w:color w:val="18354A"/>
                <w:sz w:val="21"/>
              </w:rPr>
              <w:t>Cobertura</w:t>
            </w:r>
          </w:p>
        </w:tc>
        <w:tc>
          <w:tcPr>
            <w:tcW w:type="dxa" w:w="6690"/>
            <w:vAlign w:val="center"/>
            <w:tcBorders>
              <w:left w:val="single" w:sz="6" w:color="D9E2F1"/>
              <w:top w:val="single" w:sz="6" w:color="D9E2F1"/>
              <w:right w:val="single" w:sz="6" w:color="D9E2F1"/>
              <w:bottom w:val="single" w:sz="6" w:color="D9E2F1"/>
            </w:tcBorders>
          </w:tcPr>
          <w:p>
            <w:r>
              <w:rPr>
                <w:rFonts w:ascii="Calibri" w:hAnsi="Calibri"/>
                <w:sz w:val="20"/>
              </w:rPr>
              <w:t>6 módulos core + 3 módulos satélite, flujo end-to-end del expediente, modelo de estados, eventos, integraciones, seguridad, datos y roadmap de implantación.</w:t>
            </w:r>
          </w:p>
        </w:tc>
      </w:tr>
    </w:tbl>
    <w:p/>
    <w:p>
      <w:pPr>
        <w:pStyle w:val="Small"/>
        <w:jc w:val="center"/>
      </w:pPr>
      <w:r>
        <w:t>Preparado para servir de base a especificaciones técnicas, diseño UX/UI, arquitectura backend, automatización, BI e implementación por fases.</w:t>
      </w:r>
    </w:p>
    <w:p>
      <w:r>
        <w:br w:type="page"/>
      </w:r>
    </w:p>
    <w:p>
      <w:pPr>
        <w:pStyle w:val="Heading1"/>
      </w:pPr>
      <w:r>
        <w:t>1. Propósito del documento y objetivo del producto</w:t>
      </w:r>
    </w:p>
    <w:p>
      <w:pPr>
        <w:spacing w:after="120" w:line="276" w:lineRule="auto"/>
      </w:pPr>
      <w:r>
        <w:rPr>
          <w:rFonts w:ascii="Calibri" w:hAnsi="Calibri"/>
          <w:sz w:val="21"/>
        </w:rPr>
        <w:t>Este documento unifica en una única especificación operativa y técnica los requerimientos funcionales, la lógica de negocio, la arquitectura de integración y los flujos de trabajo de un ERP de gestión de siniestros del hogar. Su finalidad es convertir el conocimiento disperso de stakeholders, procesos de tramitación, operación de campo y control financiero en una fuente de verdad única.</w:t>
      </w:r>
    </w:p>
    <w:p>
      <w:pPr>
        <w:spacing w:after="120" w:line="276" w:lineRule="auto"/>
      </w:pPr>
      <w:r>
        <w:rPr>
          <w:rFonts w:ascii="Calibri" w:hAnsi="Calibri"/>
          <w:sz w:val="21"/>
        </w:rPr>
        <w:t>El sistema debe ser capaz de gestionar el ciclo de vida completo de un expediente de aseguradora, un encargo B2B o una intervención B2C directa, desde la recepción automatizada hasta la facturación, el seguimiento del cobro y la analítica de rentabilidad.</w:t>
      </w:r>
    </w:p>
    <w:p>
      <w:pPr>
        <w:spacing w:after="120" w:line="276" w:lineRule="auto"/>
      </w:pPr>
      <w:r>
        <w:rPr>
          <w:rFonts w:ascii="Calibri" w:hAnsi="Calibri"/>
          <w:sz w:val="21"/>
        </w:rPr>
        <w:t>La redacción se ha orientado para que sea comprensible por perfiles de negocio y, al mismo tiempo, lo bastante estructurada como para servir como input a agentes de IA, equipos de producto, arquitectos de software, desarrolladores full stack, analistas de datos y responsables de operaciones.</w:t>
      </w:r>
    </w:p>
    <w:tbl>
      <w:tblPr>
        <w:tblW w:type="auto" w:w="0"/>
        <w:jc w:val="center"/>
        <w:tblLayout w:type="fixed"/>
        <w:tblLook w:firstColumn="1" w:firstRow="1" w:lastColumn="0" w:lastRow="0" w:noHBand="0" w:noVBand="1" w:val="04A0"/>
      </w:tblPr>
      <w:tblGrid>
        <w:gridCol w:w="9525"/>
      </w:tblGrid>
      <w:tr>
        <w:trPr>
          <w:tblHeader w:val="true"/>
        </w:trPr>
        <w:tc>
          <w:tcPr>
            <w:tcW w:type="dxa" w:w="9524"/>
            <w:shd w:fill="1F4E79"/>
            <w:tcBorders>
              <w:left w:val="single" w:sz="4" w:color="1F4E79"/>
              <w:top w:val="single" w:sz="4" w:color="1F4E79"/>
              <w:right w:val="single" w:sz="4" w:color="1F4E79"/>
              <w:bottom w:val="single" w:sz="4" w:color="1F4E79"/>
            </w:tcBorders>
          </w:tcPr>
          <w:p>
            <w:r>
              <w:rPr>
                <w:rFonts w:ascii="Calibri" w:hAnsi="Calibri"/>
                <w:b/>
                <w:color w:val="FFFFFF"/>
                <w:sz w:val="21"/>
              </w:rPr>
              <w:t>Resultado esperado</w:t>
            </w:r>
          </w:p>
        </w:tc>
      </w:tr>
      <w:tr>
        <w:tc>
          <w:tcPr>
            <w:tcW w:type="dxa" w:w="9524"/>
            <w:shd w:fill="EEF4FB"/>
            <w:tcBorders>
              <w:left w:val="single" w:sz="4" w:color="AFC3DF"/>
              <w:top w:val="single" w:sz="4" w:color="AFC3DF"/>
              <w:right w:val="single" w:sz="4" w:color="AFC3DF"/>
              <w:bottom w:val="single" w:sz="4" w:color="AFC3DF"/>
            </w:tcBorders>
          </w:tcPr>
          <w:p>
            <w:r>
              <w:rPr>
                <w:rFonts w:ascii="Calibri" w:hAnsi="Calibri"/>
                <w:sz w:val="20"/>
              </w:rPr>
              <w:t>Construir un ERP reactivo, event-driven y orientado a bandejas operativas, que elimine reintroducción manual de datos, reduzca fricciones de tramitación, acelere SLA, mejore la experiencia de asegurados y clientes, y maximice la rentabilidad por expediente.</w:t>
            </w:r>
          </w:p>
        </w:tc>
      </w:tr>
    </w:tbl>
    <w:p/>
    <w:p>
      <w:pPr>
        <w:pStyle w:val="Heading1"/>
      </w:pPr>
      <w:r>
        <w:t>2. Principios rectores del ERP</w:t>
      </w:r>
    </w:p>
    <w:p>
      <w:pPr>
        <w:spacing w:after="60" w:line="264" w:lineRule="auto"/>
        <w:ind w:left="283" w:hanging="170"/>
      </w:pPr>
      <w:r>
        <w:rPr>
          <w:rFonts w:ascii="Calibri" w:hAnsi="Calibri"/>
          <w:b/>
          <w:color w:val="1F4E79"/>
          <w:sz w:val="21"/>
        </w:rPr>
        <w:t xml:space="preserve">• </w:t>
      </w:r>
      <w:r>
        <w:rPr>
          <w:rFonts w:ascii="Calibri" w:hAnsi="Calibri"/>
          <w:sz w:val="21"/>
        </w:rPr>
        <w:t>Zero Data Entry: los encargos deben entrar automáticamente al sistema mediante integraciones, correo procesado, APIs o formularios estructurados, minimizando la carga manual.</w:t>
      </w:r>
    </w:p>
    <w:p>
      <w:pPr>
        <w:spacing w:after="60" w:line="264" w:lineRule="auto"/>
        <w:ind w:left="283" w:hanging="170"/>
      </w:pPr>
      <w:r>
        <w:rPr>
          <w:rFonts w:ascii="Calibri" w:hAnsi="Calibri"/>
          <w:b/>
          <w:color w:val="1F4E79"/>
          <w:sz w:val="21"/>
        </w:rPr>
        <w:t xml:space="preserve">• </w:t>
      </w:r>
      <w:r>
        <w:rPr>
          <w:rFonts w:ascii="Calibri" w:hAnsi="Calibri"/>
          <w:sz w:val="21"/>
        </w:rPr>
        <w:t>Inbox Zero Operativo: el usuario no debe buscar el trabajo; el sistema debe presentarlo en bandejas, alertas y paneles reactivos según prioridad, estado y excepción.</w:t>
      </w:r>
    </w:p>
    <w:p>
      <w:pPr>
        <w:spacing w:after="60" w:line="264" w:lineRule="auto"/>
        <w:ind w:left="283" w:hanging="170"/>
      </w:pPr>
      <w:r>
        <w:rPr>
          <w:rFonts w:ascii="Calibri" w:hAnsi="Calibri"/>
          <w:b/>
          <w:color w:val="1F4E79"/>
          <w:sz w:val="21"/>
        </w:rPr>
        <w:t xml:space="preserve">• </w:t>
      </w:r>
      <w:r>
        <w:rPr>
          <w:rFonts w:ascii="Calibri" w:hAnsi="Calibri"/>
          <w:sz w:val="21"/>
        </w:rPr>
        <w:t>Event-Driven Architecture: las acciones relevantes deben disparar eventos de dominio que conecten módulos sin acoplamiento excesivo.</w:t>
      </w:r>
    </w:p>
    <w:p>
      <w:pPr>
        <w:spacing w:after="60" w:line="264" w:lineRule="auto"/>
        <w:ind w:left="283" w:hanging="170"/>
      </w:pPr>
      <w:r>
        <w:rPr>
          <w:rFonts w:ascii="Calibri" w:hAnsi="Calibri"/>
          <w:b/>
          <w:color w:val="1F4E79"/>
          <w:sz w:val="21"/>
        </w:rPr>
        <w:t xml:space="preserve">• </w:t>
      </w:r>
      <w:r>
        <w:rPr>
          <w:rFonts w:ascii="Calibri" w:hAnsi="Calibri"/>
          <w:sz w:val="21"/>
        </w:rPr>
        <w:t>State Machine del expediente: el expediente es la entidad central y su estado gobierna qué acciones son válidas, qué bandejas lo muestran y qué automatismos se activan.</w:t>
      </w:r>
    </w:p>
    <w:p>
      <w:pPr>
        <w:spacing w:after="60" w:line="264" w:lineRule="auto"/>
        <w:ind w:left="283" w:hanging="170"/>
      </w:pPr>
      <w:r>
        <w:rPr>
          <w:rFonts w:ascii="Calibri" w:hAnsi="Calibri"/>
          <w:b/>
          <w:color w:val="1F4E79"/>
          <w:sz w:val="21"/>
        </w:rPr>
        <w:t xml:space="preserve">• </w:t>
      </w:r>
      <w:r>
        <w:rPr>
          <w:rFonts w:ascii="Calibri" w:hAnsi="Calibri"/>
          <w:sz w:val="21"/>
        </w:rPr>
        <w:t>Tiempo real y sincronización bidireccional: la oficina, el operario, el proveedor, el perito y el asegurado deben ver cambios consistentes con latencia mínima.</w:t>
      </w:r>
    </w:p>
    <w:p>
      <w:pPr>
        <w:spacing w:after="60" w:line="264" w:lineRule="auto"/>
        <w:ind w:left="283" w:hanging="170"/>
      </w:pPr>
      <w:r>
        <w:rPr>
          <w:rFonts w:ascii="Calibri" w:hAnsi="Calibri"/>
          <w:b/>
          <w:color w:val="1F4E79"/>
          <w:sz w:val="21"/>
        </w:rPr>
        <w:t xml:space="preserve">• </w:t>
      </w:r>
      <w:r>
        <w:rPr>
          <w:rFonts w:ascii="Calibri" w:hAnsi="Calibri"/>
          <w:sz w:val="21"/>
        </w:rPr>
        <w:t>Offline-First en movilidad: la captura en campo no puede depender al 100 % de la cobertura.</w:t>
      </w:r>
    </w:p>
    <w:p>
      <w:pPr>
        <w:spacing w:after="60" w:line="264" w:lineRule="auto"/>
        <w:ind w:left="283" w:hanging="170"/>
      </w:pPr>
      <w:r>
        <w:rPr>
          <w:rFonts w:ascii="Calibri" w:hAnsi="Calibri"/>
          <w:b/>
          <w:color w:val="1F4E79"/>
          <w:sz w:val="21"/>
        </w:rPr>
        <w:t xml:space="preserve">• </w:t>
      </w:r>
      <w:r>
        <w:rPr>
          <w:rFonts w:ascii="Calibri" w:hAnsi="Calibri"/>
          <w:sz w:val="21"/>
        </w:rPr>
        <w:t>Trazabilidad total: todo evento, comunicación, cambio de estado, documento, evidencia, cita, pedido, presupuesto y factura debe quedar auditado.</w:t>
      </w:r>
    </w:p>
    <w:p>
      <w:pPr>
        <w:spacing w:after="60" w:line="264" w:lineRule="auto"/>
        <w:ind w:left="283" w:hanging="170"/>
      </w:pPr>
      <w:r>
        <w:rPr>
          <w:rFonts w:ascii="Calibri" w:hAnsi="Calibri"/>
          <w:b/>
          <w:color w:val="1F4E79"/>
          <w:sz w:val="21"/>
        </w:rPr>
        <w:t xml:space="preserve">• </w:t>
      </w:r>
      <w:r>
        <w:rPr>
          <w:rFonts w:ascii="Calibri" w:hAnsi="Calibri"/>
          <w:sz w:val="21"/>
        </w:rPr>
        <w:t>Control de fugas de capital: ningún trabajo finalizado debe quedar sin presupuesto, sin factura o sin seguimiento de cobro.</w:t>
      </w:r>
    </w:p>
    <w:p>
      <w:pPr>
        <w:spacing w:after="60" w:line="264" w:lineRule="auto"/>
        <w:ind w:left="283" w:hanging="170"/>
      </w:pPr>
      <w:r>
        <w:rPr>
          <w:rFonts w:ascii="Calibri" w:hAnsi="Calibri"/>
          <w:b/>
          <w:color w:val="1F4E79"/>
          <w:sz w:val="21"/>
        </w:rPr>
        <w:t xml:space="preserve">• </w:t>
      </w:r>
      <w:r>
        <w:rPr>
          <w:rFonts w:ascii="Calibri" w:hAnsi="Calibri"/>
          <w:sz w:val="21"/>
        </w:rPr>
        <w:t>Whitelabel documental y omnicanalidad: el sistema debe adaptarse a protocolos y branding de distintas aseguradoras y clientes corporativos.</w:t>
      </w:r>
    </w:p>
    <w:p>
      <w:pPr>
        <w:spacing w:after="60" w:line="264" w:lineRule="auto"/>
        <w:ind w:left="283" w:hanging="170"/>
      </w:pPr>
      <w:r>
        <w:rPr>
          <w:rFonts w:ascii="Calibri" w:hAnsi="Calibri"/>
          <w:b/>
          <w:color w:val="1F4E79"/>
          <w:sz w:val="21"/>
        </w:rPr>
        <w:t xml:space="preserve">• </w:t>
      </w:r>
      <w:r>
        <w:rPr>
          <w:rFonts w:ascii="Calibri" w:hAnsi="Calibri"/>
          <w:sz w:val="21"/>
        </w:rPr>
        <w:t>Escalabilidad empresarial: la solución debe poder soportar crecimiento en volumen de expedientes, red de operarios, clientes, proveedores y capas analíticas.</w:t>
      </w:r>
    </w:p>
    <w:p>
      <w:pPr>
        <w:pStyle w:val="Heading1"/>
      </w:pPr>
      <w:r>
        <w:t>3. Actores del sistema</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01"/>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Actor</w:t>
            </w:r>
          </w:p>
        </w:tc>
        <w:tc>
          <w:tcPr>
            <w:tcW w:type="dxa" w:w="2268"/>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Rol principal</w:t>
            </w:r>
          </w:p>
        </w:tc>
        <w:tc>
          <w:tcPr>
            <w:tcW w:type="dxa" w:w="5102"/>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Interacciones críticas</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Tramitador/a</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Gestiona el expediente desde oficina</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Recepción, planificación, seguimiento, excepciones, presupuesto y facturación</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Operario/a</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Ejecuta la visita en campo</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Consulta agenda, reporta evidencias, firma del cliente, liquidación y presupuesto in situ</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Aseguradora / Cliente B2B</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Origen o pagador del encargo</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Asignación, comunicaciones, SLA, aprobación, recepción de factura</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Cliente B2C / Asegurado</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Receptor del servicio</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Disponibilidad, confirmación de cita, conformidad y valoración</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Proveedor</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Suministro de materiales</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Recepción de pedidos, confirmación de disponibilidad y cumplimiento de plazos</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Perito</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Auditor técnico externo</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Revisión de evidencias, instrucciones periciales y desbloqueo de expedientes</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Administración / Finanzas</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Control económico</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Validación, exportación contable, cobros, pagos y autofacturación</w:t>
            </w:r>
          </w:p>
        </w:tc>
      </w:tr>
      <w:tr>
        <w:tc>
          <w:tcPr>
            <w:tcW w:type="dxa" w:w="1701"/>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Dirección / Gerencia</w:t>
            </w:r>
          </w:p>
        </w:tc>
        <w:tc>
          <w:tcPr>
            <w:tcW w:type="dxa" w:w="2268"/>
            <w:vAlign w:val="center"/>
            <w:tcBorders>
              <w:left w:val="single" w:sz="6" w:color="B7C6D9"/>
              <w:top w:val="single" w:sz="6" w:color="B7C6D9"/>
              <w:right w:val="single" w:sz="6" w:color="B7C6D9"/>
              <w:bottom w:val="single" w:sz="6" w:color="B7C6D9"/>
            </w:tcBorders>
          </w:tcPr>
          <w:p>
            <w:pPr>
              <w:jc w:val="left"/>
            </w:pPr>
            <w:r>
              <w:rPr>
                <w:rFonts w:ascii="Calibri" w:hAnsi="Calibri"/>
                <w:sz w:val="18"/>
              </w:rPr>
              <w:t>Visión analítica y estratégica</w:t>
            </w:r>
          </w:p>
        </w:tc>
        <w:tc>
          <w:tcPr>
            <w:tcW w:type="dxa" w:w="5102"/>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Rentabilidad, productividad, cargas, SLA y cuadros de mando</w:t>
            </w:r>
          </w:p>
        </w:tc>
      </w:tr>
    </w:tbl>
    <w:p/>
    <w:p>
      <w:pPr>
        <w:pStyle w:val="Heading1"/>
      </w:pPr>
      <w:r>
        <w:t>4. Cobertura funcional: 6 módulos core + 3 módulos satélite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324"/>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Módulo</w:t>
            </w:r>
          </w:p>
        </w:tc>
        <w:tc>
          <w:tcPr>
            <w:tcW w:type="dxa" w:w="2948"/>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Objetivo</w:t>
            </w:r>
          </w:p>
        </w:tc>
        <w:tc>
          <w:tcPr>
            <w:tcW w:type="dxa" w:w="3685"/>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Entidades y salidas clave</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1. Expedientes y comunicaciones</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Recepcionar, normalizar y centralizar el expediente y toda su comunicación</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 asegurado, póliza, seguimiento, bandeja de asignaciones, omnicanalidad</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2. Red de operarios y planificador</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Asignar recursos y concertar citas optimizando capacidad y SLA</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Operarios, agendas, citas, disponibilidad, informes caducados</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3. Movilidad y ejecución en campo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Capturar el trabajo real y las evidencias en el domicilio</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Parte digital, fotos, firma, multimedia, PDF, documentos</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4. Facturación y tesorería</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Convertir la ejecución en ingreso y vigilar el cobro</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Presupuestos, conceptos, facturas, pendientes de facturar, facturas caducadas</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5. Logística y proveedores</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Evitar paradas por falta de material o incumplimientos logísticos</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Pedidos, materiales, deadlines, pedidos a recoger, pedidos caducados</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6. Cuadro de gerencia y BI</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Transformar operación transaccional en visión analítica y financiera</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KPIs, rentabilidad, carga de trabajo, exportaciones, autofacturación</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7. Portal de peritos</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Canalizar validación técnica externa</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Instrucciones periciales, evidencias, desbloqueos</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8. Task manager interno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Gestionar recordatorios, tickets internos y productividad administrativa</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Tareas, bocadillos, posposiciones, SLA interno</w:t>
            </w:r>
          </w:p>
        </w:tc>
      </w:tr>
      <w:tr>
        <w:tc>
          <w:tcPr>
            <w:tcW w:type="dxa" w:w="2324"/>
            <w:vAlign w:val="center"/>
            <w:tcBorders>
              <w:left w:val="single" w:sz="6" w:color="B7C6D9"/>
              <w:top w:val="single" w:sz="6" w:color="B7C6D9"/>
              <w:right w:val="single" w:sz="6" w:color="B7C6D9"/>
              <w:bottom w:val="single" w:sz="6" w:color="B7C6D9"/>
            </w:tcBorders>
          </w:tcPr>
          <w:p>
            <w:pPr>
              <w:jc w:val="left"/>
            </w:pPr>
            <w:r>
              <w:rPr>
                <w:rFonts w:ascii="Calibri" w:hAnsi="Calibri"/>
                <w:sz w:val="18"/>
              </w:rPr>
              <w:t>9. Customer tracking</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Dar visibilidad al asegurado y reducir llamadas entrantes</w:t>
            </w:r>
          </w:p>
        </w:tc>
        <w:tc>
          <w:tcPr>
            <w:tcW w:type="dxa" w:w="3685"/>
            <w:vAlign w:val="center"/>
            <w:tcBorders>
              <w:left w:val="single" w:sz="6" w:color="B7C6D9"/>
              <w:top w:val="single" w:sz="6" w:color="B7C6D9"/>
              <w:right w:val="single" w:sz="6" w:color="B7C6D9"/>
              <w:bottom w:val="single" w:sz="6" w:color="B7C6D9"/>
            </w:tcBorders>
          </w:tcPr>
          <w:p>
            <w:pPr>
              <w:jc w:val="left"/>
            </w:pPr>
            <w:r>
              <w:rPr>
                <w:rFonts w:ascii="Calibri" w:hAnsi="Calibri"/>
                <w:sz w:val="18"/>
              </w:rPr>
              <w:t>Timeline B2C, confirmación de cita, cambio de hora, NPS</w:t>
            </w:r>
          </w:p>
        </w:tc>
      </w:tr>
    </w:tbl>
    <w:p/>
    <w:p>
      <w:pPr>
        <w:pStyle w:val="Heading1"/>
      </w:pPr>
      <w:r>
        <w:t>5. Flujo maestro end-to-end del expediente</w:t>
      </w:r>
    </w:p>
    <w:p>
      <w:pPr>
        <w:pStyle w:val="Heading2"/>
      </w:pPr>
      <w:r>
        <w:t>5.1 Ingesta y alta del encargo</w:t>
      </w:r>
    </w:p>
    <w:p>
      <w:pPr>
        <w:spacing w:after="120" w:line="276" w:lineRule="auto"/>
      </w:pPr>
      <w:r>
        <w:rPr>
          <w:rFonts w:ascii="Calibri" w:hAnsi="Calibri"/>
          <w:sz w:val="21"/>
        </w:rPr>
        <w:t>El expediente puede entrar desde una aseguradora, un cliente corporativo, un cliente particular o un canal digital. El sistema debe capturar el encargo sin depender de una reintroducción manual y crear un registro estructurado en la bandeja de asignaciones nuevas.</w:t>
      </w:r>
    </w:p>
    <w:p>
      <w:pPr>
        <w:spacing w:after="60" w:line="264" w:lineRule="auto"/>
        <w:ind w:left="283" w:hanging="170"/>
      </w:pPr>
      <w:r>
        <w:rPr>
          <w:rFonts w:ascii="Calibri" w:hAnsi="Calibri"/>
          <w:b/>
          <w:color w:val="1F4E79"/>
          <w:sz w:val="21"/>
        </w:rPr>
        <w:t xml:space="preserve">• </w:t>
      </w:r>
      <w:r>
        <w:rPr>
          <w:rFonts w:ascii="Calibri" w:hAnsi="Calibri"/>
          <w:sz w:val="21"/>
        </w:rPr>
        <w:t>Recepción por webhook, API, correo monitorizado, formulario web o integración con terceros.</w:t>
      </w:r>
    </w:p>
    <w:p>
      <w:pPr>
        <w:spacing w:after="60" w:line="264" w:lineRule="auto"/>
        <w:ind w:left="283" w:hanging="170"/>
      </w:pPr>
      <w:r>
        <w:rPr>
          <w:rFonts w:ascii="Calibri" w:hAnsi="Calibri"/>
          <w:b/>
          <w:color w:val="1F4E79"/>
          <w:sz w:val="21"/>
        </w:rPr>
        <w:t xml:space="preserve">• </w:t>
      </w:r>
      <w:r>
        <w:rPr>
          <w:rFonts w:ascii="Calibri" w:hAnsi="Calibri"/>
          <w:sz w:val="21"/>
        </w:rPr>
        <w:t>Parsing y normalización de datos: referencia, póliza, siniestro, NIF/DNI, teléfonos, dirección, cliente, tipo de servicio, prioridad, notas iniciales y ficheros adjuntos.</w:t>
      </w:r>
    </w:p>
    <w:p>
      <w:pPr>
        <w:spacing w:after="60" w:line="264" w:lineRule="auto"/>
        <w:ind w:left="283" w:hanging="170"/>
      </w:pPr>
      <w:r>
        <w:rPr>
          <w:rFonts w:ascii="Calibri" w:hAnsi="Calibri"/>
          <w:b/>
          <w:color w:val="1F4E79"/>
          <w:sz w:val="21"/>
        </w:rPr>
        <w:t xml:space="preserve">• </w:t>
      </w:r>
      <w:r>
        <w:rPr>
          <w:rFonts w:ascii="Calibri" w:hAnsi="Calibri"/>
          <w:sz w:val="21"/>
        </w:rPr>
        <w:t>Validación de duplicados, expedientes relacionados y coincidencias por póliza, teléfono, dirección o referencia externa.</w:t>
      </w:r>
    </w:p>
    <w:p>
      <w:pPr>
        <w:spacing w:after="60" w:line="264" w:lineRule="auto"/>
        <w:ind w:left="283" w:hanging="170"/>
      </w:pPr>
      <w:r>
        <w:rPr>
          <w:rFonts w:ascii="Calibri" w:hAnsi="Calibri"/>
          <w:b/>
          <w:color w:val="1F4E79"/>
          <w:sz w:val="21"/>
        </w:rPr>
        <w:t xml:space="preserve">• </w:t>
      </w:r>
      <w:r>
        <w:rPr>
          <w:rFonts w:ascii="Calibri" w:hAnsi="Calibri"/>
          <w:sz w:val="21"/>
        </w:rPr>
        <w:t>Corrección rápida por edición inline de los campos atómicos detectados con error.</w:t>
      </w:r>
    </w:p>
    <w:p>
      <w:pPr>
        <w:spacing w:after="60" w:line="264" w:lineRule="auto"/>
        <w:ind w:left="283" w:hanging="170"/>
      </w:pPr>
      <w:r>
        <w:rPr>
          <w:rFonts w:ascii="Calibri" w:hAnsi="Calibri"/>
          <w:b/>
          <w:color w:val="1F4E79"/>
          <w:sz w:val="21"/>
        </w:rPr>
        <w:t xml:space="preserve">• </w:t>
      </w:r>
      <w:r>
        <w:rPr>
          <w:rFonts w:ascii="Calibri" w:hAnsi="Calibri"/>
          <w:sz w:val="21"/>
        </w:rPr>
        <w:t>Creación automática del timeline inicial y de los primeros indicadores SLA.</w:t>
      </w:r>
    </w:p>
    <w:p>
      <w:pPr>
        <w:pStyle w:val="Heading2"/>
      </w:pPr>
      <w:r>
        <w:t>5.2 Primer contacto, planificación y asignación</w:t>
      </w:r>
    </w:p>
    <w:p>
      <w:pPr>
        <w:spacing w:after="120" w:line="276" w:lineRule="auto"/>
      </w:pPr>
      <w:r>
        <w:rPr>
          <w:rFonts w:ascii="Calibri" w:hAnsi="Calibri"/>
          <w:sz w:val="21"/>
        </w:rPr>
        <w:t>El tramitador accede al expediente, mantiene el contexto visible y planifica la cita desde un plan interactivo. La agenda no es un calendario plano: debe cruzar gremio, operario, cargas, franjas, zonas y disponibilidad real.</w:t>
      </w:r>
    </w:p>
    <w:p>
      <w:pPr>
        <w:spacing w:after="60" w:line="264" w:lineRule="auto"/>
        <w:ind w:left="283" w:hanging="170"/>
      </w:pPr>
      <w:r>
        <w:rPr>
          <w:rFonts w:ascii="Calibri" w:hAnsi="Calibri"/>
          <w:b/>
          <w:color w:val="1F4E79"/>
          <w:sz w:val="21"/>
        </w:rPr>
        <w:t xml:space="preserve">• </w:t>
      </w:r>
      <w:r>
        <w:rPr>
          <w:rFonts w:ascii="Calibri" w:hAnsi="Calibri"/>
          <w:sz w:val="21"/>
        </w:rPr>
        <w:t>Selección de especialidad o gremio requerido.</w:t>
      </w:r>
    </w:p>
    <w:p>
      <w:pPr>
        <w:spacing w:after="60" w:line="264" w:lineRule="auto"/>
        <w:ind w:left="283" w:hanging="170"/>
      </w:pPr>
      <w:r>
        <w:rPr>
          <w:rFonts w:ascii="Calibri" w:hAnsi="Calibri"/>
          <w:b/>
          <w:color w:val="1F4E79"/>
          <w:sz w:val="21"/>
        </w:rPr>
        <w:t xml:space="preserve">• </w:t>
      </w:r>
      <w:r>
        <w:rPr>
          <w:rFonts w:ascii="Calibri" w:hAnsi="Calibri"/>
          <w:sz w:val="21"/>
        </w:rPr>
        <w:t>Consulta de capacidad semanal por operario y visualización de huecos libres.</w:t>
      </w:r>
    </w:p>
    <w:p>
      <w:pPr>
        <w:spacing w:after="60" w:line="264" w:lineRule="auto"/>
        <w:ind w:left="283" w:hanging="170"/>
      </w:pPr>
      <w:r>
        <w:rPr>
          <w:rFonts w:ascii="Calibri" w:hAnsi="Calibri"/>
          <w:b/>
          <w:color w:val="1F4E79"/>
          <w:sz w:val="21"/>
        </w:rPr>
        <w:t xml:space="preserve">• </w:t>
      </w:r>
      <w:r>
        <w:rPr>
          <w:rFonts w:ascii="Calibri" w:hAnsi="Calibri"/>
          <w:sz w:val="21"/>
        </w:rPr>
        <w:t>Llamada al asegurado o cliente para cerrar franja horaria.</w:t>
      </w:r>
    </w:p>
    <w:p>
      <w:pPr>
        <w:spacing w:after="60" w:line="264" w:lineRule="auto"/>
        <w:ind w:left="283" w:hanging="170"/>
      </w:pPr>
      <w:r>
        <w:rPr>
          <w:rFonts w:ascii="Calibri" w:hAnsi="Calibri"/>
          <w:b/>
          <w:color w:val="1F4E79"/>
          <w:sz w:val="21"/>
        </w:rPr>
        <w:t xml:space="preserve">• </w:t>
      </w:r>
      <w:r>
        <w:rPr>
          <w:rFonts w:ascii="Calibri" w:hAnsi="Calibri"/>
          <w:sz w:val="21"/>
        </w:rPr>
        <w:t>Creación de la cita y disparo de la notificación de primer contacto a la aseguradora cuando aplique.</w:t>
      </w:r>
    </w:p>
    <w:p>
      <w:pPr>
        <w:spacing w:after="60" w:line="264" w:lineRule="auto"/>
        <w:ind w:left="283" w:hanging="170"/>
      </w:pPr>
      <w:r>
        <w:rPr>
          <w:rFonts w:ascii="Calibri" w:hAnsi="Calibri"/>
          <w:b/>
          <w:color w:val="1F4E79"/>
          <w:sz w:val="21"/>
        </w:rPr>
        <w:t xml:space="preserve">• </w:t>
      </w:r>
      <w:r>
        <w:rPr>
          <w:rFonts w:ascii="Calibri" w:hAnsi="Calibri"/>
          <w:sz w:val="21"/>
        </w:rPr>
        <w:t>Envío del encargo al operario asignado por email, push o sincronización directa con la app móvil.</w:t>
      </w:r>
    </w:p>
    <w:p>
      <w:pPr>
        <w:spacing w:after="60" w:line="264" w:lineRule="auto"/>
        <w:ind w:left="283" w:hanging="170"/>
      </w:pPr>
      <w:r>
        <w:rPr>
          <w:rFonts w:ascii="Calibri" w:hAnsi="Calibri"/>
          <w:b/>
          <w:color w:val="1F4E79"/>
          <w:sz w:val="21"/>
        </w:rPr>
        <w:t xml:space="preserve">• </w:t>
      </w:r>
      <w:r>
        <w:rPr>
          <w:rFonts w:ascii="Calibri" w:hAnsi="Calibri"/>
          <w:sz w:val="21"/>
        </w:rPr>
        <w:t>Tipificación del daño y cambio de estado del expediente a EN_CURSO.</w:t>
      </w:r>
    </w:p>
    <w:p>
      <w:pPr>
        <w:pStyle w:val="Heading2"/>
      </w:pPr>
      <w:r>
        <w:t>5.3 Ejecución en campo y recepción instantánea</w:t>
      </w:r>
    </w:p>
    <w:p>
      <w:pPr>
        <w:spacing w:after="120" w:line="276" w:lineRule="auto"/>
      </w:pPr>
      <w:r>
        <w:rPr>
          <w:rFonts w:ascii="Calibri" w:hAnsi="Calibri"/>
          <w:sz w:val="21"/>
        </w:rPr>
        <w:t>El operario ejecuta la visita desde una web app o app móvil sincronizada con el ERP. Debe visualizar datos básicos del expediente, capturar evidencias y enviar un parte estructurado con firma del cliente.</w:t>
      </w:r>
    </w:p>
    <w:p>
      <w:pPr>
        <w:spacing w:after="60" w:line="264" w:lineRule="auto"/>
        <w:ind w:left="283" w:hanging="170"/>
      </w:pPr>
      <w:r>
        <w:rPr>
          <w:rFonts w:ascii="Calibri" w:hAnsi="Calibri"/>
          <w:b/>
          <w:color w:val="1F4E79"/>
          <w:sz w:val="21"/>
        </w:rPr>
        <w:t xml:space="preserve">• </w:t>
      </w:r>
      <w:r>
        <w:rPr>
          <w:rFonts w:ascii="Calibri" w:hAnsi="Calibri"/>
          <w:sz w:val="21"/>
        </w:rPr>
        <w:t>Consulta de datos básicos del expediente y acciones directas: llamar, abrir navegador GPS, revisar observaciones.</w:t>
      </w:r>
    </w:p>
    <w:p>
      <w:pPr>
        <w:spacing w:after="60" w:line="264" w:lineRule="auto"/>
        <w:ind w:left="283" w:hanging="170"/>
      </w:pPr>
      <w:r>
        <w:rPr>
          <w:rFonts w:ascii="Calibri" w:hAnsi="Calibri"/>
          <w:b/>
          <w:color w:val="1F4E79"/>
          <w:sz w:val="21"/>
        </w:rPr>
        <w:t xml:space="preserve">• </w:t>
      </w:r>
      <w:r>
        <w:rPr>
          <w:rFonts w:ascii="Calibri" w:hAnsi="Calibri"/>
          <w:sz w:val="21"/>
        </w:rPr>
        <w:t>Captura de fotos antes/después, audio, vídeo y notas libres.</w:t>
      </w:r>
    </w:p>
    <w:p>
      <w:pPr>
        <w:spacing w:after="60" w:line="264" w:lineRule="auto"/>
        <w:ind w:left="283" w:hanging="170"/>
      </w:pPr>
      <w:r>
        <w:rPr>
          <w:rFonts w:ascii="Calibri" w:hAnsi="Calibri"/>
          <w:b/>
          <w:color w:val="1F4E79"/>
          <w:sz w:val="21"/>
        </w:rPr>
        <w:t xml:space="preserve">• </w:t>
      </w:r>
      <w:r>
        <w:rPr>
          <w:rFonts w:ascii="Calibri" w:hAnsi="Calibri"/>
          <w:sz w:val="21"/>
        </w:rPr>
        <w:t>Redacción de trabajos realizados y trabajos pendientes.</w:t>
      </w:r>
    </w:p>
    <w:p>
      <w:pPr>
        <w:spacing w:after="60" w:line="264" w:lineRule="auto"/>
        <w:ind w:left="283" w:hanging="170"/>
      </w:pPr>
      <w:r>
        <w:rPr>
          <w:rFonts w:ascii="Calibri" w:hAnsi="Calibri"/>
          <w:b/>
          <w:color w:val="1F4E79"/>
          <w:sz w:val="21"/>
        </w:rPr>
        <w:t xml:space="preserve">• </w:t>
      </w:r>
      <w:r>
        <w:rPr>
          <w:rFonts w:ascii="Calibri" w:hAnsi="Calibri"/>
          <w:sz w:val="21"/>
        </w:rPr>
        <w:t>Marcado de visita finalizada o necesidad de nueva visita.</w:t>
      </w:r>
    </w:p>
    <w:p>
      <w:pPr>
        <w:spacing w:after="60" w:line="264" w:lineRule="auto"/>
        <w:ind w:left="283" w:hanging="170"/>
      </w:pPr>
      <w:r>
        <w:rPr>
          <w:rFonts w:ascii="Calibri" w:hAnsi="Calibri"/>
          <w:b/>
          <w:color w:val="1F4E79"/>
          <w:sz w:val="21"/>
        </w:rPr>
        <w:t xml:space="preserve">• </w:t>
      </w:r>
      <w:r>
        <w:rPr>
          <w:rFonts w:ascii="Calibri" w:hAnsi="Calibri"/>
          <w:sz w:val="21"/>
        </w:rPr>
        <w:t>Confección de presupuesto in situ según baremos cargados cuando aplique.</w:t>
      </w:r>
    </w:p>
    <w:p>
      <w:pPr>
        <w:spacing w:after="60" w:line="264" w:lineRule="auto"/>
        <w:ind w:left="283" w:hanging="170"/>
      </w:pPr>
      <w:r>
        <w:rPr>
          <w:rFonts w:ascii="Calibri" w:hAnsi="Calibri"/>
          <w:b/>
          <w:color w:val="1F4E79"/>
          <w:sz w:val="21"/>
        </w:rPr>
        <w:t xml:space="preserve">• </w:t>
      </w:r>
      <w:r>
        <w:rPr>
          <w:rFonts w:ascii="Calibri" w:hAnsi="Calibri"/>
          <w:sz w:val="21"/>
        </w:rPr>
        <w:t>Recogida de conformidad y firma manuscrita del cliente en pantalla táctil.</w:t>
      </w:r>
    </w:p>
    <w:p>
      <w:pPr>
        <w:spacing w:after="60" w:line="264" w:lineRule="auto"/>
        <w:ind w:left="283" w:hanging="170"/>
      </w:pPr>
      <w:r>
        <w:rPr>
          <w:rFonts w:ascii="Calibri" w:hAnsi="Calibri"/>
          <w:b/>
          <w:color w:val="1F4E79"/>
          <w:sz w:val="21"/>
        </w:rPr>
        <w:t xml:space="preserve">• </w:t>
      </w:r>
      <w:r>
        <w:rPr>
          <w:rFonts w:ascii="Calibri" w:hAnsi="Calibri"/>
          <w:sz w:val="21"/>
        </w:rPr>
        <w:t>Envío del parte vía API; si no hay cobertura, almacenamiento local y sincronización posterior.</w:t>
      </w:r>
    </w:p>
    <w:p>
      <w:pPr>
        <w:pStyle w:val="Heading2"/>
      </w:pPr>
      <w:r>
        <w:t>5.4 Gestión de excepciones y bloqueos</w:t>
      </w:r>
    </w:p>
    <w:p>
      <w:pPr>
        <w:spacing w:after="120" w:line="276" w:lineRule="auto"/>
      </w:pPr>
      <w:r>
        <w:rPr>
          <w:rFonts w:ascii="Calibri" w:hAnsi="Calibri"/>
          <w:sz w:val="21"/>
        </w:rPr>
        <w:t>No todos los expedientes fluyen a la primera. El ERP debe tratar las excepciones como rutas de trabajo estructuradas y no como incidencias informales.</w:t>
      </w:r>
    </w:p>
    <w:p>
      <w:pPr>
        <w:spacing w:after="60" w:line="264" w:lineRule="auto"/>
        <w:ind w:left="283" w:hanging="170"/>
      </w:pPr>
      <w:r>
        <w:rPr>
          <w:rFonts w:ascii="Calibri" w:hAnsi="Calibri"/>
          <w:b/>
          <w:color w:val="1F4E79"/>
          <w:sz w:val="21"/>
        </w:rPr>
        <w:t xml:space="preserve">• </w:t>
      </w:r>
      <w:r>
        <w:rPr>
          <w:rFonts w:ascii="Calibri" w:hAnsi="Calibri"/>
          <w:sz w:val="21"/>
        </w:rPr>
        <w:t>Pendiente por cliente ausente, falta de acceso, espera de secado, espera de aprobación, espera de material o espera de peritación.</w:t>
      </w:r>
    </w:p>
    <w:p>
      <w:pPr>
        <w:spacing w:after="60" w:line="264" w:lineRule="auto"/>
        <w:ind w:left="283" w:hanging="170"/>
      </w:pPr>
      <w:r>
        <w:rPr>
          <w:rFonts w:ascii="Calibri" w:hAnsi="Calibri"/>
          <w:b/>
          <w:color w:val="1F4E79"/>
          <w:sz w:val="21"/>
        </w:rPr>
        <w:t xml:space="preserve">• </w:t>
      </w:r>
      <w:r>
        <w:rPr>
          <w:rFonts w:ascii="Calibri" w:hAnsi="Calibri"/>
          <w:sz w:val="21"/>
        </w:rPr>
        <w:t>Pedidos a proveedor con deadline y confirmación posterior.</w:t>
      </w:r>
    </w:p>
    <w:p>
      <w:pPr>
        <w:spacing w:after="60" w:line="264" w:lineRule="auto"/>
        <w:ind w:left="283" w:hanging="170"/>
      </w:pPr>
      <w:r>
        <w:rPr>
          <w:rFonts w:ascii="Calibri" w:hAnsi="Calibri"/>
          <w:b/>
          <w:color w:val="1F4E79"/>
          <w:sz w:val="21"/>
        </w:rPr>
        <w:t xml:space="preserve">• </w:t>
      </w:r>
      <w:r>
        <w:rPr>
          <w:rFonts w:ascii="Calibri" w:hAnsi="Calibri"/>
          <w:sz w:val="21"/>
        </w:rPr>
        <w:t>Reagendado de visita cuando el material esté disponible.</w:t>
      </w:r>
    </w:p>
    <w:p>
      <w:pPr>
        <w:spacing w:after="60" w:line="264" w:lineRule="auto"/>
        <w:ind w:left="283" w:hanging="170"/>
      </w:pPr>
      <w:r>
        <w:rPr>
          <w:rFonts w:ascii="Calibri" w:hAnsi="Calibri"/>
          <w:b/>
          <w:color w:val="1F4E79"/>
          <w:sz w:val="21"/>
        </w:rPr>
        <w:t xml:space="preserve">• </w:t>
      </w:r>
      <w:r>
        <w:rPr>
          <w:rFonts w:ascii="Calibri" w:hAnsi="Calibri"/>
          <w:sz w:val="21"/>
        </w:rPr>
        <w:t>Detección automática de informes caducados cuando la cita ya pasó y no existe parte recibido.</w:t>
      </w:r>
    </w:p>
    <w:p>
      <w:pPr>
        <w:spacing w:after="60" w:line="264" w:lineRule="auto"/>
        <w:ind w:left="283" w:hanging="170"/>
      </w:pPr>
      <w:r>
        <w:rPr>
          <w:rFonts w:ascii="Calibri" w:hAnsi="Calibri"/>
          <w:b/>
          <w:color w:val="1F4E79"/>
          <w:sz w:val="21"/>
        </w:rPr>
        <w:t xml:space="preserve">• </w:t>
      </w:r>
      <w:r>
        <w:rPr>
          <w:rFonts w:ascii="Calibri" w:hAnsi="Calibri"/>
          <w:sz w:val="21"/>
        </w:rPr>
        <w:t>Detección de pedidos caducados cuando se supera la fecha límite de entrega sin confirmación del proveedor.</w:t>
      </w:r>
    </w:p>
    <w:p>
      <w:pPr>
        <w:pStyle w:val="Heading2"/>
      </w:pPr>
      <w:r>
        <w:t>5.5 Cierre técnico, presupuesto y validación</w:t>
      </w:r>
    </w:p>
    <w:p>
      <w:pPr>
        <w:spacing w:after="120" w:line="276" w:lineRule="auto"/>
      </w:pPr>
      <w:r>
        <w:rPr>
          <w:rFonts w:ascii="Calibri" w:hAnsi="Calibri"/>
          <w:sz w:val="21"/>
        </w:rPr>
        <w:t>Con el parte de operario validado, el sistema debe traducir la ejecución en conceptos económicos trazables.</w:t>
      </w:r>
    </w:p>
    <w:p>
      <w:pPr>
        <w:spacing w:after="60" w:line="264" w:lineRule="auto"/>
        <w:ind w:left="283" w:hanging="170"/>
      </w:pPr>
      <w:r>
        <w:rPr>
          <w:rFonts w:ascii="Calibri" w:hAnsi="Calibri"/>
          <w:b/>
          <w:color w:val="1F4E79"/>
          <w:sz w:val="21"/>
        </w:rPr>
        <w:t xml:space="preserve">• </w:t>
      </w:r>
      <w:r>
        <w:rPr>
          <w:rFonts w:ascii="Calibri" w:hAnsi="Calibri"/>
          <w:sz w:val="21"/>
        </w:rPr>
        <w:t>Selección jerárquica de conceptos: especialidad &gt; epígrafe &gt; trabajo &gt; cantidad &gt; importe.</w:t>
      </w:r>
    </w:p>
    <w:p>
      <w:pPr>
        <w:spacing w:after="60" w:line="264" w:lineRule="auto"/>
        <w:ind w:left="283" w:hanging="170"/>
      </w:pPr>
      <w:r>
        <w:rPr>
          <w:rFonts w:ascii="Calibri" w:hAnsi="Calibri"/>
          <w:b/>
          <w:color w:val="1F4E79"/>
          <w:sz w:val="21"/>
        </w:rPr>
        <w:t xml:space="preserve">• </w:t>
      </w:r>
      <w:r>
        <w:rPr>
          <w:rFonts w:ascii="Calibri" w:hAnsi="Calibri"/>
          <w:sz w:val="21"/>
        </w:rPr>
        <w:t>Asociación del concepto con el parte y con el expediente.</w:t>
      </w:r>
    </w:p>
    <w:p>
      <w:pPr>
        <w:spacing w:after="60" w:line="264" w:lineRule="auto"/>
        <w:ind w:left="283" w:hanging="170"/>
      </w:pPr>
      <w:r>
        <w:rPr>
          <w:rFonts w:ascii="Calibri" w:hAnsi="Calibri"/>
          <w:b/>
          <w:color w:val="1F4E79"/>
          <w:sz w:val="21"/>
        </w:rPr>
        <w:t xml:space="preserve">• </w:t>
      </w:r>
      <w:r>
        <w:rPr>
          <w:rFonts w:ascii="Calibri" w:hAnsi="Calibri"/>
          <w:sz w:val="21"/>
        </w:rPr>
        <w:t>Validación visual de trabajos e informe como finalizados.</w:t>
      </w:r>
    </w:p>
    <w:p>
      <w:pPr>
        <w:spacing w:after="60" w:line="264" w:lineRule="auto"/>
        <w:ind w:left="283" w:hanging="170"/>
      </w:pPr>
      <w:r>
        <w:rPr>
          <w:rFonts w:ascii="Calibri" w:hAnsi="Calibri"/>
          <w:b/>
          <w:color w:val="1F4E79"/>
          <w:sz w:val="21"/>
        </w:rPr>
        <w:t xml:space="preserve">• </w:t>
      </w:r>
      <w:r>
        <w:rPr>
          <w:rFonts w:ascii="Calibri" w:hAnsi="Calibri"/>
          <w:sz w:val="21"/>
        </w:rPr>
        <w:t>Cambio del expediente a FINALIZADO cuando no queden bloqueos abiertos.</w:t>
      </w:r>
    </w:p>
    <w:p>
      <w:pPr>
        <w:pStyle w:val="Heading2"/>
      </w:pPr>
      <w:r>
        <w:t>5.6 Facturación, cobro y control de tesorería</w:t>
      </w:r>
    </w:p>
    <w:p>
      <w:pPr>
        <w:spacing w:after="120" w:line="276" w:lineRule="auto"/>
      </w:pPr>
      <w:r>
        <w:rPr>
          <w:rFonts w:ascii="Calibri" w:hAnsi="Calibri"/>
          <w:sz w:val="21"/>
        </w:rPr>
        <w:t>El cierre operativo solo es válido si termina en ingreso. El ERP debe convertir la intervención finalizada en factura emitida y cobrarla o escalar su seguimiento.</w:t>
      </w:r>
    </w:p>
    <w:p>
      <w:pPr>
        <w:spacing w:after="60" w:line="264" w:lineRule="auto"/>
        <w:ind w:left="283" w:hanging="170"/>
      </w:pPr>
      <w:r>
        <w:rPr>
          <w:rFonts w:ascii="Calibri" w:hAnsi="Calibri"/>
          <w:b/>
          <w:color w:val="1F4E79"/>
          <w:sz w:val="21"/>
        </w:rPr>
        <w:t xml:space="preserve">• </w:t>
      </w:r>
      <w:r>
        <w:rPr>
          <w:rFonts w:ascii="Calibri" w:hAnsi="Calibri"/>
          <w:sz w:val="21"/>
        </w:rPr>
        <w:t>Generación de factura a partir del presupuesto validado.</w:t>
      </w:r>
    </w:p>
    <w:p>
      <w:pPr>
        <w:spacing w:after="60" w:line="264" w:lineRule="auto"/>
        <w:ind w:left="283" w:hanging="170"/>
      </w:pPr>
      <w:r>
        <w:rPr>
          <w:rFonts w:ascii="Calibri" w:hAnsi="Calibri"/>
          <w:b/>
          <w:color w:val="1F4E79"/>
          <w:sz w:val="21"/>
        </w:rPr>
        <w:t xml:space="preserve">• </w:t>
      </w:r>
      <w:r>
        <w:rPr>
          <w:rFonts w:ascii="Calibri" w:hAnsi="Calibri"/>
          <w:sz w:val="21"/>
        </w:rPr>
        <w:t>Envío por el protocolo del cliente: API, email estructurado, portal o formato específico.</w:t>
      </w:r>
    </w:p>
    <w:p>
      <w:pPr>
        <w:spacing w:after="60" w:line="264" w:lineRule="auto"/>
        <w:ind w:left="283" w:hanging="170"/>
      </w:pPr>
      <w:r>
        <w:rPr>
          <w:rFonts w:ascii="Calibri" w:hAnsi="Calibri"/>
          <w:b/>
          <w:color w:val="1F4E79"/>
          <w:sz w:val="21"/>
        </w:rPr>
        <w:t xml:space="preserve">• </w:t>
      </w:r>
      <w:r>
        <w:rPr>
          <w:rFonts w:ascii="Calibri" w:hAnsi="Calibri"/>
          <w:sz w:val="21"/>
        </w:rPr>
        <w:t>Bandeja de pendientes de facturar para expedientes finalizados sin factura.</w:t>
      </w:r>
    </w:p>
    <w:p>
      <w:pPr>
        <w:spacing w:after="60" w:line="264" w:lineRule="auto"/>
        <w:ind w:left="283" w:hanging="170"/>
      </w:pPr>
      <w:r>
        <w:rPr>
          <w:rFonts w:ascii="Calibri" w:hAnsi="Calibri"/>
          <w:b/>
          <w:color w:val="1F4E79"/>
          <w:sz w:val="21"/>
        </w:rPr>
        <w:t xml:space="preserve">• </w:t>
      </w:r>
      <w:r>
        <w:rPr>
          <w:rFonts w:ascii="Calibri" w:hAnsi="Calibri"/>
          <w:sz w:val="21"/>
        </w:rPr>
        <w:t>Bandeja de facturas caducadas para facturas emitidas no cobradas en plazo.</w:t>
      </w:r>
    </w:p>
    <w:p>
      <w:pPr>
        <w:spacing w:after="60" w:line="264" w:lineRule="auto"/>
        <w:ind w:left="283" w:hanging="170"/>
      </w:pPr>
      <w:r>
        <w:rPr>
          <w:rFonts w:ascii="Calibri" w:hAnsi="Calibri"/>
          <w:b/>
          <w:color w:val="1F4E79"/>
          <w:sz w:val="21"/>
        </w:rPr>
        <w:t xml:space="preserve">• </w:t>
      </w:r>
      <w:r>
        <w:rPr>
          <w:rFonts w:ascii="Calibri" w:hAnsi="Calibri"/>
          <w:sz w:val="21"/>
        </w:rPr>
        <w:t>Seguimiento de estados de cobro, reclamaciones y exportación contable.</w:t>
      </w:r>
    </w:p>
    <w:p>
      <w:pPr>
        <w:pStyle w:val="Heading1"/>
      </w:pPr>
      <w:r>
        <w:t>6. Desarrollo funcional por módulo</w:t>
      </w:r>
    </w:p>
    <w:p>
      <w:pPr>
        <w:pStyle w:val="Heading2"/>
      </w:pPr>
      <w:r>
        <w:t>6.1 Módulo 1. Expedientes y comunicaciones</w:t>
      </w:r>
    </w:p>
    <w:p>
      <w:pPr>
        <w:spacing w:after="120" w:line="276" w:lineRule="auto"/>
      </w:pPr>
      <w:r>
        <w:rPr>
          <w:rFonts w:ascii="Calibri" w:hAnsi="Calibri"/>
          <w:sz w:val="21"/>
        </w:rPr>
        <w:t>Este módulo es el núcleo de entrada y de relación del sistema. Su misión es convertir entradas desestructuradas en expedientes explotables, mantener un timeline cronológico unificado y permitir comunicaciones entrantes y salientes sin abandonar el ERP.</w:t>
      </w:r>
    </w:p>
    <w:p>
      <w:pPr>
        <w:spacing w:after="60" w:line="264" w:lineRule="auto"/>
        <w:ind w:left="283" w:hanging="170"/>
      </w:pPr>
      <w:r>
        <w:rPr>
          <w:rFonts w:ascii="Calibri" w:hAnsi="Calibri"/>
          <w:b/>
          <w:color w:val="1F4E79"/>
          <w:sz w:val="21"/>
        </w:rPr>
        <w:t xml:space="preserve">• </w:t>
      </w:r>
      <w:r>
        <w:rPr>
          <w:rFonts w:ascii="Calibri" w:hAnsi="Calibri"/>
          <w:sz w:val="21"/>
        </w:rPr>
        <w:t>Motor de ingesta ETL/API Gateway para recepcionar asignaciones nuevas.</w:t>
      </w:r>
    </w:p>
    <w:p>
      <w:pPr>
        <w:spacing w:after="60" w:line="264" w:lineRule="auto"/>
        <w:ind w:left="283" w:hanging="170"/>
      </w:pPr>
      <w:r>
        <w:rPr>
          <w:rFonts w:ascii="Calibri" w:hAnsi="Calibri"/>
          <w:b/>
          <w:color w:val="1F4E79"/>
          <w:sz w:val="21"/>
        </w:rPr>
        <w:t xml:space="preserve">• </w:t>
      </w:r>
      <w:r>
        <w:rPr>
          <w:rFonts w:ascii="Calibri" w:hAnsi="Calibri"/>
          <w:sz w:val="21"/>
        </w:rPr>
        <w:t>Parsing de emails, JSON, XML o texto para separar referencia, póliza, teléfonos, dirección, asegurado y observaciones.</w:t>
      </w:r>
    </w:p>
    <w:p>
      <w:pPr>
        <w:spacing w:after="60" w:line="264" w:lineRule="auto"/>
        <w:ind w:left="283" w:hanging="170"/>
      </w:pPr>
      <w:r>
        <w:rPr>
          <w:rFonts w:ascii="Calibri" w:hAnsi="Calibri"/>
          <w:b/>
          <w:color w:val="1F4E79"/>
          <w:sz w:val="21"/>
        </w:rPr>
        <w:t xml:space="preserve">• </w:t>
      </w:r>
      <w:r>
        <w:rPr>
          <w:rFonts w:ascii="Calibri" w:hAnsi="Calibri"/>
          <w:sz w:val="21"/>
        </w:rPr>
        <w:t>Gestión de bandeja de asignaciones nuevas con filtros por cliente, origen, prioridad y fecha.</w:t>
      </w:r>
    </w:p>
    <w:p>
      <w:pPr>
        <w:spacing w:after="60" w:line="264" w:lineRule="auto"/>
        <w:ind w:left="283" w:hanging="170"/>
      </w:pPr>
      <w:r>
        <w:rPr>
          <w:rFonts w:ascii="Calibri" w:hAnsi="Calibri"/>
          <w:b/>
          <w:color w:val="1F4E79"/>
          <w:sz w:val="21"/>
        </w:rPr>
        <w:t xml:space="preserve">• </w:t>
      </w:r>
      <w:r>
        <w:rPr>
          <w:rFonts w:ascii="Calibri" w:hAnsi="Calibri"/>
          <w:sz w:val="21"/>
        </w:rPr>
        <w:t>Ficha de expediente editable con datos básicos, asegurado, póliza, ubicación, cobertura y observaciones.</w:t>
      </w:r>
    </w:p>
    <w:p>
      <w:pPr>
        <w:spacing w:after="60" w:line="264" w:lineRule="auto"/>
        <w:ind w:left="283" w:hanging="170"/>
      </w:pPr>
      <w:r>
        <w:rPr>
          <w:rFonts w:ascii="Calibri" w:hAnsi="Calibri"/>
          <w:b/>
          <w:color w:val="1F4E79"/>
          <w:sz w:val="21"/>
        </w:rPr>
        <w:t xml:space="preserve">• </w:t>
      </w:r>
      <w:r>
        <w:rPr>
          <w:rFonts w:ascii="Calibri" w:hAnsi="Calibri"/>
          <w:sz w:val="21"/>
        </w:rPr>
        <w:t>Bandeja de comunicaciones omnicanal con timeline cronológico único.</w:t>
      </w:r>
    </w:p>
    <w:p>
      <w:pPr>
        <w:spacing w:after="60" w:line="264" w:lineRule="auto"/>
        <w:ind w:left="283" w:hanging="170"/>
      </w:pPr>
      <w:r>
        <w:rPr>
          <w:rFonts w:ascii="Calibri" w:hAnsi="Calibri"/>
          <w:b/>
          <w:color w:val="1F4E79"/>
          <w:sz w:val="21"/>
        </w:rPr>
        <w:t xml:space="preserve">• </w:t>
      </w:r>
      <w:r>
        <w:rPr>
          <w:rFonts w:ascii="Calibri" w:hAnsi="Calibri"/>
          <w:sz w:val="21"/>
        </w:rPr>
        <w:t>Registro de toda acción y cambio como evento auditado.</w:t>
      </w:r>
    </w:p>
    <w:p>
      <w:pPr>
        <w:spacing w:after="60" w:line="264" w:lineRule="auto"/>
        <w:ind w:left="283" w:hanging="170"/>
      </w:pPr>
      <w:r>
        <w:rPr>
          <w:rFonts w:ascii="Calibri" w:hAnsi="Calibri"/>
          <w:b/>
          <w:color w:val="1F4E79"/>
          <w:sz w:val="21"/>
        </w:rPr>
        <w:t xml:space="preserve">• </w:t>
      </w:r>
      <w:r>
        <w:rPr>
          <w:rFonts w:ascii="Calibri" w:hAnsi="Calibri"/>
          <w:sz w:val="21"/>
        </w:rPr>
        <w:t>Buscador universal multi-parámetro por teléfono, referencia, localidad, calle, asegurado, póliza, operario, proveedor o factura.</w:t>
      </w:r>
    </w:p>
    <w:p>
      <w:pPr>
        <w:pStyle w:val="Heading2"/>
      </w:pPr>
      <w:r>
        <w:t>6.2 Módulo 2. Red de operarios y planificador</w:t>
      </w:r>
    </w:p>
    <w:p>
      <w:pPr>
        <w:spacing w:after="120" w:line="276" w:lineRule="auto"/>
      </w:pPr>
      <w:r>
        <w:rPr>
          <w:rFonts w:ascii="Calibri" w:hAnsi="Calibri"/>
          <w:sz w:val="21"/>
        </w:rPr>
        <w:t>Este módulo resuelve el despacho inteligente de trabajo. Debe optimizar la asignación de recursos, facilitar el cumplimiento de SLA y reducir la incertidumbre operativa.</w:t>
      </w:r>
    </w:p>
    <w:p>
      <w:pPr>
        <w:spacing w:after="60" w:line="264" w:lineRule="auto"/>
        <w:ind w:left="283" w:hanging="170"/>
      </w:pPr>
      <w:r>
        <w:rPr>
          <w:rFonts w:ascii="Calibri" w:hAnsi="Calibri"/>
          <w:b/>
          <w:color w:val="1F4E79"/>
          <w:sz w:val="21"/>
        </w:rPr>
        <w:t xml:space="preserve">• </w:t>
      </w:r>
      <w:r>
        <w:rPr>
          <w:rFonts w:ascii="Calibri" w:hAnsi="Calibri"/>
          <w:sz w:val="21"/>
        </w:rPr>
        <w:t>Maestro de operarios, gremios, zonas, horarios, festivos, cuadrantes y disponibilidad.</w:t>
      </w:r>
    </w:p>
    <w:p>
      <w:pPr>
        <w:spacing w:after="60" w:line="264" w:lineRule="auto"/>
        <w:ind w:left="283" w:hanging="170"/>
      </w:pPr>
      <w:r>
        <w:rPr>
          <w:rFonts w:ascii="Calibri" w:hAnsi="Calibri"/>
          <w:b/>
          <w:color w:val="1F4E79"/>
          <w:sz w:val="21"/>
        </w:rPr>
        <w:t xml:space="preserve">• </w:t>
      </w:r>
      <w:r>
        <w:rPr>
          <w:rFonts w:ascii="Calibri" w:hAnsi="Calibri"/>
          <w:sz w:val="21"/>
        </w:rPr>
        <w:t>Agenda semanal/diaria por gremio con vista de carga, huecos libres y conflictos.</w:t>
      </w:r>
    </w:p>
    <w:p>
      <w:pPr>
        <w:spacing w:after="60" w:line="264" w:lineRule="auto"/>
        <w:ind w:left="283" w:hanging="170"/>
      </w:pPr>
      <w:r>
        <w:rPr>
          <w:rFonts w:ascii="Calibri" w:hAnsi="Calibri"/>
          <w:b/>
          <w:color w:val="1F4E79"/>
          <w:sz w:val="21"/>
        </w:rPr>
        <w:t xml:space="preserve">• </w:t>
      </w:r>
      <w:r>
        <w:rPr>
          <w:rFonts w:ascii="Calibri" w:hAnsi="Calibri"/>
          <w:sz w:val="21"/>
        </w:rPr>
        <w:t>Wizard de nueva cita con primer contacto, cita, observaciones y tipificación del daño.</w:t>
      </w:r>
    </w:p>
    <w:p>
      <w:pPr>
        <w:spacing w:after="60" w:line="264" w:lineRule="auto"/>
        <w:ind w:left="283" w:hanging="170"/>
      </w:pPr>
      <w:r>
        <w:rPr>
          <w:rFonts w:ascii="Calibri" w:hAnsi="Calibri"/>
          <w:b/>
          <w:color w:val="1F4E79"/>
          <w:sz w:val="21"/>
        </w:rPr>
        <w:t xml:space="preserve">• </w:t>
      </w:r>
      <w:r>
        <w:rPr>
          <w:rFonts w:ascii="Calibri" w:hAnsi="Calibri"/>
          <w:sz w:val="21"/>
        </w:rPr>
        <w:t>Actualización automática del estado del expediente al agendar.</w:t>
      </w:r>
    </w:p>
    <w:p>
      <w:pPr>
        <w:spacing w:after="60" w:line="264" w:lineRule="auto"/>
        <w:ind w:left="283" w:hanging="170"/>
      </w:pPr>
      <w:r>
        <w:rPr>
          <w:rFonts w:ascii="Calibri" w:hAnsi="Calibri"/>
          <w:b/>
          <w:color w:val="1F4E79"/>
          <w:sz w:val="21"/>
        </w:rPr>
        <w:t xml:space="preserve">• </w:t>
      </w:r>
      <w:r>
        <w:rPr>
          <w:rFonts w:ascii="Calibri" w:hAnsi="Calibri"/>
          <w:sz w:val="21"/>
        </w:rPr>
        <w:t>Control de informes caducados y alertas SLA.</w:t>
      </w:r>
    </w:p>
    <w:p>
      <w:pPr>
        <w:spacing w:after="60" w:line="264" w:lineRule="auto"/>
        <w:ind w:left="283" w:hanging="170"/>
      </w:pPr>
      <w:r>
        <w:rPr>
          <w:rFonts w:ascii="Calibri" w:hAnsi="Calibri"/>
          <w:b/>
          <w:color w:val="1F4E79"/>
          <w:sz w:val="21"/>
        </w:rPr>
        <w:t xml:space="preserve">• </w:t>
      </w:r>
      <w:r>
        <w:rPr>
          <w:rFonts w:ascii="Calibri" w:hAnsi="Calibri"/>
          <w:sz w:val="21"/>
        </w:rPr>
        <w:t>Reglas de capacidad para sobrerreserva, desplazamientos, tiempos de intervención y ventanas de servicio.</w:t>
      </w:r>
    </w:p>
    <w:p>
      <w:pPr>
        <w:spacing w:after="60" w:line="264" w:lineRule="auto"/>
        <w:ind w:left="283" w:hanging="170"/>
      </w:pPr>
      <w:r>
        <w:rPr>
          <w:rFonts w:ascii="Calibri" w:hAnsi="Calibri"/>
          <w:b/>
          <w:color w:val="1F4E79"/>
          <w:sz w:val="21"/>
        </w:rPr>
        <w:t xml:space="preserve">• </w:t>
      </w:r>
      <w:r>
        <w:rPr>
          <w:rFonts w:ascii="Calibri" w:hAnsi="Calibri"/>
          <w:sz w:val="21"/>
        </w:rPr>
        <w:t>Base para enviar al customer tracking la información de cita y técnico asignado.</w:t>
      </w:r>
    </w:p>
    <w:p>
      <w:pPr>
        <w:pStyle w:val="Heading2"/>
      </w:pPr>
      <w:r>
        <w:t>6.3 Módulo 3. Movilidad y ejecución en campo</w:t>
      </w:r>
    </w:p>
    <w:p>
      <w:pPr>
        <w:spacing w:after="120" w:line="276" w:lineRule="auto"/>
      </w:pPr>
      <w:r>
        <w:rPr>
          <w:rFonts w:ascii="Calibri" w:hAnsi="Calibri"/>
          <w:sz w:val="21"/>
        </w:rPr>
        <w:t>Este módulo traslada el ERP al terreno. Debe ser extremadamente simple para el operario, pero muy rico en captura estructurada para la oficina y para la aseguradora.</w:t>
      </w:r>
    </w:p>
    <w:p>
      <w:pPr>
        <w:spacing w:after="60" w:line="264" w:lineRule="auto"/>
        <w:ind w:left="283" w:hanging="170"/>
      </w:pPr>
      <w:r>
        <w:rPr>
          <w:rFonts w:ascii="Calibri" w:hAnsi="Calibri"/>
          <w:b/>
          <w:color w:val="1F4E79"/>
          <w:sz w:val="21"/>
        </w:rPr>
        <w:t xml:space="preserve">• </w:t>
      </w:r>
      <w:r>
        <w:rPr>
          <w:rFonts w:ascii="Calibri" w:hAnsi="Calibri"/>
          <w:sz w:val="21"/>
        </w:rPr>
        <w:t>Login seguro del operario y sincronización de agenda del día.</w:t>
      </w:r>
    </w:p>
    <w:p>
      <w:pPr>
        <w:spacing w:after="60" w:line="264" w:lineRule="auto"/>
        <w:ind w:left="283" w:hanging="170"/>
      </w:pPr>
      <w:r>
        <w:rPr>
          <w:rFonts w:ascii="Calibri" w:hAnsi="Calibri"/>
          <w:b/>
          <w:color w:val="1F4E79"/>
          <w:sz w:val="21"/>
        </w:rPr>
        <w:t xml:space="preserve">• </w:t>
      </w:r>
      <w:r>
        <w:rPr>
          <w:rFonts w:ascii="Calibri" w:hAnsi="Calibri"/>
          <w:sz w:val="21"/>
        </w:rPr>
        <w:t>Pantalla de datos básicos del expediente con acciones contextuales.</w:t>
      </w:r>
    </w:p>
    <w:p>
      <w:pPr>
        <w:spacing w:after="60" w:line="264" w:lineRule="auto"/>
        <w:ind w:left="283" w:hanging="170"/>
      </w:pPr>
      <w:r>
        <w:rPr>
          <w:rFonts w:ascii="Calibri" w:hAnsi="Calibri"/>
          <w:b/>
          <w:color w:val="1F4E79"/>
          <w:sz w:val="21"/>
        </w:rPr>
        <w:t xml:space="preserve">• </w:t>
      </w:r>
      <w:r>
        <w:rPr>
          <w:rFonts w:ascii="Calibri" w:hAnsi="Calibri"/>
          <w:sz w:val="21"/>
        </w:rPr>
        <w:t>Captura multimedia: fotos, audio, vídeo, firma del cliente y notas.</w:t>
      </w:r>
    </w:p>
    <w:p>
      <w:pPr>
        <w:spacing w:after="60" w:line="264" w:lineRule="auto"/>
        <w:ind w:left="283" w:hanging="170"/>
      </w:pPr>
      <w:r>
        <w:rPr>
          <w:rFonts w:ascii="Calibri" w:hAnsi="Calibri"/>
          <w:b/>
          <w:color w:val="1F4E79"/>
          <w:sz w:val="21"/>
        </w:rPr>
        <w:t xml:space="preserve">• </w:t>
      </w:r>
      <w:r>
        <w:rPr>
          <w:rFonts w:ascii="Calibri" w:hAnsi="Calibri"/>
          <w:sz w:val="21"/>
        </w:rPr>
        <w:t>Bloques de trabajos realizados, trabajos pendientes, materiales necesarios y observaciones.</w:t>
      </w:r>
    </w:p>
    <w:p>
      <w:pPr>
        <w:spacing w:after="60" w:line="264" w:lineRule="auto"/>
        <w:ind w:left="283" w:hanging="170"/>
      </w:pPr>
      <w:r>
        <w:rPr>
          <w:rFonts w:ascii="Calibri" w:hAnsi="Calibri"/>
          <w:b/>
          <w:color w:val="1F4E79"/>
          <w:sz w:val="21"/>
        </w:rPr>
        <w:t xml:space="preserve">• </w:t>
      </w:r>
      <w:r>
        <w:rPr>
          <w:rFonts w:ascii="Calibri" w:hAnsi="Calibri"/>
          <w:sz w:val="21"/>
        </w:rPr>
        <w:t>Liquidación de trabajos realizados y opción de marcar nueva visita.</w:t>
      </w:r>
    </w:p>
    <w:p>
      <w:pPr>
        <w:spacing w:after="60" w:line="264" w:lineRule="auto"/>
        <w:ind w:left="283" w:hanging="170"/>
      </w:pPr>
      <w:r>
        <w:rPr>
          <w:rFonts w:ascii="Calibri" w:hAnsi="Calibri"/>
          <w:b/>
          <w:color w:val="1F4E79"/>
          <w:sz w:val="21"/>
        </w:rPr>
        <w:t xml:space="preserve">• </w:t>
      </w:r>
      <w:r>
        <w:rPr>
          <w:rFonts w:ascii="Calibri" w:hAnsi="Calibri"/>
          <w:sz w:val="21"/>
        </w:rPr>
        <w:t>Consulta de baremos y confección de presupuesto in situ.</w:t>
      </w:r>
    </w:p>
    <w:p>
      <w:pPr>
        <w:spacing w:after="60" w:line="264" w:lineRule="auto"/>
        <w:ind w:left="283" w:hanging="170"/>
      </w:pPr>
      <w:r>
        <w:rPr>
          <w:rFonts w:ascii="Calibri" w:hAnsi="Calibri"/>
          <w:b/>
          <w:color w:val="1F4E79"/>
          <w:sz w:val="21"/>
        </w:rPr>
        <w:t xml:space="preserve">• </w:t>
      </w:r>
      <w:r>
        <w:rPr>
          <w:rFonts w:ascii="Calibri" w:hAnsi="Calibri"/>
          <w:sz w:val="21"/>
        </w:rPr>
        <w:t>Envío de parte mediante multipart/form-data y disparo de generación automática del PDF whitelabel.</w:t>
      </w:r>
    </w:p>
    <w:p>
      <w:pPr>
        <w:spacing w:after="60" w:line="264" w:lineRule="auto"/>
        <w:ind w:left="283" w:hanging="170"/>
      </w:pPr>
      <w:r>
        <w:rPr>
          <w:rFonts w:ascii="Calibri" w:hAnsi="Calibri"/>
          <w:b/>
          <w:color w:val="1F4E79"/>
          <w:sz w:val="21"/>
        </w:rPr>
        <w:t xml:space="preserve">• </w:t>
      </w:r>
      <w:r>
        <w:rPr>
          <w:rFonts w:ascii="Calibri" w:hAnsi="Calibri"/>
          <w:sz w:val="21"/>
        </w:rPr>
        <w:t>Modo offline-first con colas locales y sincronización automática.</w:t>
      </w:r>
    </w:p>
    <w:p>
      <w:pPr>
        <w:pStyle w:val="Heading2"/>
      </w:pPr>
      <w:r>
        <w:t>6.4 Módulo 4. Facturación y tesorería</w:t>
      </w:r>
    </w:p>
    <w:p>
      <w:pPr>
        <w:spacing w:after="120" w:line="276" w:lineRule="auto"/>
      </w:pPr>
      <w:r>
        <w:rPr>
          <w:rFonts w:ascii="Calibri" w:hAnsi="Calibri"/>
          <w:sz w:val="21"/>
        </w:rPr>
        <w:t>Este módulo convierte la intervención técnica en ingreso económico y controla que no se produzcan pérdidas operativas por omisión o por mora.</w:t>
      </w:r>
    </w:p>
    <w:p>
      <w:pPr>
        <w:spacing w:after="60" w:line="264" w:lineRule="auto"/>
        <w:ind w:left="283" w:hanging="170"/>
      </w:pPr>
      <w:r>
        <w:rPr>
          <w:rFonts w:ascii="Calibri" w:hAnsi="Calibri"/>
          <w:b/>
          <w:color w:val="1F4E79"/>
          <w:sz w:val="21"/>
        </w:rPr>
        <w:t xml:space="preserve">• </w:t>
      </w:r>
      <w:r>
        <w:rPr>
          <w:rFonts w:ascii="Calibri" w:hAnsi="Calibri"/>
          <w:sz w:val="21"/>
        </w:rPr>
        <w:t>Constructor jerárquico de presupuestos y conceptos facturables.</w:t>
      </w:r>
    </w:p>
    <w:p>
      <w:pPr>
        <w:spacing w:after="60" w:line="264" w:lineRule="auto"/>
        <w:ind w:left="283" w:hanging="170"/>
      </w:pPr>
      <w:r>
        <w:rPr>
          <w:rFonts w:ascii="Calibri" w:hAnsi="Calibri"/>
          <w:b/>
          <w:color w:val="1F4E79"/>
          <w:sz w:val="21"/>
        </w:rPr>
        <w:t xml:space="preserve">• </w:t>
      </w:r>
      <w:r>
        <w:rPr>
          <w:rFonts w:ascii="Calibri" w:hAnsi="Calibri"/>
          <w:sz w:val="21"/>
        </w:rPr>
        <w:t>Validación de trabajos, importes, coberturas y autorizaciones.</w:t>
      </w:r>
    </w:p>
    <w:p>
      <w:pPr>
        <w:spacing w:after="60" w:line="264" w:lineRule="auto"/>
        <w:ind w:left="283" w:hanging="170"/>
      </w:pPr>
      <w:r>
        <w:rPr>
          <w:rFonts w:ascii="Calibri" w:hAnsi="Calibri"/>
          <w:b/>
          <w:color w:val="1F4E79"/>
          <w:sz w:val="21"/>
        </w:rPr>
        <w:t xml:space="preserve">• </w:t>
      </w:r>
      <w:r>
        <w:rPr>
          <w:rFonts w:ascii="Calibri" w:hAnsi="Calibri"/>
          <w:sz w:val="21"/>
        </w:rPr>
        <w:t>Generación de factura y envío one-click por canal del cliente.</w:t>
      </w:r>
    </w:p>
    <w:p>
      <w:pPr>
        <w:spacing w:after="60" w:line="264" w:lineRule="auto"/>
        <w:ind w:left="283" w:hanging="170"/>
      </w:pPr>
      <w:r>
        <w:rPr>
          <w:rFonts w:ascii="Calibri" w:hAnsi="Calibri"/>
          <w:b/>
          <w:color w:val="1F4E79"/>
          <w:sz w:val="21"/>
        </w:rPr>
        <w:t xml:space="preserve">• </w:t>
      </w:r>
      <w:r>
        <w:rPr>
          <w:rFonts w:ascii="Calibri" w:hAnsi="Calibri"/>
          <w:sz w:val="21"/>
        </w:rPr>
        <w:t>Bandeja de pendientes de facturar.</w:t>
      </w:r>
    </w:p>
    <w:p>
      <w:pPr>
        <w:spacing w:after="60" w:line="264" w:lineRule="auto"/>
        <w:ind w:left="283" w:hanging="170"/>
      </w:pPr>
      <w:r>
        <w:rPr>
          <w:rFonts w:ascii="Calibri" w:hAnsi="Calibri"/>
          <w:b/>
          <w:color w:val="1F4E79"/>
          <w:sz w:val="21"/>
        </w:rPr>
        <w:t xml:space="preserve">• </w:t>
      </w:r>
      <w:r>
        <w:rPr>
          <w:rFonts w:ascii="Calibri" w:hAnsi="Calibri"/>
          <w:sz w:val="21"/>
        </w:rPr>
        <w:t>Bandeja de facturas caducadas y workflow de reclamación.</w:t>
      </w:r>
    </w:p>
    <w:p>
      <w:pPr>
        <w:spacing w:after="60" w:line="264" w:lineRule="auto"/>
        <w:ind w:left="283" w:hanging="170"/>
      </w:pPr>
      <w:r>
        <w:rPr>
          <w:rFonts w:ascii="Calibri" w:hAnsi="Calibri"/>
          <w:b/>
          <w:color w:val="1F4E79"/>
          <w:sz w:val="21"/>
        </w:rPr>
        <w:t xml:space="preserve">• </w:t>
      </w:r>
      <w:r>
        <w:rPr>
          <w:rFonts w:ascii="Calibri" w:hAnsi="Calibri"/>
          <w:sz w:val="21"/>
        </w:rPr>
        <w:t>Integración contable y conciliación del estado económico del expediente.</w:t>
      </w:r>
    </w:p>
    <w:p>
      <w:pPr>
        <w:spacing w:after="60" w:line="264" w:lineRule="auto"/>
        <w:ind w:left="283" w:hanging="170"/>
      </w:pPr>
      <w:r>
        <w:rPr>
          <w:rFonts w:ascii="Calibri" w:hAnsi="Calibri"/>
          <w:b/>
          <w:color w:val="1F4E79"/>
          <w:sz w:val="21"/>
        </w:rPr>
        <w:t xml:space="preserve">• </w:t>
      </w:r>
      <w:r>
        <w:rPr>
          <w:rFonts w:ascii="Calibri" w:hAnsi="Calibri"/>
          <w:sz w:val="21"/>
        </w:rPr>
        <w:t>Base para control de rentabilidad real por operario, cliente, gremio y delegación.</w:t>
      </w:r>
    </w:p>
    <w:p>
      <w:pPr>
        <w:pStyle w:val="Heading2"/>
      </w:pPr>
      <w:r>
        <w:t>6.5 Módulo 5. Logística y proveedores</w:t>
      </w:r>
    </w:p>
    <w:p>
      <w:pPr>
        <w:spacing w:after="120" w:line="276" w:lineRule="auto"/>
      </w:pPr>
      <w:r>
        <w:rPr>
          <w:rFonts w:ascii="Calibri" w:hAnsi="Calibri"/>
          <w:sz w:val="21"/>
        </w:rPr>
        <w:t>Este módulo evita la parada del expediente por falta de material. Debe funcionar como una cadena de suministro ligera y totalmente conectada al expediente.</w:t>
      </w:r>
    </w:p>
    <w:p>
      <w:pPr>
        <w:spacing w:after="60" w:line="264" w:lineRule="auto"/>
        <w:ind w:left="283" w:hanging="170"/>
      </w:pPr>
      <w:r>
        <w:rPr>
          <w:rFonts w:ascii="Calibri" w:hAnsi="Calibri"/>
          <w:b/>
          <w:color w:val="1F4E79"/>
          <w:sz w:val="21"/>
        </w:rPr>
        <w:t xml:space="preserve">• </w:t>
      </w:r>
      <w:r>
        <w:rPr>
          <w:rFonts w:ascii="Calibri" w:hAnsi="Calibri"/>
          <w:sz w:val="21"/>
        </w:rPr>
        <w:t>Alta de pedido asociado a expediente, proveedor, materiales y fecha límite.</w:t>
      </w:r>
    </w:p>
    <w:p>
      <w:pPr>
        <w:spacing w:after="60" w:line="264" w:lineRule="auto"/>
        <w:ind w:left="283" w:hanging="170"/>
      </w:pPr>
      <w:r>
        <w:rPr>
          <w:rFonts w:ascii="Calibri" w:hAnsi="Calibri"/>
          <w:b/>
          <w:color w:val="1F4E79"/>
          <w:sz w:val="21"/>
        </w:rPr>
        <w:t xml:space="preserve">• </w:t>
      </w:r>
      <w:r>
        <w:rPr>
          <w:rFonts w:ascii="Calibri" w:hAnsi="Calibri"/>
          <w:sz w:val="21"/>
        </w:rPr>
        <w:t>Envío automático del pedido por email y canal web ligero para proveedor.</w:t>
      </w:r>
    </w:p>
    <w:p>
      <w:pPr>
        <w:spacing w:after="60" w:line="264" w:lineRule="auto"/>
        <w:ind w:left="283" w:hanging="170"/>
      </w:pPr>
      <w:r>
        <w:rPr>
          <w:rFonts w:ascii="Calibri" w:hAnsi="Calibri"/>
          <w:b/>
          <w:color w:val="1F4E79"/>
          <w:sz w:val="21"/>
        </w:rPr>
        <w:t xml:space="preserve">• </w:t>
      </w:r>
      <w:r>
        <w:rPr>
          <w:rFonts w:ascii="Calibri" w:hAnsi="Calibri"/>
          <w:sz w:val="21"/>
        </w:rPr>
        <w:t>Confirmación de material listo mediante magic link o portal simple.</w:t>
      </w:r>
    </w:p>
    <w:p>
      <w:pPr>
        <w:spacing w:after="60" w:line="264" w:lineRule="auto"/>
        <w:ind w:left="283" w:hanging="170"/>
      </w:pPr>
      <w:r>
        <w:rPr>
          <w:rFonts w:ascii="Calibri" w:hAnsi="Calibri"/>
          <w:b/>
          <w:color w:val="1F4E79"/>
          <w:sz w:val="21"/>
        </w:rPr>
        <w:t xml:space="preserve">• </w:t>
      </w:r>
      <w:r>
        <w:rPr>
          <w:rFonts w:ascii="Calibri" w:hAnsi="Calibri"/>
          <w:sz w:val="21"/>
        </w:rPr>
        <w:t>Estados del pedido: pendiente, confirmado, listo para recoger, caducado, cancelado.</w:t>
      </w:r>
    </w:p>
    <w:p>
      <w:pPr>
        <w:spacing w:after="60" w:line="264" w:lineRule="auto"/>
        <w:ind w:left="283" w:hanging="170"/>
      </w:pPr>
      <w:r>
        <w:rPr>
          <w:rFonts w:ascii="Calibri" w:hAnsi="Calibri"/>
          <w:b/>
          <w:color w:val="1F4E79"/>
          <w:sz w:val="21"/>
        </w:rPr>
        <w:t xml:space="preserve">• </w:t>
      </w:r>
      <w:r>
        <w:rPr>
          <w:rFonts w:ascii="Calibri" w:hAnsi="Calibri"/>
          <w:sz w:val="21"/>
        </w:rPr>
        <w:t>Reacción operativa inmediata al material disponible para reagendar visita.</w:t>
      </w:r>
    </w:p>
    <w:p>
      <w:pPr>
        <w:spacing w:after="60" w:line="264" w:lineRule="auto"/>
        <w:ind w:left="283" w:hanging="170"/>
      </w:pPr>
      <w:r>
        <w:rPr>
          <w:rFonts w:ascii="Calibri" w:hAnsi="Calibri"/>
          <w:b/>
          <w:color w:val="1F4E79"/>
          <w:sz w:val="21"/>
        </w:rPr>
        <w:t xml:space="preserve">• </w:t>
      </w:r>
      <w:r>
        <w:rPr>
          <w:rFonts w:ascii="Calibri" w:hAnsi="Calibri"/>
          <w:sz w:val="21"/>
        </w:rPr>
        <w:t>Control de pedidos caducados y escalado de retrasos.</w:t>
      </w:r>
    </w:p>
    <w:p>
      <w:pPr>
        <w:pStyle w:val="Heading2"/>
      </w:pPr>
      <w:r>
        <w:t>6.6 Módulo 6. Cuadro de gerencia y BI</w:t>
      </w:r>
    </w:p>
    <w:p>
      <w:pPr>
        <w:spacing w:after="120" w:line="276" w:lineRule="auto"/>
      </w:pPr>
      <w:r>
        <w:rPr>
          <w:rFonts w:ascii="Calibri" w:hAnsi="Calibri"/>
          <w:sz w:val="21"/>
        </w:rPr>
        <w:t>Este módulo separa la capa transaccional de la capa analítica. Debe ofrecer a dirección una visión de rendimiento, rentabilidad, productividad y control de negocio sin penalizar la operativa.</w:t>
      </w:r>
    </w:p>
    <w:p>
      <w:pPr>
        <w:spacing w:after="60" w:line="264" w:lineRule="auto"/>
        <w:ind w:left="283" w:hanging="170"/>
      </w:pPr>
      <w:r>
        <w:rPr>
          <w:rFonts w:ascii="Calibri" w:hAnsi="Calibri"/>
          <w:b/>
          <w:color w:val="1F4E79"/>
          <w:sz w:val="21"/>
        </w:rPr>
        <w:t xml:space="preserve">• </w:t>
      </w:r>
      <w:r>
        <w:rPr>
          <w:rFonts w:ascii="Calibri" w:hAnsi="Calibri"/>
          <w:sz w:val="21"/>
        </w:rPr>
        <w:t>KPIs de volumen, tiempos, rentabilidad e incidencias.</w:t>
      </w:r>
    </w:p>
    <w:p>
      <w:pPr>
        <w:spacing w:after="60" w:line="264" w:lineRule="auto"/>
        <w:ind w:left="283" w:hanging="170"/>
      </w:pPr>
      <w:r>
        <w:rPr>
          <w:rFonts w:ascii="Calibri" w:hAnsi="Calibri"/>
          <w:b/>
          <w:color w:val="1F4E79"/>
          <w:sz w:val="21"/>
        </w:rPr>
        <w:t xml:space="preserve">• </w:t>
      </w:r>
      <w:r>
        <w:rPr>
          <w:rFonts w:ascii="Calibri" w:hAnsi="Calibri"/>
          <w:sz w:val="21"/>
        </w:rPr>
        <w:t>Rentabilidad global y por operario, cliente, gremio, delegación o tipo de expediente.</w:t>
      </w:r>
    </w:p>
    <w:p>
      <w:pPr>
        <w:spacing w:after="60" w:line="264" w:lineRule="auto"/>
        <w:ind w:left="283" w:hanging="170"/>
      </w:pPr>
      <w:r>
        <w:rPr>
          <w:rFonts w:ascii="Calibri" w:hAnsi="Calibri"/>
          <w:b/>
          <w:color w:val="1F4E79"/>
          <w:sz w:val="21"/>
        </w:rPr>
        <w:t xml:space="preserve">• </w:t>
      </w:r>
      <w:r>
        <w:rPr>
          <w:rFonts w:ascii="Calibri" w:hAnsi="Calibri"/>
          <w:sz w:val="21"/>
        </w:rPr>
        <w:t>Series temporales de carga de trabajo, cierres, tiempos medios y morosidad.</w:t>
      </w:r>
    </w:p>
    <w:p>
      <w:pPr>
        <w:spacing w:after="60" w:line="264" w:lineRule="auto"/>
        <w:ind w:left="283" w:hanging="170"/>
      </w:pPr>
      <w:r>
        <w:rPr>
          <w:rFonts w:ascii="Calibri" w:hAnsi="Calibri"/>
          <w:b/>
          <w:color w:val="1F4E79"/>
          <w:sz w:val="21"/>
        </w:rPr>
        <w:t xml:space="preserve">• </w:t>
      </w:r>
      <w:r>
        <w:rPr>
          <w:rFonts w:ascii="Calibri" w:hAnsi="Calibri"/>
          <w:sz w:val="21"/>
        </w:rPr>
        <w:t>Exportación one-click a Excel o formatos contables.</w:t>
      </w:r>
    </w:p>
    <w:p>
      <w:pPr>
        <w:spacing w:after="60" w:line="264" w:lineRule="auto"/>
        <w:ind w:left="283" w:hanging="170"/>
      </w:pPr>
      <w:r>
        <w:rPr>
          <w:rFonts w:ascii="Calibri" w:hAnsi="Calibri"/>
          <w:b/>
          <w:color w:val="1F4E79"/>
          <w:sz w:val="21"/>
        </w:rPr>
        <w:t xml:space="preserve">• </w:t>
      </w:r>
      <w:r>
        <w:rPr>
          <w:rFonts w:ascii="Calibri" w:hAnsi="Calibri"/>
          <w:sz w:val="21"/>
        </w:rPr>
        <w:t>Autofacturación de subcontratados a partir de trabajos liquidados.</w:t>
      </w:r>
    </w:p>
    <w:p>
      <w:pPr>
        <w:spacing w:after="60" w:line="264" w:lineRule="auto"/>
        <w:ind w:left="283" w:hanging="170"/>
      </w:pPr>
      <w:r>
        <w:rPr>
          <w:rFonts w:ascii="Calibri" w:hAnsi="Calibri"/>
          <w:b/>
          <w:color w:val="1F4E79"/>
          <w:sz w:val="21"/>
        </w:rPr>
        <w:t xml:space="preserve">• </w:t>
      </w:r>
      <w:r>
        <w:rPr>
          <w:rFonts w:ascii="Calibri" w:hAnsi="Calibri"/>
          <w:sz w:val="21"/>
        </w:rPr>
        <w:t>Paneles de seguimiento administrativo y calidad de servicio.</w:t>
      </w:r>
    </w:p>
    <w:p>
      <w:pPr>
        <w:pStyle w:val="Heading2"/>
      </w:pPr>
      <w:r>
        <w:t>6.7 Módulo satélite 7. Portal de peritos</w:t>
      </w:r>
    </w:p>
    <w:p>
      <w:pPr>
        <w:spacing w:after="120" w:line="276" w:lineRule="auto"/>
      </w:pPr>
      <w:r>
        <w:rPr>
          <w:rFonts w:ascii="Calibri" w:hAnsi="Calibri"/>
          <w:sz w:val="21"/>
        </w:rPr>
        <w:t>Este portal canaliza la interacción técnica con auditores externos y evita bloqueos por instrucciones periciales dispersas en correo o teléfono.</w:t>
      </w:r>
    </w:p>
    <w:p>
      <w:pPr>
        <w:spacing w:after="60" w:line="264" w:lineRule="auto"/>
        <w:ind w:left="283" w:hanging="170"/>
      </w:pPr>
      <w:r>
        <w:rPr>
          <w:rFonts w:ascii="Calibri" w:hAnsi="Calibri"/>
          <w:b/>
          <w:color w:val="1F4E79"/>
          <w:sz w:val="21"/>
        </w:rPr>
        <w:t xml:space="preserve">• </w:t>
      </w:r>
      <w:r>
        <w:rPr>
          <w:rFonts w:ascii="Calibri" w:hAnsi="Calibri"/>
          <w:sz w:val="21"/>
        </w:rPr>
        <w:t>Acceso RBAC seguro y expedientes limitados a los peritos asignados.</w:t>
      </w:r>
    </w:p>
    <w:p>
      <w:pPr>
        <w:spacing w:after="60" w:line="264" w:lineRule="auto"/>
        <w:ind w:left="283" w:hanging="170"/>
      </w:pPr>
      <w:r>
        <w:rPr>
          <w:rFonts w:ascii="Calibri" w:hAnsi="Calibri"/>
          <w:b/>
          <w:color w:val="1F4E79"/>
          <w:sz w:val="21"/>
        </w:rPr>
        <w:t xml:space="preserve">• </w:t>
      </w:r>
      <w:r>
        <w:rPr>
          <w:rFonts w:ascii="Calibri" w:hAnsi="Calibri"/>
          <w:sz w:val="21"/>
        </w:rPr>
        <w:t>Visualización de evidencias, parte PDF y datos mínimos del expediente.</w:t>
      </w:r>
    </w:p>
    <w:p>
      <w:pPr>
        <w:spacing w:after="60" w:line="264" w:lineRule="auto"/>
        <w:ind w:left="283" w:hanging="170"/>
      </w:pPr>
      <w:r>
        <w:rPr>
          <w:rFonts w:ascii="Calibri" w:hAnsi="Calibri"/>
          <w:b/>
          <w:color w:val="1F4E79"/>
          <w:sz w:val="21"/>
        </w:rPr>
        <w:t xml:space="preserve">• </w:t>
      </w:r>
      <w:r>
        <w:rPr>
          <w:rFonts w:ascii="Calibri" w:hAnsi="Calibri"/>
          <w:sz w:val="21"/>
        </w:rPr>
        <w:t>Formulario de resolución: aprobar, rechazar, solicitar más información o emitir instrucción técnica.</w:t>
      </w:r>
    </w:p>
    <w:p>
      <w:pPr>
        <w:spacing w:after="60" w:line="264" w:lineRule="auto"/>
        <w:ind w:left="283" w:hanging="170"/>
      </w:pPr>
      <w:r>
        <w:rPr>
          <w:rFonts w:ascii="Calibri" w:hAnsi="Calibri"/>
          <w:b/>
          <w:color w:val="1F4E79"/>
          <w:sz w:val="21"/>
        </w:rPr>
        <w:t xml:space="preserve">• </w:t>
      </w:r>
      <w:r>
        <w:rPr>
          <w:rFonts w:ascii="Calibri" w:hAnsi="Calibri"/>
          <w:sz w:val="21"/>
        </w:rPr>
        <w:t>Inyección automática de la resolución en el timeline central.</w:t>
      </w:r>
    </w:p>
    <w:p>
      <w:pPr>
        <w:spacing w:after="60" w:line="264" w:lineRule="auto"/>
        <w:ind w:left="283" w:hanging="170"/>
      </w:pPr>
      <w:r>
        <w:rPr>
          <w:rFonts w:ascii="Calibri" w:hAnsi="Calibri"/>
          <w:b/>
          <w:color w:val="1F4E79"/>
          <w:sz w:val="21"/>
        </w:rPr>
        <w:t xml:space="preserve">• </w:t>
      </w:r>
      <w:r>
        <w:rPr>
          <w:rFonts w:ascii="Calibri" w:hAnsi="Calibri"/>
          <w:sz w:val="21"/>
        </w:rPr>
        <w:t>Evento de desbloqueo o reruteo del expediente cuando proceda.</w:t>
      </w:r>
    </w:p>
    <w:p>
      <w:pPr>
        <w:pStyle w:val="Heading2"/>
      </w:pPr>
      <w:r>
        <w:t>6.8 Módulo satélite 8. Task manager interno</w:t>
      </w:r>
    </w:p>
    <w:p>
      <w:pPr>
        <w:spacing w:after="120" w:line="276" w:lineRule="auto"/>
      </w:pPr>
      <w:r>
        <w:rPr>
          <w:rFonts w:ascii="Calibri" w:hAnsi="Calibri"/>
          <w:sz w:val="21"/>
        </w:rPr>
        <w:t>Este módulo convierte recordatorios y gestiones internas en una capa formal de productividad. Las tareas no deben perderse ni depender de memoria individual.</w:t>
      </w:r>
    </w:p>
    <w:p>
      <w:pPr>
        <w:spacing w:after="60" w:line="264" w:lineRule="auto"/>
        <w:ind w:left="283" w:hanging="170"/>
      </w:pPr>
      <w:r>
        <w:rPr>
          <w:rFonts w:ascii="Calibri" w:hAnsi="Calibri"/>
          <w:b/>
          <w:color w:val="1F4E79"/>
          <w:sz w:val="21"/>
        </w:rPr>
        <w:t xml:space="preserve">• </w:t>
      </w:r>
      <w:r>
        <w:rPr>
          <w:rFonts w:ascii="Calibri" w:hAnsi="Calibri"/>
          <w:sz w:val="21"/>
        </w:rPr>
        <w:t>Creación de tareas asociadas o no a expediente.</w:t>
      </w:r>
    </w:p>
    <w:p>
      <w:pPr>
        <w:spacing w:after="60" w:line="264" w:lineRule="auto"/>
        <w:ind w:left="283" w:hanging="170"/>
      </w:pPr>
      <w:r>
        <w:rPr>
          <w:rFonts w:ascii="Calibri" w:hAnsi="Calibri"/>
          <w:b/>
          <w:color w:val="1F4E79"/>
          <w:sz w:val="21"/>
        </w:rPr>
        <w:t xml:space="preserve">• </w:t>
      </w:r>
      <w:r>
        <w:rPr>
          <w:rFonts w:ascii="Calibri" w:hAnsi="Calibri"/>
          <w:sz w:val="21"/>
        </w:rPr>
        <w:t>Alertas persistentes tipo bocadillo que solo desaparecen si se resuelven o posponen.</w:t>
      </w:r>
    </w:p>
    <w:p>
      <w:pPr>
        <w:spacing w:after="60" w:line="264" w:lineRule="auto"/>
        <w:ind w:left="283" w:hanging="170"/>
      </w:pPr>
      <w:r>
        <w:rPr>
          <w:rFonts w:ascii="Calibri" w:hAnsi="Calibri"/>
          <w:b/>
          <w:color w:val="1F4E79"/>
          <w:sz w:val="21"/>
        </w:rPr>
        <w:t xml:space="preserve">• </w:t>
      </w:r>
      <w:r>
        <w:rPr>
          <w:rFonts w:ascii="Calibri" w:hAnsi="Calibri"/>
          <w:sz w:val="21"/>
        </w:rPr>
        <w:t>Panel Kanban centralizado por usuario, estado y prioridad.</w:t>
      </w:r>
    </w:p>
    <w:p>
      <w:pPr>
        <w:spacing w:after="60" w:line="264" w:lineRule="auto"/>
        <w:ind w:left="283" w:hanging="170"/>
      </w:pPr>
      <w:r>
        <w:rPr>
          <w:rFonts w:ascii="Calibri" w:hAnsi="Calibri"/>
          <w:b/>
          <w:color w:val="1F4E79"/>
          <w:sz w:val="21"/>
        </w:rPr>
        <w:t xml:space="preserve">• </w:t>
      </w:r>
      <w:r>
        <w:rPr>
          <w:rFonts w:ascii="Calibri" w:hAnsi="Calibri"/>
          <w:sz w:val="21"/>
        </w:rPr>
        <w:t>Histórico de resolución para SLA interno y medición del rendimiento administrativo.</w:t>
      </w:r>
    </w:p>
    <w:p>
      <w:pPr>
        <w:spacing w:after="60" w:line="264" w:lineRule="auto"/>
        <w:ind w:left="283" w:hanging="170"/>
      </w:pPr>
      <w:r>
        <w:rPr>
          <w:rFonts w:ascii="Calibri" w:hAnsi="Calibri"/>
          <w:b/>
          <w:color w:val="1F4E79"/>
          <w:sz w:val="21"/>
        </w:rPr>
        <w:t xml:space="preserve">• </w:t>
      </w:r>
      <w:r>
        <w:rPr>
          <w:rFonts w:ascii="Calibri" w:hAnsi="Calibri"/>
          <w:sz w:val="21"/>
        </w:rPr>
        <w:t>Uso transversal desde cualquier módulo del ERP.</w:t>
      </w:r>
    </w:p>
    <w:p>
      <w:pPr>
        <w:pStyle w:val="Heading2"/>
      </w:pPr>
      <w:r>
        <w:t>6.9 Módulo satélite 9. Customer tracking</w:t>
      </w:r>
    </w:p>
    <w:p>
      <w:pPr>
        <w:spacing w:after="120" w:line="276" w:lineRule="auto"/>
      </w:pPr>
      <w:r>
        <w:rPr>
          <w:rFonts w:ascii="Calibri" w:hAnsi="Calibri"/>
          <w:sz w:val="21"/>
        </w:rPr>
        <w:t>Este portal ofrece transparencia al asegurado o cliente final, reduce llamadas entrantes y mejora la experiencia del servicio.</w:t>
      </w:r>
    </w:p>
    <w:p>
      <w:pPr>
        <w:spacing w:after="60" w:line="264" w:lineRule="auto"/>
        <w:ind w:left="283" w:hanging="170"/>
      </w:pPr>
      <w:r>
        <w:rPr>
          <w:rFonts w:ascii="Calibri" w:hAnsi="Calibri"/>
          <w:b/>
          <w:color w:val="1F4E79"/>
          <w:sz w:val="21"/>
        </w:rPr>
        <w:t xml:space="preserve">• </w:t>
      </w:r>
      <w:r>
        <w:rPr>
          <w:rFonts w:ascii="Calibri" w:hAnsi="Calibri"/>
          <w:sz w:val="21"/>
        </w:rPr>
        <w:t>Generación de enlaces mágicos seguros sin necesidad de usuario ni contraseña.</w:t>
      </w:r>
    </w:p>
    <w:p>
      <w:pPr>
        <w:spacing w:after="60" w:line="264" w:lineRule="auto"/>
        <w:ind w:left="283" w:hanging="170"/>
      </w:pPr>
      <w:r>
        <w:rPr>
          <w:rFonts w:ascii="Calibri" w:hAnsi="Calibri"/>
          <w:b/>
          <w:color w:val="1F4E79"/>
          <w:sz w:val="21"/>
        </w:rPr>
        <w:t xml:space="preserve">• </w:t>
      </w:r>
      <w:r>
        <w:rPr>
          <w:rFonts w:ascii="Calibri" w:hAnsi="Calibri"/>
          <w:sz w:val="21"/>
        </w:rPr>
        <w:t>Timeline visual del estado del expediente.</w:t>
      </w:r>
    </w:p>
    <w:p>
      <w:pPr>
        <w:spacing w:after="60" w:line="264" w:lineRule="auto"/>
        <w:ind w:left="283" w:hanging="170"/>
      </w:pPr>
      <w:r>
        <w:rPr>
          <w:rFonts w:ascii="Calibri" w:hAnsi="Calibri"/>
          <w:b/>
          <w:color w:val="1F4E79"/>
          <w:sz w:val="21"/>
        </w:rPr>
        <w:t xml:space="preserve">• </w:t>
      </w:r>
      <w:r>
        <w:rPr>
          <w:rFonts w:ascii="Calibri" w:hAnsi="Calibri"/>
          <w:sz w:val="21"/>
        </w:rPr>
        <w:t>Detalle de cita, franja, técnico asignado y botones de confirmación o cambio de hora.</w:t>
      </w:r>
    </w:p>
    <w:p>
      <w:pPr>
        <w:spacing w:after="60" w:line="264" w:lineRule="auto"/>
        <w:ind w:left="283" w:hanging="170"/>
      </w:pPr>
      <w:r>
        <w:rPr>
          <w:rFonts w:ascii="Calibri" w:hAnsi="Calibri"/>
          <w:b/>
          <w:color w:val="1F4E79"/>
          <w:sz w:val="21"/>
        </w:rPr>
        <w:t xml:space="preserve">• </w:t>
      </w:r>
      <w:r>
        <w:rPr>
          <w:rFonts w:ascii="Calibri" w:hAnsi="Calibri"/>
          <w:sz w:val="21"/>
        </w:rPr>
        <w:t>Recepción de comentarios del cliente y registro cronológico en el expediente.</w:t>
      </w:r>
    </w:p>
    <w:p>
      <w:pPr>
        <w:spacing w:after="60" w:line="264" w:lineRule="auto"/>
        <w:ind w:left="283" w:hanging="170"/>
      </w:pPr>
      <w:r>
        <w:rPr>
          <w:rFonts w:ascii="Calibri" w:hAnsi="Calibri"/>
          <w:b/>
          <w:color w:val="1F4E79"/>
          <w:sz w:val="21"/>
        </w:rPr>
        <w:t xml:space="preserve">• </w:t>
      </w:r>
      <w:r>
        <w:rPr>
          <w:rFonts w:ascii="Calibri" w:hAnsi="Calibri"/>
          <w:sz w:val="21"/>
        </w:rPr>
        <w:t>Encuesta final de satisfacción y NPS cuando el expediente se complete.</w:t>
      </w:r>
    </w:p>
    <w:p>
      <w:pPr>
        <w:pStyle w:val="Heading1"/>
      </w:pPr>
      <w:r>
        <w:t>7. Máquina de estados del expediente</w:t>
      </w:r>
    </w:p>
    <w:p>
      <w:pPr>
        <w:spacing w:after="120" w:line="276" w:lineRule="auto"/>
      </w:pPr>
      <w:r>
        <w:rPr>
          <w:rFonts w:ascii="Calibri" w:hAnsi="Calibri"/>
          <w:sz w:val="21"/>
        </w:rPr>
        <w:t>El expediente debe modelarse como una máquina de estados finitos. Esto evita inconsistencias funcionales, limita acciones inválidas y simplifica la orquestación entre módulos.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247"/>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Estado</w:t>
            </w:r>
          </w:p>
        </w:tc>
        <w:tc>
          <w:tcPr>
            <w:tcW w:type="dxa" w:w="2948"/>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Descripción funcional</w:t>
            </w:r>
          </w:p>
        </w:tc>
        <w:tc>
          <w:tcPr>
            <w:tcW w:type="dxa" w:w="2154"/>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Eventos de entrada</w:t>
            </w:r>
          </w:p>
        </w:tc>
        <w:tc>
          <w:tcPr>
            <w:tcW w:type="dxa" w:w="2835"/>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Eventos de salida / transición</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NUEVO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 recibido y pendiente de ser trabajado</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Ingesta.Recibida</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Cita.Agendada → EN_CURSO / Anulación → CANCELADO</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EN_CURSO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 asignado y con trabajo operativo activo</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Cita.Agendada</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Bloqueo detectado → PENDIENTE / Validación técnica → FINALIZADO</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PENDIENTE</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 bloqueado por causa operativa, técnica o logística</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Material requerido, cliente ausente, espera perito</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Desbloqueo → EN_CURSO / Cierre administrativo → CANCELADO</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FINALIZADO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Trabajo completado y validado técnicamente</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Informe validado + conceptos cerrados</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Factura emitida → FACTURADO</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FACTURADO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Factura emitida y remitida al cliente</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Factura.Emitida</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Cobro recibido → COBRADO / Mora → FACTURA_CADUCADA</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COBRADO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Ingreso recibido y conciliado</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Pago.Registrado</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Cierre económico</w:t>
            </w:r>
          </w:p>
        </w:tc>
      </w:tr>
      <w:tr>
        <w:tc>
          <w:tcPr>
            <w:tcW w:type="dxa" w:w="124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CANCELADO</w:t>
            </w:r>
          </w:p>
        </w:tc>
        <w:tc>
          <w:tcPr>
            <w:tcW w:type="dxa" w:w="2948"/>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 anulado o descartado</w:t>
            </w:r>
          </w:p>
        </w:tc>
        <w:tc>
          <w:tcPr>
            <w:tcW w:type="dxa" w:w="2154"/>
            <w:vAlign w:val="center"/>
            <w:tcBorders>
              <w:left w:val="single" w:sz="6" w:color="B7C6D9"/>
              <w:top w:val="single" w:sz="6" w:color="B7C6D9"/>
              <w:right w:val="single" w:sz="6" w:color="B7C6D9"/>
              <w:bottom w:val="single" w:sz="6" w:color="B7C6D9"/>
            </w:tcBorders>
          </w:tcPr>
          <w:p>
            <w:pPr>
              <w:jc w:val="left"/>
            </w:pPr>
            <w:r>
              <w:rPr>
                <w:rFonts w:ascii="Calibri" w:hAnsi="Calibri"/>
                <w:sz w:val="18"/>
              </w:rPr>
              <w:t>Cancelación</w:t>
            </w:r>
          </w:p>
        </w:tc>
        <w:tc>
          <w:tcPr>
            <w:tcW w:type="dxa" w:w="2835"/>
            <w:vAlign w:val="center"/>
            <w:tcBorders>
              <w:left w:val="single" w:sz="6" w:color="B7C6D9"/>
              <w:top w:val="single" w:sz="6" w:color="B7C6D9"/>
              <w:right w:val="single" w:sz="6" w:color="B7C6D9"/>
              <w:bottom w:val="single" w:sz="6" w:color="B7C6D9"/>
            </w:tcBorders>
          </w:tcPr>
          <w:p>
            <w:pPr>
              <w:jc w:val="left"/>
            </w:pPr>
            <w:r>
              <w:rPr>
                <w:rFonts w:ascii="Calibri" w:hAnsi="Calibri"/>
                <w:sz w:val="18"/>
              </w:rPr>
              <w:t>No aplica</w:t>
            </w:r>
          </w:p>
        </w:tc>
      </w:tr>
    </w:tbl>
    <w:p/>
    <w:tbl>
      <w:tblPr>
        <w:tblW w:type="auto" w:w="0"/>
        <w:jc w:val="center"/>
        <w:tblLayout w:type="fixed"/>
        <w:tblLook w:firstColumn="1" w:firstRow="1" w:lastColumn="0" w:lastRow="0" w:noHBand="0" w:noVBand="1" w:val="04A0"/>
      </w:tblPr>
      <w:tblGrid>
        <w:gridCol w:w="9525"/>
      </w:tblGrid>
      <w:tr>
        <w:trPr>
          <w:tblHeader w:val="true"/>
        </w:trPr>
        <w:tc>
          <w:tcPr>
            <w:tcW w:type="dxa" w:w="9524"/>
            <w:shd w:fill="1F4E79"/>
            <w:tcBorders>
              <w:left w:val="single" w:sz="4" w:color="1F4E79"/>
              <w:top w:val="single" w:sz="4" w:color="1F4E79"/>
              <w:right w:val="single" w:sz="4" w:color="1F4E79"/>
              <w:bottom w:val="single" w:sz="4" w:color="1F4E79"/>
            </w:tcBorders>
          </w:tcPr>
          <w:p>
            <w:r>
              <w:rPr>
                <w:rFonts w:ascii="Calibri" w:hAnsi="Calibri"/>
                <w:b/>
                <w:color w:val="FFFFFF"/>
                <w:sz w:val="21"/>
              </w:rPr>
              <w:t>Regla esencial</w:t>
            </w:r>
          </w:p>
        </w:tc>
      </w:tr>
      <w:tr>
        <w:tc>
          <w:tcPr>
            <w:tcW w:type="dxa" w:w="9524"/>
            <w:shd w:fill="EEF4FB"/>
            <w:tcBorders>
              <w:left w:val="single" w:sz="4" w:color="AFC3DF"/>
              <w:top w:val="single" w:sz="4" w:color="AFC3DF"/>
              <w:right w:val="single" w:sz="4" w:color="AFC3DF"/>
              <w:bottom w:val="single" w:sz="4" w:color="AFC3DF"/>
            </w:tcBorders>
          </w:tcPr>
          <w:p>
            <w:r>
              <w:rPr>
                <w:rFonts w:ascii="Calibri" w:hAnsi="Calibri"/>
                <w:sz w:val="20"/>
              </w:rPr>
              <w:t>Ningún módulo puede ejecutar acciones críticas sin comprobar el estado actual del expediente. Por ejemplo, no se puede facturar un expediente en estado NUEVO o PENDIENTE, ni marcar como FINALIZADO un expediente sin informe de operario validado o sin causa de bloqueo resuelta.</w:t>
            </w:r>
          </w:p>
        </w:tc>
      </w:tr>
    </w:tbl>
    <w:p/>
    <w:p>
      <w:pPr>
        <w:pStyle w:val="Heading1"/>
      </w:pPr>
      <w:r>
        <w:t>8. Eventos de dominio e interconexión entre módulos</w:t>
      </w:r>
    </w:p>
    <w:p>
      <w:pPr>
        <w:spacing w:after="120" w:line="276" w:lineRule="auto"/>
      </w:pPr>
      <w:r>
        <w:rPr>
          <w:rFonts w:ascii="Calibri" w:hAnsi="Calibri"/>
          <w:sz w:val="21"/>
        </w:rPr>
        <w:t>La arquitectura recomendada es orientada a eventos. Cada acción relevante publica un evento en un bus central para que otros módulos reaccionen sin acoplamiento fuerte. Esto permite resiliencia, escalado y trazabilidad.</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871"/>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Evento</w:t>
            </w:r>
          </w:p>
        </w:tc>
        <w:tc>
          <w:tcPr>
            <w:tcW w:type="dxa" w:w="1417"/>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Origen</w:t>
            </w:r>
          </w:p>
        </w:tc>
        <w:tc>
          <w:tcPr>
            <w:tcW w:type="dxa" w:w="2721"/>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Consumidores típicos</w:t>
            </w:r>
          </w:p>
        </w:tc>
        <w:tc>
          <w:tcPr>
            <w:tcW w:type="dxa" w:w="3515"/>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Efecto esperado</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Ingesta.Recibida</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1</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UI, BI, SLA monitor</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Aparece en asignaciones nuevas y se inicia trazabilidad</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Cita.Agendada</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2</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Aseguradora, operario, customer tracking</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 informa del primer contacto, se notifica al técnico y se genera visibilidad para cliente</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Informe.Recibido</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3</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Document service, oficina, watchdog</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 genera PDF, aparece en informe de operarios y se limpia caducidad</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Pedido.Creado</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5</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Proveedor, timeline</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 lanza solicitud de material con deadline</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Pedido.Confirmado</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5</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Planificador, oficina</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Pasa a pedidos a recoger y habilita reagendado</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Instruccion.Pericial.Emitida</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Portal peritos</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Timeline, expediente, oficina</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 desbloquea o rerutea el expediente</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Expediente.Finalizado</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4</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Facturación, BI</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Entra en pendiente de facturar si no se emite factura</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Factura.Emitida</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Módulo 4</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Tesorería, contabilidad, BI</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 inicia monitor de cobro</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Tarea.Disparada</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Task manager</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Usuario asignado</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Bocadillo persistente y entrada en panel de tareas</w:t>
            </w:r>
          </w:p>
        </w:tc>
      </w:tr>
      <w:tr>
        <w:tc>
          <w:tcPr>
            <w:tcW w:type="dxa" w:w="1871"/>
            <w:vAlign w:val="center"/>
            <w:tcBorders>
              <w:left w:val="single" w:sz="6" w:color="B7C6D9"/>
              <w:top w:val="single" w:sz="6" w:color="B7C6D9"/>
              <w:right w:val="single" w:sz="6" w:color="B7C6D9"/>
              <w:bottom w:val="single" w:sz="6" w:color="B7C6D9"/>
            </w:tcBorders>
          </w:tcPr>
          <w:p>
            <w:pPr>
              <w:jc w:val="left"/>
            </w:pPr>
            <w:r>
              <w:rPr>
                <w:rFonts w:ascii="Calibri" w:hAnsi="Calibri"/>
                <w:sz w:val="18"/>
              </w:rPr>
              <w:t>Cliente.ConfirmaCita</w:t>
            </w:r>
          </w:p>
        </w:tc>
        <w:tc>
          <w:tcPr>
            <w:tcW w:type="dxa" w:w="1417"/>
            <w:vAlign w:val="center"/>
            <w:tcBorders>
              <w:left w:val="single" w:sz="6" w:color="B7C6D9"/>
              <w:top w:val="single" w:sz="6" w:color="B7C6D9"/>
              <w:right w:val="single" w:sz="6" w:color="B7C6D9"/>
              <w:bottom w:val="single" w:sz="6" w:color="B7C6D9"/>
            </w:tcBorders>
          </w:tcPr>
          <w:p>
            <w:pPr>
              <w:jc w:val="center"/>
            </w:pPr>
            <w:r>
              <w:rPr>
                <w:rFonts w:ascii="Calibri" w:hAnsi="Calibri"/>
                <w:sz w:val="18"/>
              </w:rPr>
              <w:t>Customer tracking</w:t>
            </w:r>
          </w:p>
        </w:tc>
        <w:tc>
          <w:tcPr>
            <w:tcW w:type="dxa" w:w="2721"/>
            <w:vAlign w:val="center"/>
            <w:tcBorders>
              <w:left w:val="single" w:sz="6" w:color="B7C6D9"/>
              <w:top w:val="single" w:sz="6" w:color="B7C6D9"/>
              <w:right w:val="single" w:sz="6" w:color="B7C6D9"/>
              <w:bottom w:val="single" w:sz="6" w:color="B7C6D9"/>
            </w:tcBorders>
          </w:tcPr>
          <w:p>
            <w:pPr>
              <w:jc w:val="left"/>
            </w:pPr>
            <w:r>
              <w:rPr>
                <w:rFonts w:ascii="Calibri" w:hAnsi="Calibri"/>
                <w:sz w:val="18"/>
              </w:rPr>
              <w:t>Timeline, planificador</w:t>
            </w:r>
          </w:p>
        </w:tc>
        <w:tc>
          <w:tcPr>
            <w:tcW w:type="dxa" w:w="3515"/>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 registra confirmación y baja riesgo de no localización</w:t>
            </w:r>
          </w:p>
        </w:tc>
      </w:tr>
    </w:tbl>
    <w:p/>
    <w:p>
      <w:pPr>
        <w:spacing w:after="120" w:line="276" w:lineRule="auto"/>
      </w:pPr>
      <w:r>
        <w:rPr>
          <w:rFonts w:ascii="Calibri" w:hAnsi="Calibri"/>
          <w:sz w:val="21"/>
        </w:rPr>
        <w:t>Tecnológicamente, esta capa puede implementarse con RabbitMQ, Kafka o Redis Streams/PubSub según el volumen esperado y la complejidad de orquestación. Para el front en tiempo real, es recomendable un gateway de WebSockets o Server-Sent Events para refrescar bandejas, alertas y timelines sin recarga.</w:t>
      </w:r>
    </w:p>
    <w:p>
      <w:pPr>
        <w:pStyle w:val="Heading1"/>
      </w:pPr>
      <w:r>
        <w:t>9. Modelo de datos conceptual mínimo</w:t>
      </w:r>
    </w:p>
    <w:p>
      <w:pPr>
        <w:spacing w:after="120" w:line="276" w:lineRule="auto"/>
      </w:pPr>
      <w:r>
        <w:rPr>
          <w:rFonts w:ascii="Calibri" w:hAnsi="Calibri"/>
          <w:sz w:val="21"/>
        </w:rPr>
        <w:t>El modelo relacional o híbrido debe pivotar sobre la entidad Expediente. A partir de ella se articulan relaciones transaccionales, documentales, analíticas y de comunicación.</w:t>
      </w:r>
    </w:p>
    <w:p>
      <w:pPr>
        <w:spacing w:after="60" w:line="264" w:lineRule="auto"/>
        <w:ind w:left="283" w:hanging="170"/>
      </w:pPr>
      <w:r>
        <w:rPr>
          <w:rFonts w:ascii="Calibri" w:hAnsi="Calibri"/>
          <w:b/>
          <w:color w:val="1F4E79"/>
          <w:sz w:val="21"/>
        </w:rPr>
        <w:t xml:space="preserve">• </w:t>
      </w:r>
      <w:r>
        <w:rPr>
          <w:rFonts w:ascii="Calibri" w:hAnsi="Calibri"/>
          <w:sz w:val="21"/>
        </w:rPr>
        <w:t>Expedientes: datos base, estado, cliente, aseguradora, referencias externas, prioridad, SLA y timestamps.</w:t>
      </w:r>
    </w:p>
    <w:p>
      <w:pPr>
        <w:spacing w:after="60" w:line="264" w:lineRule="auto"/>
        <w:ind w:left="283" w:hanging="170"/>
      </w:pPr>
      <w:r>
        <w:rPr>
          <w:rFonts w:ascii="Calibri" w:hAnsi="Calibri"/>
          <w:b/>
          <w:color w:val="1F4E79"/>
          <w:sz w:val="21"/>
        </w:rPr>
        <w:t xml:space="preserve">• </w:t>
      </w:r>
      <w:r>
        <w:rPr>
          <w:rFonts w:ascii="Calibri" w:hAnsi="Calibri"/>
          <w:sz w:val="21"/>
        </w:rPr>
        <w:t>Clientes/Asegurados: información personal y de contacto, direcciones, consentimientos y segmentación.</w:t>
      </w:r>
    </w:p>
    <w:p>
      <w:pPr>
        <w:spacing w:after="60" w:line="264" w:lineRule="auto"/>
        <w:ind w:left="283" w:hanging="170"/>
      </w:pPr>
      <w:r>
        <w:rPr>
          <w:rFonts w:ascii="Calibri" w:hAnsi="Calibri"/>
          <w:b/>
          <w:color w:val="1F4E79"/>
          <w:sz w:val="21"/>
        </w:rPr>
        <w:t xml:space="preserve">• </w:t>
      </w:r>
      <w:r>
        <w:rPr>
          <w:rFonts w:ascii="Calibri" w:hAnsi="Calibri"/>
          <w:sz w:val="21"/>
        </w:rPr>
        <w:t>Comunicaciones_Seguimiento: timeline cronológico de mensajes, eventos, notas, cambios de estado e interacciones externas.</w:t>
      </w:r>
    </w:p>
    <w:p>
      <w:pPr>
        <w:spacing w:after="60" w:line="264" w:lineRule="auto"/>
        <w:ind w:left="283" w:hanging="170"/>
      </w:pPr>
      <w:r>
        <w:rPr>
          <w:rFonts w:ascii="Calibri" w:hAnsi="Calibri"/>
          <w:b/>
          <w:color w:val="1F4E79"/>
          <w:sz w:val="21"/>
        </w:rPr>
        <w:t xml:space="preserve">• </w:t>
      </w:r>
      <w:r>
        <w:rPr>
          <w:rFonts w:ascii="Calibri" w:hAnsi="Calibri"/>
          <w:sz w:val="21"/>
        </w:rPr>
        <w:t>Operarios y Gremios: catálogo de recursos, capacidades, zonas, horarios, costes y tipo de relación laboral.</w:t>
      </w:r>
    </w:p>
    <w:p>
      <w:pPr>
        <w:spacing w:after="60" w:line="264" w:lineRule="auto"/>
        <w:ind w:left="283" w:hanging="170"/>
      </w:pPr>
      <w:r>
        <w:rPr>
          <w:rFonts w:ascii="Calibri" w:hAnsi="Calibri"/>
          <w:b/>
          <w:color w:val="1F4E79"/>
          <w:sz w:val="21"/>
        </w:rPr>
        <w:t xml:space="preserve">• </w:t>
      </w:r>
      <w:r>
        <w:rPr>
          <w:rFonts w:ascii="Calibri" w:hAnsi="Calibri"/>
          <w:sz w:val="21"/>
        </w:rPr>
        <w:t>Citas: agenda, franja, estado de cita, observaciones, operario asignado y confirmaciones.</w:t>
      </w:r>
    </w:p>
    <w:p>
      <w:pPr>
        <w:spacing w:after="60" w:line="264" w:lineRule="auto"/>
        <w:ind w:left="283" w:hanging="170"/>
      </w:pPr>
      <w:r>
        <w:rPr>
          <w:rFonts w:ascii="Calibri" w:hAnsi="Calibri"/>
          <w:b/>
          <w:color w:val="1F4E79"/>
          <w:sz w:val="21"/>
        </w:rPr>
        <w:t xml:space="preserve">• </w:t>
      </w:r>
      <w:r>
        <w:rPr>
          <w:rFonts w:ascii="Calibri" w:hAnsi="Calibri"/>
          <w:sz w:val="21"/>
        </w:rPr>
        <w:t>Reportes_Operario: textos estructurados, checklist, firmas, multimedia y metadatos de sincronización.</w:t>
      </w:r>
    </w:p>
    <w:p>
      <w:pPr>
        <w:spacing w:after="60" w:line="264" w:lineRule="auto"/>
        <w:ind w:left="283" w:hanging="170"/>
      </w:pPr>
      <w:r>
        <w:rPr>
          <w:rFonts w:ascii="Calibri" w:hAnsi="Calibri"/>
          <w:b/>
          <w:color w:val="1F4E79"/>
          <w:sz w:val="21"/>
        </w:rPr>
        <w:t xml:space="preserve">• </w:t>
      </w:r>
      <w:r>
        <w:rPr>
          <w:rFonts w:ascii="Calibri" w:hAnsi="Calibri"/>
          <w:sz w:val="21"/>
        </w:rPr>
        <w:t>Documentos_Expediente: PDF generado, evidencias, partes, presupuestos, facturas y anexos.</w:t>
      </w:r>
    </w:p>
    <w:p>
      <w:pPr>
        <w:spacing w:after="60" w:line="264" w:lineRule="auto"/>
        <w:ind w:left="283" w:hanging="170"/>
      </w:pPr>
      <w:r>
        <w:rPr>
          <w:rFonts w:ascii="Calibri" w:hAnsi="Calibri"/>
          <w:b/>
          <w:color w:val="1F4E79"/>
          <w:sz w:val="21"/>
        </w:rPr>
        <w:t xml:space="preserve">• </w:t>
      </w:r>
      <w:r>
        <w:rPr>
          <w:rFonts w:ascii="Calibri" w:hAnsi="Calibri"/>
          <w:sz w:val="21"/>
        </w:rPr>
        <w:t>Presupuesto_Conceptos: especialidad, epígrafe, trabajo, unidad, cantidad, importe, estado y validaciones.</w:t>
      </w:r>
    </w:p>
    <w:p>
      <w:pPr>
        <w:spacing w:after="60" w:line="264" w:lineRule="auto"/>
        <w:ind w:left="283" w:hanging="170"/>
      </w:pPr>
      <w:r>
        <w:rPr>
          <w:rFonts w:ascii="Calibri" w:hAnsi="Calibri"/>
          <w:b/>
          <w:color w:val="1F4E79"/>
          <w:sz w:val="21"/>
        </w:rPr>
        <w:t xml:space="preserve">• </w:t>
      </w:r>
      <w:r>
        <w:rPr>
          <w:rFonts w:ascii="Calibri" w:hAnsi="Calibri"/>
          <w:sz w:val="21"/>
        </w:rPr>
        <w:t>Facturas y Cobros: emisión, vencimiento, canal de entrega, estado de pago, reclamaciones y conciliación.</w:t>
      </w:r>
    </w:p>
    <w:p>
      <w:pPr>
        <w:spacing w:after="60" w:line="264" w:lineRule="auto"/>
        <w:ind w:left="283" w:hanging="170"/>
      </w:pPr>
      <w:r>
        <w:rPr>
          <w:rFonts w:ascii="Calibri" w:hAnsi="Calibri"/>
          <w:b/>
          <w:color w:val="1F4E79"/>
          <w:sz w:val="21"/>
        </w:rPr>
        <w:t xml:space="preserve">• </w:t>
      </w:r>
      <w:r>
        <w:rPr>
          <w:rFonts w:ascii="Calibri" w:hAnsi="Calibri"/>
          <w:sz w:val="21"/>
        </w:rPr>
        <w:t>Pedidos y Pedidos_Materiales: proveedor, deadline, estado logístico y materiales requeridos.</w:t>
      </w:r>
    </w:p>
    <w:p>
      <w:pPr>
        <w:spacing w:after="60" w:line="264" w:lineRule="auto"/>
        <w:ind w:left="283" w:hanging="170"/>
      </w:pPr>
      <w:r>
        <w:rPr>
          <w:rFonts w:ascii="Calibri" w:hAnsi="Calibri"/>
          <w:b/>
          <w:color w:val="1F4E79"/>
          <w:sz w:val="21"/>
        </w:rPr>
        <w:t xml:space="preserve">• </w:t>
      </w:r>
      <w:r>
        <w:rPr>
          <w:rFonts w:ascii="Calibri" w:hAnsi="Calibri"/>
          <w:sz w:val="21"/>
        </w:rPr>
        <w:t>Tareas_Internas: asignación, ejecución, prioridad, posposición y resolución.</w:t>
      </w:r>
    </w:p>
    <w:p>
      <w:pPr>
        <w:spacing w:after="60" w:line="264" w:lineRule="auto"/>
        <w:ind w:left="283" w:hanging="170"/>
      </w:pPr>
      <w:r>
        <w:rPr>
          <w:rFonts w:ascii="Calibri" w:hAnsi="Calibri"/>
          <w:b/>
          <w:color w:val="1F4E79"/>
          <w:sz w:val="21"/>
        </w:rPr>
        <w:t xml:space="preserve">• </w:t>
      </w:r>
      <w:r>
        <w:rPr>
          <w:rFonts w:ascii="Calibri" w:hAnsi="Calibri"/>
          <w:sz w:val="21"/>
        </w:rPr>
        <w:t>Métricas/Views analíticas: tablas derivadas o vistas materializadas para BI y exportaciones.</w:t>
      </w:r>
    </w:p>
    <w:p>
      <w:pPr>
        <w:pStyle w:val="Heading1"/>
      </w:pPr>
      <w:r>
        <w:t>10. Requisitos UX/UI y estructura de navegación</w:t>
      </w:r>
    </w:p>
    <w:p>
      <w:pPr>
        <w:spacing w:after="120" w:line="276" w:lineRule="auto"/>
      </w:pPr>
      <w:r>
        <w:rPr>
          <w:rFonts w:ascii="Calibri" w:hAnsi="Calibri"/>
          <w:sz w:val="21"/>
        </w:rPr>
        <w:t>La aplicación debe priorizar una navegación operativa, reactiva y orientada a bandejas. El menú lateral no debe ser un simple listado de pantallas, sino un panel de trabajo activo con indicadores y contadores.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984"/>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Área</w:t>
            </w:r>
          </w:p>
        </w:tc>
        <w:tc>
          <w:tcPr>
            <w:tcW w:type="dxa" w:w="6803"/>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Contenido recomendado</w:t>
            </w:r>
          </w:p>
        </w:tc>
      </w:tr>
      <w:tr>
        <w:tc>
          <w:tcPr>
            <w:tcW w:type="dxa" w:w="1984"/>
            <w:vAlign w:val="center"/>
            <w:tcBorders>
              <w:left w:val="single" w:sz="6" w:color="B7C6D9"/>
              <w:top w:val="single" w:sz="6" w:color="B7C6D9"/>
              <w:right w:val="single" w:sz="6" w:color="B7C6D9"/>
              <w:bottom w:val="single" w:sz="6" w:color="B7C6D9"/>
            </w:tcBorders>
          </w:tcPr>
          <w:p>
            <w:pPr>
              <w:jc w:val="left"/>
            </w:pPr>
            <w:r>
              <w:rPr>
                <w:rFonts w:ascii="Calibri" w:hAnsi="Calibri"/>
                <w:sz w:val="18"/>
              </w:rPr>
              <w:t>Entrada</w:t>
            </w:r>
          </w:p>
        </w:tc>
        <w:tc>
          <w:tcPr>
            <w:tcW w:type="dxa" w:w="6803"/>
            <w:vAlign w:val="center"/>
            <w:tcBorders>
              <w:left w:val="single" w:sz="6" w:color="B7C6D9"/>
              <w:top w:val="single" w:sz="6" w:color="B7C6D9"/>
              <w:right w:val="single" w:sz="6" w:color="B7C6D9"/>
              <w:bottom w:val="single" w:sz="6" w:color="B7C6D9"/>
            </w:tcBorders>
          </w:tcPr>
          <w:p>
            <w:pPr>
              <w:jc w:val="left"/>
            </w:pPr>
            <w:r>
              <w:rPr>
                <w:rFonts w:ascii="Calibri" w:hAnsi="Calibri"/>
                <w:sz w:val="18"/>
              </w:rPr>
              <w:t>Asignaciones nuevas, buscador universal, comunicaciones</w:t>
            </w:r>
          </w:p>
        </w:tc>
      </w:tr>
      <w:tr>
        <w:tc>
          <w:tcPr>
            <w:tcW w:type="dxa" w:w="1984"/>
            <w:vAlign w:val="center"/>
            <w:tcBorders>
              <w:left w:val="single" w:sz="6" w:color="B7C6D9"/>
              <w:top w:val="single" w:sz="6" w:color="B7C6D9"/>
              <w:right w:val="single" w:sz="6" w:color="B7C6D9"/>
              <w:bottom w:val="single" w:sz="6" w:color="B7C6D9"/>
            </w:tcBorders>
          </w:tcPr>
          <w:p>
            <w:pPr>
              <w:jc w:val="left"/>
            </w:pPr>
            <w:r>
              <w:rPr>
                <w:rFonts w:ascii="Calibri" w:hAnsi="Calibri"/>
                <w:sz w:val="18"/>
              </w:rPr>
              <w:t>Operación</w:t>
            </w:r>
          </w:p>
        </w:tc>
        <w:tc>
          <w:tcPr>
            <w:tcW w:type="dxa" w:w="6803"/>
            <w:vAlign w:val="center"/>
            <w:tcBorders>
              <w:left w:val="single" w:sz="6" w:color="B7C6D9"/>
              <w:top w:val="single" w:sz="6" w:color="B7C6D9"/>
              <w:right w:val="single" w:sz="6" w:color="B7C6D9"/>
              <w:bottom w:val="single" w:sz="6" w:color="B7C6D9"/>
            </w:tcBorders>
          </w:tcPr>
          <w:p>
            <w:pPr>
              <w:jc w:val="left"/>
            </w:pPr>
            <w:r>
              <w:rPr>
                <w:rFonts w:ascii="Calibri" w:hAnsi="Calibri"/>
                <w:sz w:val="18"/>
              </w:rPr>
              <w:t>Expedientes, plan, pendientes, informes de operarios, informes caducados</w:t>
            </w:r>
          </w:p>
        </w:tc>
      </w:tr>
      <w:tr>
        <w:tc>
          <w:tcPr>
            <w:tcW w:type="dxa" w:w="1984"/>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Red externa</w:t>
            </w:r>
          </w:p>
        </w:tc>
        <w:tc>
          <w:tcPr>
            <w:tcW w:type="dxa" w:w="6803"/>
            <w:vAlign w:val="center"/>
            <w:tcBorders>
              <w:left w:val="single" w:sz="6" w:color="B7C6D9"/>
              <w:top w:val="single" w:sz="6" w:color="B7C6D9"/>
              <w:right w:val="single" w:sz="6" w:color="B7C6D9"/>
              <w:bottom w:val="single" w:sz="6" w:color="B7C6D9"/>
            </w:tcBorders>
          </w:tcPr>
          <w:p>
            <w:pPr>
              <w:jc w:val="left"/>
            </w:pPr>
            <w:r>
              <w:rPr>
                <w:rFonts w:ascii="Calibri" w:hAnsi="Calibri"/>
                <w:sz w:val="18"/>
              </w:rPr>
              <w:t>Operarios, proveedores, peritos, customer tracking</w:t>
            </w:r>
          </w:p>
        </w:tc>
      </w:tr>
      <w:tr>
        <w:tc>
          <w:tcPr>
            <w:tcW w:type="dxa" w:w="1984"/>
            <w:vAlign w:val="center"/>
            <w:tcBorders>
              <w:left w:val="single" w:sz="6" w:color="B7C6D9"/>
              <w:top w:val="single" w:sz="6" w:color="B7C6D9"/>
              <w:right w:val="single" w:sz="6" w:color="B7C6D9"/>
              <w:bottom w:val="single" w:sz="6" w:color="B7C6D9"/>
            </w:tcBorders>
          </w:tcPr>
          <w:p>
            <w:pPr>
              <w:jc w:val="left"/>
            </w:pPr>
            <w:r>
              <w:rPr>
                <w:rFonts w:ascii="Calibri" w:hAnsi="Calibri"/>
                <w:sz w:val="18"/>
              </w:rPr>
              <w:t>Finanzas</w:t>
            </w:r>
          </w:p>
        </w:tc>
        <w:tc>
          <w:tcPr>
            <w:tcW w:type="dxa" w:w="6803"/>
            <w:vAlign w:val="center"/>
            <w:tcBorders>
              <w:left w:val="single" w:sz="6" w:color="B7C6D9"/>
              <w:top w:val="single" w:sz="6" w:color="B7C6D9"/>
              <w:right w:val="single" w:sz="6" w:color="B7C6D9"/>
              <w:bottom w:val="single" w:sz="6" w:color="B7C6D9"/>
            </w:tcBorders>
          </w:tcPr>
          <w:p>
            <w:pPr>
              <w:jc w:val="left"/>
            </w:pPr>
            <w:r>
              <w:rPr>
                <w:rFonts w:ascii="Calibri" w:hAnsi="Calibri"/>
                <w:sz w:val="18"/>
              </w:rPr>
              <w:t>Presupuesto, facturas, pendientes de facturar, facturas caducadas</w:t>
            </w:r>
          </w:p>
        </w:tc>
      </w:tr>
      <w:tr>
        <w:tc>
          <w:tcPr>
            <w:tcW w:type="dxa" w:w="1984"/>
            <w:vAlign w:val="center"/>
            <w:tcBorders>
              <w:left w:val="single" w:sz="6" w:color="B7C6D9"/>
              <w:top w:val="single" w:sz="6" w:color="B7C6D9"/>
              <w:right w:val="single" w:sz="6" w:color="B7C6D9"/>
              <w:bottom w:val="single" w:sz="6" w:color="B7C6D9"/>
            </w:tcBorders>
          </w:tcPr>
          <w:p>
            <w:pPr>
              <w:jc w:val="left"/>
            </w:pPr>
            <w:r>
              <w:rPr>
                <w:rFonts w:ascii="Calibri" w:hAnsi="Calibri"/>
                <w:sz w:val="18"/>
              </w:rPr>
              <w:t>Control</w:t>
            </w:r>
          </w:p>
        </w:tc>
        <w:tc>
          <w:tcPr>
            <w:tcW w:type="dxa" w:w="6803"/>
            <w:vAlign w:val="center"/>
            <w:tcBorders>
              <w:left w:val="single" w:sz="6" w:color="B7C6D9"/>
              <w:top w:val="single" w:sz="6" w:color="B7C6D9"/>
              <w:right w:val="single" w:sz="6" w:color="B7C6D9"/>
              <w:bottom w:val="single" w:sz="6" w:color="B7C6D9"/>
            </w:tcBorders>
          </w:tcPr>
          <w:p>
            <w:pPr>
              <w:jc w:val="left"/>
            </w:pPr>
            <w:r>
              <w:rPr>
                <w:rFonts w:ascii="Calibri" w:hAnsi="Calibri"/>
                <w:sz w:val="18"/>
              </w:rPr>
              <w:t>Tareas, alertas, auditoría, documentos, configuraciones</w:t>
            </w:r>
          </w:p>
        </w:tc>
      </w:tr>
      <w:tr>
        <w:tc>
          <w:tcPr>
            <w:tcW w:type="dxa" w:w="1984"/>
            <w:vAlign w:val="center"/>
            <w:tcBorders>
              <w:left w:val="single" w:sz="6" w:color="B7C6D9"/>
              <w:top w:val="single" w:sz="6" w:color="B7C6D9"/>
              <w:right w:val="single" w:sz="6" w:color="B7C6D9"/>
              <w:bottom w:val="single" w:sz="6" w:color="B7C6D9"/>
            </w:tcBorders>
          </w:tcPr>
          <w:p>
            <w:pPr>
              <w:jc w:val="left"/>
            </w:pPr>
            <w:r>
              <w:rPr>
                <w:rFonts w:ascii="Calibri" w:hAnsi="Calibri"/>
                <w:sz w:val="18"/>
              </w:rPr>
              <w:t>Dirección</w:t>
            </w:r>
          </w:p>
        </w:tc>
        <w:tc>
          <w:tcPr>
            <w:tcW w:type="dxa" w:w="6803"/>
            <w:vAlign w:val="center"/>
            <w:tcBorders>
              <w:left w:val="single" w:sz="6" w:color="B7C6D9"/>
              <w:top w:val="single" w:sz="6" w:color="B7C6D9"/>
              <w:right w:val="single" w:sz="6" w:color="B7C6D9"/>
              <w:bottom w:val="single" w:sz="6" w:color="B7C6D9"/>
            </w:tcBorders>
          </w:tcPr>
          <w:p>
            <w:pPr>
              <w:jc w:val="left"/>
            </w:pPr>
            <w:r>
              <w:rPr>
                <w:rFonts w:ascii="Calibri" w:hAnsi="Calibri"/>
                <w:sz w:val="18"/>
              </w:rPr>
              <w:t>Cuadro de gerencia, rentabilidad, exportaciones, autofacturación</w:t>
            </w:r>
          </w:p>
        </w:tc>
      </w:tr>
    </w:tbl>
    <w:p/>
    <w:p>
      <w:pPr>
        <w:spacing w:after="60" w:line="264" w:lineRule="auto"/>
        <w:ind w:left="283" w:hanging="170"/>
      </w:pPr>
      <w:r>
        <w:rPr>
          <w:rFonts w:ascii="Calibri" w:hAnsi="Calibri"/>
          <w:b/>
          <w:color w:val="1F4E79"/>
          <w:sz w:val="21"/>
        </w:rPr>
        <w:t xml:space="preserve">• </w:t>
      </w:r>
      <w:r>
        <w:rPr>
          <w:rFonts w:ascii="Calibri" w:hAnsi="Calibri"/>
          <w:sz w:val="21"/>
        </w:rPr>
        <w:t>Header o zona persistente con buscador global, alertas, tareas y acceso al usuario.</w:t>
      </w:r>
    </w:p>
    <w:p>
      <w:pPr>
        <w:spacing w:after="60" w:line="264" w:lineRule="auto"/>
        <w:ind w:left="283" w:hanging="170"/>
      </w:pPr>
      <w:r>
        <w:rPr>
          <w:rFonts w:ascii="Calibri" w:hAnsi="Calibri"/>
          <w:b/>
          <w:color w:val="1F4E79"/>
          <w:sz w:val="21"/>
        </w:rPr>
        <w:t xml:space="preserve">• </w:t>
      </w:r>
      <w:r>
        <w:rPr>
          <w:rFonts w:ascii="Calibri" w:hAnsi="Calibri"/>
          <w:sz w:val="21"/>
        </w:rPr>
        <w:t>Contexto fijo del expediente cuando se navega por pestañas críticas como plan, presupuesto o comunicaciones.</w:t>
      </w:r>
    </w:p>
    <w:p>
      <w:pPr>
        <w:spacing w:after="60" w:line="264" w:lineRule="auto"/>
        <w:ind w:left="283" w:hanging="170"/>
      </w:pPr>
      <w:r>
        <w:rPr>
          <w:rFonts w:ascii="Calibri" w:hAnsi="Calibri"/>
          <w:b/>
          <w:color w:val="1F4E79"/>
          <w:sz w:val="21"/>
        </w:rPr>
        <w:t xml:space="preserve">• </w:t>
      </w:r>
      <w:r>
        <w:rPr>
          <w:rFonts w:ascii="Calibri" w:hAnsi="Calibri"/>
          <w:sz w:val="21"/>
        </w:rPr>
        <w:t>Bandejas en tiempo real con badges numéricos.</w:t>
      </w:r>
    </w:p>
    <w:p>
      <w:pPr>
        <w:spacing w:after="60" w:line="264" w:lineRule="auto"/>
        <w:ind w:left="283" w:hanging="170"/>
      </w:pPr>
      <w:r>
        <w:rPr>
          <w:rFonts w:ascii="Calibri" w:hAnsi="Calibri"/>
          <w:b/>
          <w:color w:val="1F4E79"/>
          <w:sz w:val="21"/>
        </w:rPr>
        <w:t xml:space="preserve">• </w:t>
      </w:r>
      <w:r>
        <w:rPr>
          <w:rFonts w:ascii="Calibri" w:hAnsi="Calibri"/>
          <w:sz w:val="21"/>
        </w:rPr>
        <w:t>Colores operativos consistentes: pendiente, vencido, confirmado, finalizado, facturado y cobrado.</w:t>
      </w:r>
    </w:p>
    <w:p>
      <w:pPr>
        <w:spacing w:after="60" w:line="264" w:lineRule="auto"/>
        <w:ind w:left="283" w:hanging="170"/>
      </w:pPr>
      <w:r>
        <w:rPr>
          <w:rFonts w:ascii="Calibri" w:hAnsi="Calibri"/>
          <w:b/>
          <w:color w:val="1F4E79"/>
          <w:sz w:val="21"/>
        </w:rPr>
        <w:t xml:space="preserve">• </w:t>
      </w:r>
      <w:r>
        <w:rPr>
          <w:rFonts w:ascii="Calibri" w:hAnsi="Calibri"/>
          <w:sz w:val="21"/>
        </w:rPr>
        <w:t>Wizard secuencial para procesos sensibles como agendar cita, cerrar intervención o emitir factura.</w:t>
      </w:r>
    </w:p>
    <w:p>
      <w:pPr>
        <w:spacing w:after="60" w:line="264" w:lineRule="auto"/>
        <w:ind w:left="283" w:hanging="170"/>
      </w:pPr>
      <w:r>
        <w:rPr>
          <w:rFonts w:ascii="Calibri" w:hAnsi="Calibri"/>
          <w:b/>
          <w:color w:val="1F4E79"/>
          <w:sz w:val="21"/>
        </w:rPr>
        <w:t xml:space="preserve">• </w:t>
      </w:r>
      <w:r>
        <w:rPr>
          <w:rFonts w:ascii="Calibri" w:hAnsi="Calibri"/>
          <w:sz w:val="21"/>
        </w:rPr>
        <w:t>Data grids con filtros operativos, guardado de vistas y exportación rápida.</w:t>
      </w:r>
    </w:p>
    <w:p>
      <w:pPr>
        <w:spacing w:after="60" w:line="264" w:lineRule="auto"/>
        <w:ind w:left="283" w:hanging="170"/>
      </w:pPr>
      <w:r>
        <w:rPr>
          <w:rFonts w:ascii="Calibri" w:hAnsi="Calibri"/>
          <w:b/>
          <w:color w:val="1F4E79"/>
          <w:sz w:val="21"/>
        </w:rPr>
        <w:t xml:space="preserve">• </w:t>
      </w:r>
      <w:r>
        <w:rPr>
          <w:rFonts w:ascii="Calibri" w:hAnsi="Calibri"/>
          <w:sz w:val="21"/>
        </w:rPr>
        <w:t>Diseño mobile-first en PWA de operario, proveedor y cliente final.</w:t>
      </w:r>
    </w:p>
    <w:p>
      <w:pPr>
        <w:pStyle w:val="Heading1"/>
      </w:pPr>
      <w:r>
        <w:t>11. Reglas de negocio críticas</w:t>
      </w:r>
    </w:p>
    <w:p>
      <w:pPr>
        <w:spacing w:after="60" w:line="264" w:lineRule="auto"/>
        <w:ind w:left="283" w:hanging="170"/>
      </w:pPr>
      <w:r>
        <w:rPr>
          <w:rFonts w:ascii="Calibri" w:hAnsi="Calibri"/>
          <w:b/>
          <w:color w:val="1F4E79"/>
          <w:sz w:val="21"/>
        </w:rPr>
        <w:t xml:space="preserve">• </w:t>
      </w:r>
      <w:r>
        <w:rPr>
          <w:rFonts w:ascii="Calibri" w:hAnsi="Calibri"/>
          <w:sz w:val="21"/>
        </w:rPr>
        <w:t>Toda cita debe quedar asociada a operario, franja, expediente y estado de notificación.</w:t>
      </w:r>
    </w:p>
    <w:p>
      <w:pPr>
        <w:spacing w:after="60" w:line="264" w:lineRule="auto"/>
        <w:ind w:left="283" w:hanging="170"/>
      </w:pPr>
      <w:r>
        <w:rPr>
          <w:rFonts w:ascii="Calibri" w:hAnsi="Calibri"/>
          <w:b/>
          <w:color w:val="1F4E79"/>
          <w:sz w:val="21"/>
        </w:rPr>
        <w:t xml:space="preserve">• </w:t>
      </w:r>
      <w:r>
        <w:rPr>
          <w:rFonts w:ascii="Calibri" w:hAnsi="Calibri"/>
          <w:sz w:val="21"/>
        </w:rPr>
        <w:t>Toda visita pasada sin parte recibido debe entrar automáticamente en informes caducados hasta su regularización.</w:t>
      </w:r>
    </w:p>
    <w:p>
      <w:pPr>
        <w:spacing w:after="60" w:line="264" w:lineRule="auto"/>
        <w:ind w:left="283" w:hanging="170"/>
      </w:pPr>
      <w:r>
        <w:rPr>
          <w:rFonts w:ascii="Calibri" w:hAnsi="Calibri"/>
          <w:b/>
          <w:color w:val="1F4E79"/>
          <w:sz w:val="21"/>
        </w:rPr>
        <w:t xml:space="preserve">• </w:t>
      </w:r>
      <w:r>
        <w:rPr>
          <w:rFonts w:ascii="Calibri" w:hAnsi="Calibri"/>
          <w:sz w:val="21"/>
        </w:rPr>
        <w:t>Toda necesidad de material debe crear pedido formal con proveedor, deadline y trazabilidad; no debe depender de una nota libre.</w:t>
      </w:r>
    </w:p>
    <w:p>
      <w:pPr>
        <w:spacing w:after="60" w:line="264" w:lineRule="auto"/>
        <w:ind w:left="283" w:hanging="170"/>
      </w:pPr>
      <w:r>
        <w:rPr>
          <w:rFonts w:ascii="Calibri" w:hAnsi="Calibri"/>
          <w:b/>
          <w:color w:val="1F4E79"/>
          <w:sz w:val="21"/>
        </w:rPr>
        <w:t xml:space="preserve">• </w:t>
      </w:r>
      <w:r>
        <w:rPr>
          <w:rFonts w:ascii="Calibri" w:hAnsi="Calibri"/>
          <w:sz w:val="21"/>
        </w:rPr>
        <w:t>Todo informe recibido debe generar o encolar la generación de un PDF oficial con branding correspondiente.</w:t>
      </w:r>
    </w:p>
    <w:p>
      <w:pPr>
        <w:spacing w:after="60" w:line="264" w:lineRule="auto"/>
        <w:ind w:left="283" w:hanging="170"/>
      </w:pPr>
      <w:r>
        <w:rPr>
          <w:rFonts w:ascii="Calibri" w:hAnsi="Calibri"/>
          <w:b/>
          <w:color w:val="1F4E79"/>
          <w:sz w:val="21"/>
        </w:rPr>
        <w:t xml:space="preserve">• </w:t>
      </w:r>
      <w:r>
        <w:rPr>
          <w:rFonts w:ascii="Calibri" w:hAnsi="Calibri"/>
          <w:sz w:val="21"/>
        </w:rPr>
        <w:t>Todo expediente finalizado sin factura emitida debe entrar en la bandeja de pendientes de facturar.</w:t>
      </w:r>
    </w:p>
    <w:p>
      <w:pPr>
        <w:spacing w:after="60" w:line="264" w:lineRule="auto"/>
        <w:ind w:left="283" w:hanging="170"/>
      </w:pPr>
      <w:r>
        <w:rPr>
          <w:rFonts w:ascii="Calibri" w:hAnsi="Calibri"/>
          <w:b/>
          <w:color w:val="1F4E79"/>
          <w:sz w:val="21"/>
        </w:rPr>
        <w:t xml:space="preserve">• </w:t>
      </w:r>
      <w:r>
        <w:rPr>
          <w:rFonts w:ascii="Calibri" w:hAnsi="Calibri"/>
          <w:sz w:val="21"/>
        </w:rPr>
        <w:t>Toda factura emitida sin cobro registrado dentro del plazo parametrizable debe entrar en facturas caducadas.</w:t>
      </w:r>
    </w:p>
    <w:p>
      <w:pPr>
        <w:spacing w:after="60" w:line="264" w:lineRule="auto"/>
        <w:ind w:left="283" w:hanging="170"/>
      </w:pPr>
      <w:r>
        <w:rPr>
          <w:rFonts w:ascii="Calibri" w:hAnsi="Calibri"/>
          <w:b/>
          <w:color w:val="1F4E79"/>
          <w:sz w:val="21"/>
        </w:rPr>
        <w:t xml:space="preserve">• </w:t>
      </w:r>
      <w:r>
        <w:rPr>
          <w:rFonts w:ascii="Calibri" w:hAnsi="Calibri"/>
          <w:sz w:val="21"/>
        </w:rPr>
        <w:t>Toda comunicación externa relevante debe quedar registrada en el timeline del expediente.</w:t>
      </w:r>
    </w:p>
    <w:p>
      <w:pPr>
        <w:spacing w:after="60" w:line="264" w:lineRule="auto"/>
        <w:ind w:left="283" w:hanging="170"/>
      </w:pPr>
      <w:r>
        <w:rPr>
          <w:rFonts w:ascii="Calibri" w:hAnsi="Calibri"/>
          <w:b/>
          <w:color w:val="1F4E79"/>
          <w:sz w:val="21"/>
        </w:rPr>
        <w:t xml:space="preserve">• </w:t>
      </w:r>
      <w:r>
        <w:rPr>
          <w:rFonts w:ascii="Calibri" w:hAnsi="Calibri"/>
          <w:sz w:val="21"/>
        </w:rPr>
        <w:t>Toda interacción de perito, proveedor o cliente final debe producir un evento interno, no solo un dato suelto.</w:t>
      </w:r>
    </w:p>
    <w:p>
      <w:pPr>
        <w:spacing w:after="60" w:line="264" w:lineRule="auto"/>
        <w:ind w:left="283" w:hanging="170"/>
      </w:pPr>
      <w:r>
        <w:rPr>
          <w:rFonts w:ascii="Calibri" w:hAnsi="Calibri"/>
          <w:b/>
          <w:color w:val="1F4E79"/>
          <w:sz w:val="21"/>
        </w:rPr>
        <w:t xml:space="preserve">• </w:t>
      </w:r>
      <w:r>
        <w:rPr>
          <w:rFonts w:ascii="Calibri" w:hAnsi="Calibri"/>
          <w:sz w:val="21"/>
        </w:rPr>
        <w:t>Toda tarea con fecha de ejecución vencida debe presentarse como alerta persistente al usuario asignado.</w:t>
      </w:r>
    </w:p>
    <w:p>
      <w:pPr>
        <w:spacing w:after="60" w:line="264" w:lineRule="auto"/>
        <w:ind w:left="283" w:hanging="170"/>
      </w:pPr>
      <w:r>
        <w:rPr>
          <w:rFonts w:ascii="Calibri" w:hAnsi="Calibri"/>
          <w:b/>
          <w:color w:val="1F4E79"/>
          <w:sz w:val="21"/>
        </w:rPr>
        <w:t xml:space="preserve">• </w:t>
      </w:r>
      <w:r>
        <w:rPr>
          <w:rFonts w:ascii="Calibri" w:hAnsi="Calibri"/>
          <w:sz w:val="21"/>
        </w:rPr>
        <w:t>Todo cambio de estado debe quedar auditado con usuario, timestamp y contexto.</w:t>
      </w:r>
    </w:p>
    <w:p>
      <w:pPr>
        <w:pStyle w:val="Heading1"/>
      </w:pPr>
      <w:r>
        <w:t>12. Seguridad, auditoría y cumplimiento</w:t>
      </w:r>
    </w:p>
    <w:p>
      <w:pPr>
        <w:spacing w:after="120" w:line="276" w:lineRule="auto"/>
      </w:pPr>
      <w:r>
        <w:rPr>
          <w:rFonts w:ascii="Calibri" w:hAnsi="Calibri"/>
          <w:sz w:val="21"/>
        </w:rPr>
        <w:t>El sistema debe diseñarse con enfoque Zero Trust y control por roles. No todos los actores deben ver toda la información, y cada portal satélite solo debe exponer el subconjunto estrictamente necesario.</w:t>
      </w:r>
    </w:p>
    <w:p>
      <w:pPr>
        <w:spacing w:after="60" w:line="264" w:lineRule="auto"/>
        <w:ind w:left="283" w:hanging="170"/>
      </w:pPr>
      <w:r>
        <w:rPr>
          <w:rFonts w:ascii="Calibri" w:hAnsi="Calibri"/>
          <w:b/>
          <w:color w:val="1F4E79"/>
          <w:sz w:val="21"/>
        </w:rPr>
        <w:t xml:space="preserve">• </w:t>
      </w:r>
      <w:r>
        <w:rPr>
          <w:rFonts w:ascii="Calibri" w:hAnsi="Calibri"/>
          <w:sz w:val="21"/>
        </w:rPr>
        <w:t>RBAC por roles: tramitador, supervisor, operario, perito, proveedor, finanzas, dirección, cliente final.</w:t>
      </w:r>
    </w:p>
    <w:p>
      <w:pPr>
        <w:spacing w:after="60" w:line="264" w:lineRule="auto"/>
        <w:ind w:left="283" w:hanging="170"/>
      </w:pPr>
      <w:r>
        <w:rPr>
          <w:rFonts w:ascii="Calibri" w:hAnsi="Calibri"/>
          <w:b/>
          <w:color w:val="1F4E79"/>
          <w:sz w:val="21"/>
        </w:rPr>
        <w:t xml:space="preserve">• </w:t>
      </w:r>
      <w:r>
        <w:rPr>
          <w:rFonts w:ascii="Calibri" w:hAnsi="Calibri"/>
          <w:sz w:val="21"/>
        </w:rPr>
        <w:t>Magic links firmados y con expiración corta para portales de proveedor y asegurado.</w:t>
      </w:r>
    </w:p>
    <w:p>
      <w:pPr>
        <w:spacing w:after="60" w:line="264" w:lineRule="auto"/>
        <w:ind w:left="283" w:hanging="170"/>
      </w:pPr>
      <w:r>
        <w:rPr>
          <w:rFonts w:ascii="Calibri" w:hAnsi="Calibri"/>
          <w:b/>
          <w:color w:val="1F4E79"/>
          <w:sz w:val="21"/>
        </w:rPr>
        <w:t xml:space="preserve">• </w:t>
      </w:r>
      <w:r>
        <w:rPr>
          <w:rFonts w:ascii="Calibri" w:hAnsi="Calibri"/>
          <w:sz w:val="21"/>
        </w:rPr>
        <w:t>Tokens JWT y políticas CORS estrictas para APIs y SPAs.</w:t>
      </w:r>
    </w:p>
    <w:p>
      <w:pPr>
        <w:spacing w:after="60" w:line="264" w:lineRule="auto"/>
        <w:ind w:left="283" w:hanging="170"/>
      </w:pPr>
      <w:r>
        <w:rPr>
          <w:rFonts w:ascii="Calibri" w:hAnsi="Calibri"/>
          <w:b/>
          <w:color w:val="1F4E79"/>
          <w:sz w:val="21"/>
        </w:rPr>
        <w:t xml:space="preserve">• </w:t>
      </w:r>
      <w:r>
        <w:rPr>
          <w:rFonts w:ascii="Calibri" w:hAnsi="Calibri"/>
          <w:sz w:val="21"/>
        </w:rPr>
        <w:t>Separación entre datos operativos, económicos y personales según rol.</w:t>
      </w:r>
    </w:p>
    <w:p>
      <w:pPr>
        <w:spacing w:after="60" w:line="264" w:lineRule="auto"/>
        <w:ind w:left="283" w:hanging="170"/>
      </w:pPr>
      <w:r>
        <w:rPr>
          <w:rFonts w:ascii="Calibri" w:hAnsi="Calibri"/>
          <w:b/>
          <w:color w:val="1F4E79"/>
          <w:sz w:val="21"/>
        </w:rPr>
        <w:t xml:space="preserve">• </w:t>
      </w:r>
      <w:r>
        <w:rPr>
          <w:rFonts w:ascii="Calibri" w:hAnsi="Calibri"/>
          <w:sz w:val="21"/>
        </w:rPr>
        <w:t>Trazabilidad completa de accesos, ediciones, envíos y descargas documentales.</w:t>
      </w:r>
    </w:p>
    <w:p>
      <w:pPr>
        <w:spacing w:after="60" w:line="264" w:lineRule="auto"/>
        <w:ind w:left="283" w:hanging="170"/>
      </w:pPr>
      <w:r>
        <w:rPr>
          <w:rFonts w:ascii="Calibri" w:hAnsi="Calibri"/>
          <w:b/>
          <w:color w:val="1F4E79"/>
          <w:sz w:val="21"/>
        </w:rPr>
        <w:t xml:space="preserve">• </w:t>
      </w:r>
      <w:r>
        <w:rPr>
          <w:rFonts w:ascii="Calibri" w:hAnsi="Calibri"/>
          <w:sz w:val="21"/>
        </w:rPr>
        <w:t>Retención de evidencias, comunicaciones y firmas según política legal y contractual.</w:t>
      </w:r>
    </w:p>
    <w:p>
      <w:pPr>
        <w:spacing w:after="60" w:line="264" w:lineRule="auto"/>
        <w:ind w:left="283" w:hanging="170"/>
      </w:pPr>
      <w:r>
        <w:rPr>
          <w:rFonts w:ascii="Calibri" w:hAnsi="Calibri"/>
          <w:b/>
          <w:color w:val="1F4E79"/>
          <w:sz w:val="21"/>
        </w:rPr>
        <w:t xml:space="preserve">• </w:t>
      </w:r>
      <w:r>
        <w:rPr>
          <w:rFonts w:ascii="Calibri" w:hAnsi="Calibri"/>
          <w:sz w:val="21"/>
        </w:rPr>
        <w:t>Mascarado y minimización de datos en portales externos.</w:t>
      </w:r>
    </w:p>
    <w:p>
      <w:pPr>
        <w:spacing w:after="60" w:line="264" w:lineRule="auto"/>
        <w:ind w:left="283" w:hanging="170"/>
      </w:pPr>
      <w:r>
        <w:rPr>
          <w:rFonts w:ascii="Calibri" w:hAnsi="Calibri"/>
          <w:b/>
          <w:color w:val="1F4E79"/>
          <w:sz w:val="21"/>
        </w:rPr>
        <w:t xml:space="preserve">• </w:t>
      </w:r>
      <w:r>
        <w:rPr>
          <w:rFonts w:ascii="Calibri" w:hAnsi="Calibri"/>
          <w:sz w:val="21"/>
        </w:rPr>
        <w:t>Cifrado en tránsito y en reposo para multimedia, documentos y credenciales.</w:t>
      </w:r>
    </w:p>
    <w:p>
      <w:pPr>
        <w:pStyle w:val="Heading1"/>
      </w:pPr>
      <w:r>
        <w:t>13. Requisitos no funcionales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814"/>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Categoría</w:t>
            </w:r>
          </w:p>
        </w:tc>
        <w:tc>
          <w:tcPr>
            <w:tcW w:type="dxa" w:w="6973"/>
            <w:vAlign w:val="center"/>
            <w:shd w:fill="DCE6F2"/>
            <w:tcBorders>
              <w:left w:val="single" w:sz="6" w:color="B7C6D9"/>
              <w:top w:val="single" w:sz="6" w:color="B7C6D9"/>
              <w:right w:val="single" w:sz="6" w:color="B7C6D9"/>
              <w:bottom w:val="single" w:sz="6" w:color="B7C6D9"/>
            </w:tcBorders>
          </w:tcPr>
          <w:p>
            <w:pPr>
              <w:jc w:val="center"/>
            </w:pPr>
            <w:r>
              <w:rPr>
                <w:rFonts w:ascii="Calibri" w:hAnsi="Calibri"/>
                <w:b/>
                <w:color w:val="18354A"/>
                <w:sz w:val="19"/>
              </w:rPr>
              <w:t>Requisito esperado</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Disponibilidad</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Alta disponibilidad en componentes críticos: API gateway, base de datos, colas y tiempo real</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Rendimiento</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Latencia baja en búsqueda, bandejas y timeline; colas asíncronas para procesos pesados</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Escalabilidad</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Separación entre capa transaccional y analítica; posibilidad de horizontalizar workers</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Resiliencia</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Reintentos, dead-letter queues y monitoreo de fallos en integraciones externas</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Observabilidad</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Logs estructurados, tracing por expediente, métricas de eventos y dashboards técnicos</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Mantenibilidad</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Servicios desacoplados, contratos API estables y dominio bien definido</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Portabilidad</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Despliegue con Docker/Kubernetes y pipeline CI/CD</w:t>
            </w:r>
          </w:p>
        </w:tc>
      </w:tr>
      <w:tr>
        <w:tc>
          <w:tcPr>
            <w:tcW w:type="dxa" w:w="1814"/>
            <w:vAlign w:val="center"/>
            <w:tcBorders>
              <w:left w:val="single" w:sz="6" w:color="B7C6D9"/>
              <w:top w:val="single" w:sz="6" w:color="B7C6D9"/>
              <w:right w:val="single" w:sz="6" w:color="B7C6D9"/>
              <w:bottom w:val="single" w:sz="6" w:color="B7C6D9"/>
            </w:tcBorders>
          </w:tcPr>
          <w:p>
            <w:pPr>
              <w:jc w:val="left"/>
            </w:pPr>
            <w:r>
              <w:rPr>
                <w:rFonts w:ascii="Calibri" w:hAnsi="Calibri"/>
                <w:sz w:val="18"/>
              </w:rPr>
              <w:t>Calidad de datos</w:t>
            </w:r>
          </w:p>
        </w:tc>
        <w:tc>
          <w:tcPr>
            <w:tcW w:type="dxa" w:w="6973"/>
            <w:vAlign w:val="center"/>
            <w:tcBorders>
              <w:left w:val="single" w:sz="6" w:color="B7C6D9"/>
              <w:top w:val="single" w:sz="6" w:color="B7C6D9"/>
              <w:right w:val="single" w:sz="6" w:color="B7C6D9"/>
              <w:bottom w:val="single" w:sz="6" w:color="B7C6D9"/>
            </w:tcBorders>
          </w:tcPr>
          <w:p>
            <w:pPr>
              <w:jc w:val="left"/>
            </w:pPr>
            <w:r>
              <w:rPr>
                <w:rFonts w:ascii="Calibri" w:hAnsi="Calibri"/>
                <w:sz w:val="18"/>
              </w:rPr>
              <w:t>Validación, deduplicación, auditoría de cambios y control de campos obligatorios</w:t>
            </w:r>
          </w:p>
        </w:tc>
      </w:tr>
    </w:tbl>
    <w:p/>
    <w:p>
      <w:pPr>
        <w:pStyle w:val="Heading1"/>
      </w:pPr>
      <w:r>
        <w:t>14. Roadmap recomendado de implantación</w:t>
      </w:r>
    </w:p>
    <w:p>
      <w:pPr>
        <w:spacing w:after="120" w:line="276" w:lineRule="auto"/>
      </w:pPr>
      <w:r>
        <w:rPr>
          <w:rFonts w:ascii="Calibri" w:hAnsi="Calibri"/>
          <w:sz w:val="21"/>
        </w:rPr>
        <w:t>La implantación debe seguir una secuencia incremental que entregue valor operativo sin comprometer la arquitectura futura.</w:t>
      </w:r>
    </w:p>
    <w:p>
      <w:pPr>
        <w:spacing w:after="60" w:line="264" w:lineRule="auto"/>
        <w:ind w:left="283" w:hanging="170"/>
      </w:pPr>
      <w:r>
        <w:rPr>
          <w:rFonts w:ascii="Calibri" w:hAnsi="Calibri"/>
          <w:b/>
          <w:color w:val="1F4E79"/>
          <w:sz w:val="21"/>
        </w:rPr>
        <w:t xml:space="preserve">• </w:t>
      </w:r>
      <w:r>
        <w:rPr>
          <w:rFonts w:ascii="Calibri" w:hAnsi="Calibri"/>
          <w:sz w:val="21"/>
        </w:rPr>
        <w:t>Fase 1. Núcleo transaccional: Expedientes + Comunicaciones + Planificador + buscador universal.</w:t>
      </w:r>
    </w:p>
    <w:p>
      <w:pPr>
        <w:spacing w:after="60" w:line="264" w:lineRule="auto"/>
        <w:ind w:left="283" w:hanging="170"/>
      </w:pPr>
      <w:r>
        <w:rPr>
          <w:rFonts w:ascii="Calibri" w:hAnsi="Calibri"/>
          <w:b/>
          <w:color w:val="1F4E79"/>
          <w:sz w:val="21"/>
        </w:rPr>
        <w:t xml:space="preserve">• </w:t>
      </w:r>
      <w:r>
        <w:rPr>
          <w:rFonts w:ascii="Calibri" w:hAnsi="Calibri"/>
          <w:sz w:val="21"/>
        </w:rPr>
        <w:t>Fase 2. Movilidad operario: PWA, reportes, firma, multimedia y generación de PDF.</w:t>
      </w:r>
    </w:p>
    <w:p>
      <w:pPr>
        <w:spacing w:after="60" w:line="264" w:lineRule="auto"/>
        <w:ind w:left="283" w:hanging="170"/>
      </w:pPr>
      <w:r>
        <w:rPr>
          <w:rFonts w:ascii="Calibri" w:hAnsi="Calibri"/>
          <w:b/>
          <w:color w:val="1F4E79"/>
          <w:sz w:val="21"/>
        </w:rPr>
        <w:t xml:space="preserve">• </w:t>
      </w:r>
      <w:r>
        <w:rPr>
          <w:rFonts w:ascii="Calibri" w:hAnsi="Calibri"/>
          <w:sz w:val="21"/>
        </w:rPr>
        <w:t>Fase 3. Presupuestos y facturación: builder de conceptos, emisión y bandejas financieras.</w:t>
      </w:r>
    </w:p>
    <w:p>
      <w:pPr>
        <w:spacing w:after="60" w:line="264" w:lineRule="auto"/>
        <w:ind w:left="283" w:hanging="170"/>
      </w:pPr>
      <w:r>
        <w:rPr>
          <w:rFonts w:ascii="Calibri" w:hAnsi="Calibri"/>
          <w:b/>
          <w:color w:val="1F4E79"/>
          <w:sz w:val="21"/>
        </w:rPr>
        <w:t xml:space="preserve">• </w:t>
      </w:r>
      <w:r>
        <w:rPr>
          <w:rFonts w:ascii="Calibri" w:hAnsi="Calibri"/>
          <w:sz w:val="21"/>
        </w:rPr>
        <w:t>Fase 4. Logística y proveedores: pedidos, deadlines y portal ligero.</w:t>
      </w:r>
    </w:p>
    <w:p>
      <w:pPr>
        <w:spacing w:after="60" w:line="264" w:lineRule="auto"/>
        <w:ind w:left="283" w:hanging="170"/>
      </w:pPr>
      <w:r>
        <w:rPr>
          <w:rFonts w:ascii="Calibri" w:hAnsi="Calibri"/>
          <w:b/>
          <w:color w:val="1F4E79"/>
          <w:sz w:val="21"/>
        </w:rPr>
        <w:t xml:space="preserve">• </w:t>
      </w:r>
      <w:r>
        <w:rPr>
          <w:rFonts w:ascii="Calibri" w:hAnsi="Calibri"/>
          <w:sz w:val="21"/>
        </w:rPr>
        <w:t>Fase 5. Tareas internas y customer tracking: reducción de fricción operativa y de llamadas entrantes.</w:t>
      </w:r>
    </w:p>
    <w:p>
      <w:pPr>
        <w:spacing w:after="60" w:line="264" w:lineRule="auto"/>
        <w:ind w:left="283" w:hanging="170"/>
      </w:pPr>
      <w:r>
        <w:rPr>
          <w:rFonts w:ascii="Calibri" w:hAnsi="Calibri"/>
          <w:b/>
          <w:color w:val="1F4E79"/>
          <w:sz w:val="21"/>
        </w:rPr>
        <w:t xml:space="preserve">• </w:t>
      </w:r>
      <w:r>
        <w:rPr>
          <w:rFonts w:ascii="Calibri" w:hAnsi="Calibri"/>
          <w:sz w:val="21"/>
        </w:rPr>
        <w:t>Fase 6. Portal de peritos, BI avanzado, exportaciones y autofacturación.</w:t>
      </w:r>
    </w:p>
    <w:p>
      <w:pPr>
        <w:spacing w:after="60" w:line="264" w:lineRule="auto"/>
        <w:ind w:left="283" w:hanging="170"/>
      </w:pPr>
      <w:r>
        <w:rPr>
          <w:rFonts w:ascii="Calibri" w:hAnsi="Calibri"/>
          <w:b/>
          <w:color w:val="1F4E79"/>
          <w:sz w:val="21"/>
        </w:rPr>
        <w:t xml:space="preserve">• </w:t>
      </w:r>
      <w:r>
        <w:rPr>
          <w:rFonts w:ascii="Calibri" w:hAnsi="Calibri"/>
          <w:sz w:val="21"/>
        </w:rPr>
        <w:t>Fase transversal. Seguridad, auditoría, observabilidad y automatización CI/CD desde el inicio.</w:t>
      </w:r>
    </w:p>
    <w:p>
      <w:pPr>
        <w:pStyle w:val="Heading1"/>
      </w:pPr>
      <w:r>
        <w:t>15. Prompt de arranque para un agente de IA</w:t>
      </w:r>
    </w:p>
    <w:p>
      <w:pPr>
        <w:spacing w:after="120" w:line="276" w:lineRule="auto"/>
      </w:pPr>
      <w:r>
        <w:rPr>
          <w:rFonts w:ascii="Calibri" w:hAnsi="Calibri"/>
          <w:sz w:val="21"/>
        </w:rPr>
        <w:t>El siguiente prompt sirve como instrucción maestra para que un agente de IA técnico diseñe un proyecto equivalente con una visión coherente de dominio, arquitectura, flujos y entregables.</w:t>
      </w:r>
    </w:p>
    <w:tbl>
      <w:tblPr>
        <w:tblW w:type="auto" w:w="0"/>
        <w:jc w:val="center"/>
        <w:tblLayout w:type="fixed"/>
        <w:tblLook w:firstColumn="1" w:firstRow="1" w:lastColumn="0" w:lastRow="0" w:noHBand="0" w:noVBand="1" w:val="04A0"/>
      </w:tblPr>
      <w:tblGrid>
        <w:gridCol w:w="9525"/>
      </w:tblGrid>
      <w:tr>
        <w:trPr>
          <w:tblHeader w:val="true"/>
        </w:trPr>
        <w:tc>
          <w:tcPr>
            <w:tcW w:type="dxa" w:w="9524"/>
            <w:shd w:fill="1F4E79"/>
            <w:tcBorders>
              <w:left w:val="single" w:sz="4" w:color="1F4E79"/>
              <w:top w:val="single" w:sz="4" w:color="1F4E79"/>
              <w:right w:val="single" w:sz="4" w:color="1F4E79"/>
              <w:bottom w:val="single" w:sz="4" w:color="1F4E79"/>
            </w:tcBorders>
          </w:tcPr>
          <w:p>
            <w:r>
              <w:rPr>
                <w:rFonts w:ascii="Calibri" w:hAnsi="Calibri"/>
                <w:b/>
                <w:color w:val="FFFFFF"/>
                <w:sz w:val="21"/>
              </w:rPr>
              <w:t>Prompt orquestador sugerido</w:t>
            </w:r>
          </w:p>
        </w:tc>
      </w:tr>
      <w:tr>
        <w:tc>
          <w:tcPr>
            <w:tcW w:type="dxa" w:w="9524"/>
            <w:shd w:fill="F6F9FC"/>
            <w:tcBorders>
              <w:left w:val="single" w:sz="4" w:color="AFC3DF"/>
              <w:top w:val="single" w:sz="4" w:color="AFC3DF"/>
              <w:right w:val="single" w:sz="4" w:color="AFC3DF"/>
              <w:bottom w:val="single" w:sz="4" w:color="AFC3DF"/>
            </w:tcBorders>
          </w:tcPr>
          <w:p>
            <w:r>
              <w:rPr>
                <w:rFonts w:ascii="Calibri" w:hAnsi="Calibri"/>
                <w:sz w:val="20"/>
              </w:rPr>
              <w:t>Actúa como Principal Enterprise Architect y Lead Full-Stack Developer. Diseña un ERP de gestión de siniestros del hogar con una entidad core llamada Expediente y una arquitectura orientada a eventos. Integra 6 módulos core (Expedientes y Comunicaciones, Planificador, Movilidad, Facturación, Logística, BI) y 3 satélite (Peritos, Task Manager y Customer Tracking). Define: arquitectura global, máquina de estados, catálogo de eventos, APIs y webhooks, modelo de datos, reglas de negocio, estructura frontend SPA/PWA, estrategia de tiempo real, seguridad por roles y roadmap. El objetivo es eliminar reintroducción manual, sincronizar oficina y campo, controlar bloqueos, facturar sin fugas y medir rentabilidad.</w:t>
            </w:r>
          </w:p>
        </w:tc>
      </w:tr>
    </w:tbl>
    <w:p/>
    <w:p>
      <w:pPr>
        <w:pStyle w:val="Heading1"/>
      </w:pPr>
      <w:r>
        <w:t>16. Conclusión operativa</w:t>
      </w:r>
    </w:p>
    <w:p>
      <w:pPr>
        <w:spacing w:after="120" w:line="276" w:lineRule="auto"/>
      </w:pPr>
      <w:r>
        <w:rPr>
          <w:rFonts w:ascii="Calibri" w:hAnsi="Calibri"/>
          <w:sz w:val="21"/>
        </w:rPr>
        <w:t>Este ERP no debe concebirse como una suma de pantallas, sino como un sistema operativo empresarial para la gestión de siniestros. Su ventaja competitiva estará en la calidad de la orquestación: que una acción de negocio dispare automáticamente el siguiente paso correcto, que las excepciones se conviertan en bandejas accionables y que todo el ciclo, desde la asignación hasta el cobro, quede gobernado por datos, estados y eventos.</w:t>
      </w:r>
    </w:p>
    <w:p>
      <w:pPr>
        <w:spacing w:after="120" w:line="276" w:lineRule="auto"/>
      </w:pPr>
      <w:r>
        <w:rPr>
          <w:rFonts w:ascii="Calibri" w:hAnsi="Calibri"/>
          <w:sz w:val="21"/>
        </w:rPr>
        <w:t>Si se construye sobre esta especificación, el resultado será una plataforma capaz de absorber altos volúmenes de expedientes, coordinar red técnica, reducir tiempos muertos, mejorar la experiencia del cliente y blindar la rentabilidad del negocio.</w:t>
      </w:r>
    </w:p>
    <w:p>
      <w:pPr>
        <w:pStyle w:val="Heading1"/>
      </w:pPr>
      <w:r>
        <w:t>17. Próximos entregables recomendados</w:t>
      </w:r>
    </w:p>
    <w:p>
      <w:pPr>
        <w:spacing w:after="60" w:line="264" w:lineRule="auto"/>
        <w:ind w:left="280" w:hanging="160"/>
      </w:pPr>
      <w:r>
        <w:rPr>
          <w:rFonts w:ascii="Calibri" w:hAnsi="Calibri"/>
          <w:b/>
          <w:color w:val="1F4E79"/>
          <w:sz w:val="21"/>
        </w:rPr>
        <w:t xml:space="preserve">• </w:t>
      </w:r>
      <w:r>
        <w:rPr>
          <w:rFonts w:ascii="Calibri" w:hAnsi="Calibri"/>
          <w:sz w:val="21"/>
        </w:rPr>
        <w:t>Backlog funcional por épicas, historias de usuario y criterios de aceptación para cada módulo.</w:t>
      </w:r>
    </w:p>
    <w:p>
      <w:pPr>
        <w:spacing w:after="60" w:line="264" w:lineRule="auto"/>
        <w:ind w:left="280" w:hanging="160"/>
      </w:pPr>
      <w:r>
        <w:rPr>
          <w:rFonts w:ascii="Calibri" w:hAnsi="Calibri"/>
          <w:b/>
          <w:color w:val="1F4E79"/>
          <w:sz w:val="21"/>
        </w:rPr>
        <w:t xml:space="preserve">• </w:t>
      </w:r>
      <w:r>
        <w:rPr>
          <w:rFonts w:ascii="Calibri" w:hAnsi="Calibri"/>
          <w:sz w:val="21"/>
        </w:rPr>
        <w:t>Modelo de datos lógico detallado con tablas, claves, índices, estados y reglas de integridad.</w:t>
      </w:r>
    </w:p>
    <w:p>
      <w:pPr>
        <w:spacing w:after="60" w:line="264" w:lineRule="auto"/>
        <w:ind w:left="280" w:hanging="160"/>
      </w:pPr>
      <w:r>
        <w:rPr>
          <w:rFonts w:ascii="Calibri" w:hAnsi="Calibri"/>
          <w:b/>
          <w:color w:val="1F4E79"/>
          <w:sz w:val="21"/>
        </w:rPr>
        <w:t xml:space="preserve">• </w:t>
      </w:r>
      <w:r>
        <w:rPr>
          <w:rFonts w:ascii="Calibri" w:hAnsi="Calibri"/>
          <w:sz w:val="21"/>
        </w:rPr>
        <w:t>Matriz de integraciones con formatos de payload, autenticación, errores y reintentos.</w:t>
      </w:r>
    </w:p>
    <w:p>
      <w:pPr>
        <w:spacing w:after="60" w:line="264" w:lineRule="auto"/>
        <w:ind w:left="280" w:hanging="160"/>
      </w:pPr>
      <w:r>
        <w:rPr>
          <w:rFonts w:ascii="Calibri" w:hAnsi="Calibri"/>
          <w:b/>
          <w:color w:val="1F4E79"/>
          <w:sz w:val="21"/>
        </w:rPr>
        <w:t xml:space="preserve">• </w:t>
      </w:r>
      <w:r>
        <w:rPr>
          <w:rFonts w:ascii="Calibri" w:hAnsi="Calibri"/>
          <w:sz w:val="21"/>
        </w:rPr>
        <w:t>Wireframes de escritorio y móvil para las pantallas críticas: expediente, plan, app de operario, presupuesto y dashboards.</w:t>
      </w:r>
    </w:p>
    <w:p>
      <w:pPr>
        <w:spacing w:after="60" w:line="264" w:lineRule="auto"/>
        <w:ind w:left="280" w:hanging="160"/>
      </w:pPr>
      <w:r>
        <w:rPr>
          <w:rFonts w:ascii="Calibri" w:hAnsi="Calibri"/>
          <w:b/>
          <w:color w:val="1F4E79"/>
          <w:sz w:val="21"/>
        </w:rPr>
        <w:t xml:space="preserve">• </w:t>
      </w:r>
      <w:r>
        <w:rPr>
          <w:rFonts w:ascii="Calibri" w:hAnsi="Calibri"/>
          <w:sz w:val="21"/>
        </w:rPr>
        <w:t>Mapa de automatizaciones y SLA con cron jobs, alertas, eventos y escalados parametrizables.</w:t>
      </w:r>
    </w:p>
    <w:p>
      <w:pPr>
        <w:spacing w:after="60" w:line="264" w:lineRule="auto"/>
        <w:ind w:left="280" w:hanging="160"/>
      </w:pPr>
      <w:r>
        <w:rPr>
          <w:rFonts w:ascii="Calibri" w:hAnsi="Calibri"/>
          <w:b/>
          <w:color w:val="1F4E79"/>
          <w:sz w:val="21"/>
        </w:rPr>
        <w:t xml:space="preserve">• </w:t>
      </w:r>
      <w:r>
        <w:rPr>
          <w:rFonts w:ascii="Calibri" w:hAnsi="Calibri"/>
          <w:sz w:val="21"/>
        </w:rPr>
        <w:t>Plan de implantación técnica con entornos, CI/CD, observabilidad, seguridad y estrategia de migración.</w:t>
      </w:r>
    </w:p>
    <w:p>
      <w:r>
        <w:br w:type="page"/>
      </w:r>
    </w:p>
    <w:p>
      <w:pPr>
        <w:pStyle w:val="Heading1"/>
      </w:pPr>
      <w:r>
        <w:t>18. Anexo de transición: diccionario de datos y estructura de formularios del ERP heredado (PWGS)</w:t>
      </w:r>
    </w:p>
    <w:p>
      <w:pPr/>
      <w:r>
        <w:t xml:space="preserve">Este anexo incorpora al documento maestro la estructura funcional y de datos extraída del ERP anterior para facilitar la transición al nuevo sistema. </w:t>
      </w:r>
      <w:r>
        <w:rPr>
          <w:b/>
        </w:rPr>
        <w:t xml:space="preserve">Su objetivo es servir como inventario de referencia </w:t>
      </w:r>
      <w:r>
        <w:t>para análisis de migración, definición de entidades canónicas, trazabilidad campo a campo, diseño de formularios y pruebas de homologación.</w:t>
      </w:r>
    </w:p>
    <w:p>
      <w:pPr/>
      <w:r>
        <w:rPr>
          <w:b/>
        </w:rPr>
        <w:t xml:space="preserve">Criterios de lectura del anexo: </w:t>
      </w:r>
      <w:r>
        <w:t xml:space="preserve">se preservan los nombres de variables, atributos </w:t>
      </w:r>
      <w:r>
        <w:rPr>
          <w:i/>
        </w:rPr>
        <w:t>name</w:t>
      </w:r>
      <w:r>
        <w:t xml:space="preserve">, IDs y tipos HTML detectados en la aplicación heredada. Cuando procede, se añade un </w:t>
      </w:r>
      <w:r>
        <w:rPr>
          <w:b/>
        </w:rPr>
        <w:t>destino lógico recomendado</w:t>
      </w:r>
      <w:r>
        <w:t xml:space="preserve"> dentro del nuevo ERP para mantener continuidad funcional sin arrastrar acoplamientos innecesarios.</w:t>
      </w:r>
    </w:p>
    <w:p>
      <w:pPr>
        <w:pStyle w:val="Heading2"/>
      </w:pPr>
      <w:r>
        <w:t>18.1 Matriz de correspondencia entre formularios legacy y dominios del nuevo ERP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520"/>
            <w:vAlign w:val="center"/>
            <w:tcMar>
              <w:top w:w="100" w:type="dxa"/>
              <w:start w:w="90" w:type="dxa"/>
              <w:bottom w:w="100" w:type="dxa"/>
              <w:end w:w="90" w:type="dxa"/>
            </w:tcMar>
            <w:shd w:fill="D9EAF7"/>
          </w:tcPr>
          <w:p>
            <w:pPr>
              <w:spacing w:after="0" w:before="0"/>
              <w:jc w:val="center"/>
            </w:pPr>
            <w:r>
              <w:rPr>
                <w:b/>
                <w:sz w:val="19"/>
              </w:rPr>
            </w:r>
            <w:r>
              <w:rPr>
                <w:b/>
                <w:sz w:val="19"/>
              </w:rPr>
              <w:t>Bloque legado</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Pantalla / archivo</w:t>
            </w:r>
          </w:p>
        </w:tc>
        <w:tc>
          <w:tcPr>
            <w:tcW w:type="dxa" w:w="1944"/>
            <w:vAlign w:val="center"/>
            <w:tcMar>
              <w:top w:w="100" w:type="dxa"/>
              <w:start w:w="90" w:type="dxa"/>
              <w:bottom w:w="100" w:type="dxa"/>
              <w:end w:w="90" w:type="dxa"/>
            </w:tcMar>
            <w:shd w:fill="D9EAF7"/>
          </w:tcPr>
          <w:p>
            <w:pPr>
              <w:spacing w:after="0" w:before="0"/>
              <w:jc w:val="center"/>
            </w:pPr>
            <w:r>
              <w:rPr>
                <w:b/>
                <w:sz w:val="19"/>
              </w:rPr>
            </w:r>
            <w:r>
              <w:rPr>
                <w:b/>
                <w:sz w:val="19"/>
              </w:rPr>
              <w:t>Entidad principal</w:t>
            </w:r>
          </w:p>
        </w:tc>
        <w:tc>
          <w:tcPr>
            <w:tcW w:type="dxa" w:w="2376"/>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520"/>
            <w:vAlign w:val="center"/>
            <w:tcMar>
              <w:top w:w="80" w:type="dxa"/>
              <w:start w:w="80" w:type="dxa"/>
              <w:bottom w:w="80" w:type="dxa"/>
              <w:end w:w="80" w:type="dxa"/>
            </w:tcMar>
          </w:tcPr>
          <w:p>
            <w:pPr>
              <w:spacing w:after="0" w:before="0"/>
              <w:jc w:val="left"/>
            </w:pPr>
            <w:r>
              <w:rPr>
                <w:sz w:val="18"/>
              </w:rPr>
            </w:r>
            <w:r>
              <w:rPr>
                <w:b w:val="0"/>
                <w:sz w:val="18"/>
              </w:rPr>
              <w:t>Configuración - datos de usuario</w:t>
            </w:r>
          </w:p>
        </w:tc>
        <w:tc>
          <w:tcPr>
            <w:tcW w:type="dxa" w:w="2232"/>
            <w:vAlign w:val="center"/>
            <w:tcMar>
              <w:top w:w="80" w:type="dxa"/>
              <w:start w:w="80" w:type="dxa"/>
              <w:bottom w:w="80" w:type="dxa"/>
              <w:end w:w="80" w:type="dxa"/>
            </w:tcMar>
          </w:tcPr>
          <w:p>
            <w:pPr>
              <w:spacing w:after="0" w:before="0"/>
              <w:jc w:val="left"/>
            </w:pPr>
            <w:r>
              <w:rPr>
                <w:sz w:val="18"/>
              </w:rPr>
            </w:r>
            <w:r>
              <w:rPr>
                <w:b w:val="0"/>
                <w:sz w:val="18"/>
              </w:rPr>
              <w:t>datos_usuario.php</w:t>
            </w:r>
          </w:p>
        </w:tc>
        <w:tc>
          <w:tcPr>
            <w:tcW w:type="dxa" w:w="1944"/>
            <w:vAlign w:val="center"/>
            <w:tcMar>
              <w:top w:w="80" w:type="dxa"/>
              <w:start w:w="80" w:type="dxa"/>
              <w:bottom w:w="80" w:type="dxa"/>
              <w:end w:w="80" w:type="dxa"/>
            </w:tcMar>
          </w:tcPr>
          <w:p>
            <w:pPr>
              <w:spacing w:after="0" w:before="0"/>
              <w:jc w:val="center"/>
            </w:pPr>
            <w:r>
              <w:rPr>
                <w:sz w:val="18"/>
              </w:rPr>
            </w:r>
            <w:r>
              <w:rPr>
                <w:b w:val="0"/>
                <w:sz w:val="18"/>
              </w:rPr>
              <w:t>Usuario / credenciales</w:t>
            </w:r>
          </w:p>
        </w:tc>
        <w:tc>
          <w:tcPr>
            <w:tcW w:type="dxa" w:w="2376"/>
            <w:vAlign w:val="center"/>
            <w:tcMar>
              <w:top w:w="80" w:type="dxa"/>
              <w:start w:w="80" w:type="dxa"/>
              <w:bottom w:w="80" w:type="dxa"/>
              <w:end w:w="80" w:type="dxa"/>
            </w:tcMar>
          </w:tcPr>
          <w:p>
            <w:pPr>
              <w:spacing w:after="0" w:before="0"/>
              <w:jc w:val="left"/>
            </w:pPr>
            <w:r>
              <w:rPr>
                <w:sz w:val="18"/>
              </w:rPr>
            </w:r>
            <w:r>
              <w:rPr>
                <w:b w:val="0"/>
                <w:sz w:val="18"/>
              </w:rPr>
              <w:t>Seguridad, RBAC y perfil de usuario</w:t>
            </w:r>
          </w:p>
        </w:tc>
      </w:tr>
      <w:tr>
        <w:tc>
          <w:tcPr>
            <w:tcW w:type="dxa" w:w="2520"/>
            <w:vAlign w:val="center"/>
            <w:tcMar>
              <w:top w:w="80" w:type="dxa"/>
              <w:start w:w="80" w:type="dxa"/>
              <w:bottom w:w="80" w:type="dxa"/>
              <w:end w:w="80" w:type="dxa"/>
            </w:tcMar>
            <w:shd w:fill="F7FBFE"/>
          </w:tcPr>
          <w:p>
            <w:pPr>
              <w:spacing w:after="0" w:before="0"/>
              <w:jc w:val="left"/>
            </w:pPr>
            <w:r>
              <w:rPr>
                <w:sz w:val="18"/>
              </w:rPr>
            </w:r>
            <w:r>
              <w:rPr>
                <w:b w:val="0"/>
                <w:sz w:val="18"/>
              </w:rPr>
              <w:t>Configuración - empresa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empresa.php</w:t>
            </w:r>
          </w:p>
        </w:tc>
        <w:tc>
          <w:tcPr>
            <w:tcW w:type="dxa" w:w="1944"/>
            <w:vAlign w:val="center"/>
            <w:tcMar>
              <w:top w:w="80" w:type="dxa"/>
              <w:start w:w="80" w:type="dxa"/>
              <w:bottom w:w="80" w:type="dxa"/>
              <w:end w:w="80" w:type="dxa"/>
            </w:tcMar>
            <w:shd w:fill="F7FBFE"/>
          </w:tcPr>
          <w:p>
            <w:pPr>
              <w:spacing w:after="0" w:before="0"/>
              <w:jc w:val="center"/>
            </w:pPr>
            <w:r>
              <w:rPr>
                <w:sz w:val="18"/>
              </w:rPr>
            </w:r>
            <w:r>
              <w:rPr>
                <w:b w:val="0"/>
                <w:sz w:val="18"/>
              </w:rPr>
              <w:t>Empresa / emisor / parametrización</w:t>
            </w:r>
          </w:p>
        </w:tc>
        <w:tc>
          <w:tcPr>
            <w:tcW w:type="dxa" w:w="2376"/>
            <w:vAlign w:val="center"/>
            <w:tcMar>
              <w:top w:w="80" w:type="dxa"/>
              <w:start w:w="80" w:type="dxa"/>
              <w:bottom w:w="80" w:type="dxa"/>
              <w:end w:w="80" w:type="dxa"/>
            </w:tcMar>
            <w:shd w:fill="F7FBFE"/>
          </w:tcPr>
          <w:p>
            <w:pPr>
              <w:spacing w:after="0" w:before="0"/>
              <w:jc w:val="left"/>
            </w:pPr>
            <w:r>
              <w:rPr>
                <w:sz w:val="18"/>
              </w:rPr>
            </w:r>
            <w:r>
              <w:rPr>
                <w:b w:val="0"/>
                <w:sz w:val="18"/>
              </w:rPr>
              <w:t>Configuración corporativa y facturación</w:t>
            </w:r>
          </w:p>
        </w:tc>
      </w:tr>
      <w:tr>
        <w:tc>
          <w:tcPr>
            <w:tcW w:type="dxa" w:w="2520"/>
            <w:vAlign w:val="center"/>
            <w:tcMar>
              <w:top w:w="80" w:type="dxa"/>
              <w:start w:w="80" w:type="dxa"/>
              <w:bottom w:w="80" w:type="dxa"/>
              <w:end w:w="80" w:type="dxa"/>
            </w:tcMar>
          </w:tcPr>
          <w:p>
            <w:pPr>
              <w:spacing w:after="0" w:before="0"/>
              <w:jc w:val="left"/>
            </w:pPr>
            <w:r>
              <w:rPr>
                <w:sz w:val="18"/>
              </w:rPr>
            </w:r>
            <w:r>
              <w:rPr>
                <w:b w:val="0"/>
                <w:sz w:val="18"/>
              </w:rPr>
              <w:t>Servicios - apertura de siniestro</w:t>
            </w:r>
          </w:p>
        </w:tc>
        <w:tc>
          <w:tcPr>
            <w:tcW w:type="dxa" w:w="2232"/>
            <w:vAlign w:val="center"/>
            <w:tcMar>
              <w:top w:w="80" w:type="dxa"/>
              <w:start w:w="80" w:type="dxa"/>
              <w:bottom w:w="80" w:type="dxa"/>
              <w:end w:w="80" w:type="dxa"/>
            </w:tcMar>
          </w:tcPr>
          <w:p>
            <w:pPr>
              <w:spacing w:after="0" w:before="0"/>
              <w:jc w:val="left"/>
            </w:pPr>
            <w:r>
              <w:rPr>
                <w:sz w:val="18"/>
              </w:rPr>
            </w:r>
            <w:r>
              <w:rPr>
                <w:b w:val="0"/>
                <w:sz w:val="18"/>
              </w:rPr>
              <w:t>apertura.php?nuevo=1</w:t>
            </w:r>
          </w:p>
        </w:tc>
        <w:tc>
          <w:tcPr>
            <w:tcW w:type="dxa" w:w="1944"/>
            <w:vAlign w:val="center"/>
            <w:tcMar>
              <w:top w:w="80" w:type="dxa"/>
              <w:start w:w="80" w:type="dxa"/>
              <w:bottom w:w="80" w:type="dxa"/>
              <w:end w:w="80" w:type="dxa"/>
            </w:tcMar>
          </w:tcPr>
          <w:p>
            <w:pPr>
              <w:spacing w:after="0" w:before="0"/>
              <w:jc w:val="center"/>
            </w:pPr>
            <w:r>
              <w:rPr>
                <w:sz w:val="18"/>
              </w:rPr>
            </w:r>
            <w:r>
              <w:rPr>
                <w:b w:val="0"/>
                <w:sz w:val="18"/>
              </w:rPr>
              <w:t>Expediente de entrada</w:t>
            </w:r>
          </w:p>
        </w:tc>
        <w:tc>
          <w:tcPr>
            <w:tcW w:type="dxa" w:w="2376"/>
            <w:vAlign w:val="center"/>
            <w:tcMar>
              <w:top w:w="80" w:type="dxa"/>
              <w:start w:w="80" w:type="dxa"/>
              <w:bottom w:w="80" w:type="dxa"/>
              <w:end w:w="80" w:type="dxa"/>
            </w:tcMar>
          </w:tcPr>
          <w:p>
            <w:pPr>
              <w:spacing w:after="0" w:before="0"/>
              <w:jc w:val="left"/>
            </w:pPr>
            <w:r>
              <w:rPr>
                <w:sz w:val="18"/>
              </w:rPr>
            </w:r>
            <w:r>
              <w:rPr>
                <w:b w:val="0"/>
                <w:sz w:val="18"/>
              </w:rPr>
              <w:t>Módulo 1. Expedientes y comunicaciones</w:t>
            </w:r>
          </w:p>
        </w:tc>
      </w:tr>
      <w:tr>
        <w:tc>
          <w:tcPr>
            <w:tcW w:type="dxa" w:w="2520"/>
            <w:vAlign w:val="center"/>
            <w:tcMar>
              <w:top w:w="80" w:type="dxa"/>
              <w:start w:w="80" w:type="dxa"/>
              <w:bottom w:w="80" w:type="dxa"/>
              <w:end w:w="80" w:type="dxa"/>
            </w:tcMar>
            <w:shd w:fill="F7FBFE"/>
          </w:tcPr>
          <w:p>
            <w:pPr>
              <w:spacing w:after="0" w:before="0"/>
              <w:jc w:val="left"/>
            </w:pPr>
            <w:r>
              <w:rPr>
                <w:sz w:val="18"/>
              </w:rPr>
            </w:r>
            <w:r>
              <w:rPr>
                <w:b w:val="0"/>
                <w:sz w:val="18"/>
              </w:rPr>
              <w:t>Maestros - operario</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form_operario.php</w:t>
            </w:r>
          </w:p>
        </w:tc>
        <w:tc>
          <w:tcPr>
            <w:tcW w:type="dxa" w:w="1944"/>
            <w:vAlign w:val="center"/>
            <w:tcMar>
              <w:top w:w="80" w:type="dxa"/>
              <w:start w:w="80" w:type="dxa"/>
              <w:bottom w:w="80" w:type="dxa"/>
              <w:end w:w="80" w:type="dxa"/>
            </w:tcMar>
            <w:shd w:fill="F7FBFE"/>
          </w:tcPr>
          <w:p>
            <w:pPr>
              <w:spacing w:after="0" w:before="0"/>
              <w:jc w:val="center"/>
            </w:pPr>
            <w:r>
              <w:rPr>
                <w:sz w:val="18"/>
              </w:rPr>
            </w:r>
            <w:r>
              <w:rPr>
                <w:b w:val="0"/>
                <w:sz w:val="18"/>
              </w:rPr>
              <w:t>Operario / proveedor de servicio</w:t>
            </w:r>
          </w:p>
        </w:tc>
        <w:tc>
          <w:tcPr>
            <w:tcW w:type="dxa" w:w="2376"/>
            <w:vAlign w:val="center"/>
            <w:tcMar>
              <w:top w:w="80" w:type="dxa"/>
              <w:start w:w="80" w:type="dxa"/>
              <w:bottom w:w="80" w:type="dxa"/>
              <w:end w:w="80" w:type="dxa"/>
            </w:tcMar>
            <w:shd w:fill="F7FBFE"/>
          </w:tcPr>
          <w:p>
            <w:pPr>
              <w:spacing w:after="0" w:before="0"/>
              <w:jc w:val="left"/>
            </w:pPr>
            <w:r>
              <w:rPr>
                <w:sz w:val="18"/>
              </w:rPr>
            </w:r>
            <w:r>
              <w:rPr>
                <w:b w:val="0"/>
                <w:sz w:val="18"/>
              </w:rPr>
              <w:t>Módulo 2 y Módulo 3</w:t>
            </w:r>
          </w:p>
        </w:tc>
      </w:tr>
      <w:tr>
        <w:tc>
          <w:tcPr>
            <w:tcW w:type="dxa" w:w="2520"/>
            <w:vAlign w:val="center"/>
            <w:tcMar>
              <w:top w:w="80" w:type="dxa"/>
              <w:start w:w="80" w:type="dxa"/>
              <w:bottom w:w="80" w:type="dxa"/>
              <w:end w:w="80" w:type="dxa"/>
            </w:tcMar>
          </w:tcPr>
          <w:p>
            <w:pPr>
              <w:spacing w:after="0" w:before="0"/>
              <w:jc w:val="left"/>
            </w:pPr>
            <w:r>
              <w:rPr>
                <w:sz w:val="18"/>
              </w:rPr>
            </w:r>
            <w:r>
              <w:rPr>
                <w:b w:val="0"/>
                <w:sz w:val="18"/>
              </w:rPr>
              <w:t>Maestros avanzados - compañía</w:t>
            </w:r>
          </w:p>
        </w:tc>
        <w:tc>
          <w:tcPr>
            <w:tcW w:type="dxa" w:w="2232"/>
            <w:vAlign w:val="center"/>
            <w:tcMar>
              <w:top w:w="80" w:type="dxa"/>
              <w:start w:w="80" w:type="dxa"/>
              <w:bottom w:w="80" w:type="dxa"/>
              <w:end w:w="80" w:type="dxa"/>
            </w:tcMar>
          </w:tcPr>
          <w:p>
            <w:pPr>
              <w:spacing w:after="0" w:before="0"/>
              <w:jc w:val="left"/>
            </w:pPr>
            <w:r>
              <w:rPr>
                <w:sz w:val="18"/>
              </w:rPr>
            </w:r>
            <w:r>
              <w:rPr>
                <w:b w:val="0"/>
                <w:sz w:val="18"/>
              </w:rPr>
              <w:t>form_compania.php</w:t>
            </w:r>
          </w:p>
        </w:tc>
        <w:tc>
          <w:tcPr>
            <w:tcW w:type="dxa" w:w="1944"/>
            <w:vAlign w:val="center"/>
            <w:tcMar>
              <w:top w:w="80" w:type="dxa"/>
              <w:start w:w="80" w:type="dxa"/>
              <w:bottom w:w="80" w:type="dxa"/>
              <w:end w:w="80" w:type="dxa"/>
            </w:tcMar>
          </w:tcPr>
          <w:p>
            <w:pPr>
              <w:spacing w:after="0" w:before="0"/>
              <w:jc w:val="center"/>
            </w:pPr>
            <w:r>
              <w:rPr>
                <w:sz w:val="18"/>
              </w:rPr>
            </w:r>
            <w:r>
              <w:rPr>
                <w:b w:val="0"/>
                <w:sz w:val="18"/>
              </w:rPr>
              <w:t>Cliente corporativo / aseguradora</w:t>
            </w:r>
          </w:p>
        </w:tc>
        <w:tc>
          <w:tcPr>
            <w:tcW w:type="dxa" w:w="2376"/>
            <w:vAlign w:val="center"/>
            <w:tcMar>
              <w:top w:w="80" w:type="dxa"/>
              <w:start w:w="80" w:type="dxa"/>
              <w:bottom w:w="80" w:type="dxa"/>
              <w:end w:w="80" w:type="dxa"/>
            </w:tcMar>
          </w:tcPr>
          <w:p>
            <w:pPr>
              <w:spacing w:after="0" w:before="0"/>
              <w:jc w:val="left"/>
            </w:pPr>
            <w:r>
              <w:rPr>
                <w:sz w:val="18"/>
              </w:rPr>
            </w:r>
            <w:r>
              <w:rPr>
                <w:b w:val="0"/>
                <w:sz w:val="18"/>
              </w:rPr>
              <w:t>Módulo 1, 4, 5 y reglas</w:t>
            </w:r>
          </w:p>
        </w:tc>
      </w:tr>
      <w:tr>
        <w:tc>
          <w:tcPr>
            <w:tcW w:type="dxa" w:w="2520"/>
            <w:vAlign w:val="center"/>
            <w:tcMar>
              <w:top w:w="80" w:type="dxa"/>
              <w:start w:w="80" w:type="dxa"/>
              <w:bottom w:w="80" w:type="dxa"/>
              <w:end w:w="80" w:type="dxa"/>
            </w:tcMar>
            <w:shd w:fill="F7FBFE"/>
          </w:tcPr>
          <w:p>
            <w:pPr>
              <w:spacing w:after="0" w:before="0"/>
              <w:jc w:val="left"/>
            </w:pPr>
            <w:r>
              <w:rPr>
                <w:sz w:val="18"/>
              </w:rPr>
            </w:r>
            <w:r>
              <w:rPr>
                <w:b w:val="0"/>
                <w:sz w:val="18"/>
              </w:rPr>
              <w:t>Tracker / seguimiento</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seguimiento.php?servicio=[ID]</w:t>
            </w:r>
          </w:p>
        </w:tc>
        <w:tc>
          <w:tcPr>
            <w:tcW w:type="dxa" w:w="1944"/>
            <w:vAlign w:val="center"/>
            <w:tcMar>
              <w:top w:w="80" w:type="dxa"/>
              <w:start w:w="80" w:type="dxa"/>
              <w:bottom w:w="80" w:type="dxa"/>
              <w:end w:w="80" w:type="dxa"/>
            </w:tcMar>
            <w:shd w:fill="F7FBFE"/>
          </w:tcPr>
          <w:p>
            <w:pPr>
              <w:spacing w:after="0" w:before="0"/>
              <w:jc w:val="center"/>
            </w:pPr>
            <w:r>
              <w:rPr>
                <w:sz w:val="18"/>
              </w:rPr>
            </w:r>
            <w:r>
              <w:rPr>
                <w:b w:val="0"/>
                <w:sz w:val="18"/>
              </w:rPr>
              <w:t>Timeline operativo del expediente</w:t>
            </w:r>
          </w:p>
        </w:tc>
        <w:tc>
          <w:tcPr>
            <w:tcW w:type="dxa" w:w="2376"/>
            <w:vAlign w:val="center"/>
            <w:tcMar>
              <w:top w:w="80" w:type="dxa"/>
              <w:start w:w="80" w:type="dxa"/>
              <w:bottom w:w="80" w:type="dxa"/>
              <w:end w:w="80" w:type="dxa"/>
            </w:tcMar>
            <w:shd w:fill="F7FBFE"/>
          </w:tcPr>
          <w:p>
            <w:pPr>
              <w:spacing w:after="0" w:before="0"/>
              <w:jc w:val="left"/>
            </w:pPr>
            <w:r>
              <w:rPr>
                <w:sz w:val="18"/>
              </w:rPr>
            </w:r>
            <w:r>
              <w:rPr>
                <w:b w:val="0"/>
                <w:sz w:val="18"/>
              </w:rPr>
              <w:t>Core transaccional y máquina de estados</w:t>
            </w:r>
          </w:p>
        </w:tc>
      </w:tr>
      <w:tr>
        <w:tc>
          <w:tcPr>
            <w:tcW w:type="dxa" w:w="2520"/>
            <w:vAlign w:val="center"/>
            <w:tcMar>
              <w:top w:w="80" w:type="dxa"/>
              <w:start w:w="80" w:type="dxa"/>
              <w:bottom w:w="80" w:type="dxa"/>
              <w:end w:w="80" w:type="dxa"/>
            </w:tcMar>
          </w:tcPr>
          <w:p>
            <w:pPr>
              <w:spacing w:after="0" w:before="0"/>
              <w:jc w:val="left"/>
            </w:pPr>
            <w:r>
              <w:rPr>
                <w:sz w:val="18"/>
              </w:rPr>
            </w:r>
            <w:r>
              <w:rPr>
                <w:b w:val="0"/>
                <w:sz w:val="18"/>
              </w:rPr>
              <w:t>Facturación económica</w:t>
            </w:r>
          </w:p>
        </w:tc>
        <w:tc>
          <w:tcPr>
            <w:tcW w:type="dxa" w:w="2232"/>
            <w:vAlign w:val="center"/>
            <w:tcMar>
              <w:top w:w="80" w:type="dxa"/>
              <w:start w:w="80" w:type="dxa"/>
              <w:bottom w:w="80" w:type="dxa"/>
              <w:end w:w="80" w:type="dxa"/>
            </w:tcMar>
          </w:tcPr>
          <w:p>
            <w:pPr>
              <w:spacing w:after="0" w:before="0"/>
              <w:jc w:val="left"/>
            </w:pPr>
            <w:r>
              <w:rPr>
                <w:sz w:val="18"/>
              </w:rPr>
            </w:r>
            <w:r>
              <w:rPr>
                <w:b w:val="0"/>
                <w:sz w:val="18"/>
              </w:rPr>
              <w:t>facturar_07.php</w:t>
            </w:r>
          </w:p>
        </w:tc>
        <w:tc>
          <w:tcPr>
            <w:tcW w:type="dxa" w:w="1944"/>
            <w:vAlign w:val="center"/>
            <w:tcMar>
              <w:top w:w="80" w:type="dxa"/>
              <w:start w:w="80" w:type="dxa"/>
              <w:bottom w:w="80" w:type="dxa"/>
              <w:end w:w="80" w:type="dxa"/>
            </w:tcMar>
          </w:tcPr>
          <w:p>
            <w:pPr>
              <w:spacing w:after="0" w:before="0"/>
              <w:jc w:val="center"/>
            </w:pPr>
            <w:r>
              <w:rPr>
                <w:sz w:val="18"/>
              </w:rPr>
            </w:r>
            <w:r>
              <w:rPr>
                <w:b w:val="0"/>
                <w:sz w:val="18"/>
              </w:rPr>
              <w:t>Factura / cobro</w:t>
            </w:r>
          </w:p>
        </w:tc>
        <w:tc>
          <w:tcPr>
            <w:tcW w:type="dxa" w:w="2376"/>
            <w:vAlign w:val="center"/>
            <w:tcMar>
              <w:top w:w="80" w:type="dxa"/>
              <w:start w:w="80" w:type="dxa"/>
              <w:bottom w:w="80" w:type="dxa"/>
              <w:end w:w="80" w:type="dxa"/>
            </w:tcMar>
          </w:tcPr>
          <w:p>
            <w:pPr>
              <w:spacing w:after="0" w:before="0"/>
              <w:jc w:val="left"/>
            </w:pPr>
            <w:r>
              <w:rPr>
                <w:sz w:val="18"/>
              </w:rPr>
            </w:r>
            <w:r>
              <w:rPr>
                <w:b w:val="0"/>
                <w:sz w:val="18"/>
              </w:rPr>
              <w:t>Módulo 4. Facturación y tesorería</w:t>
            </w:r>
          </w:p>
        </w:tc>
      </w:tr>
      <w:tr>
        <w:tc>
          <w:tcPr>
            <w:tcW w:type="dxa" w:w="2520"/>
            <w:vAlign w:val="center"/>
            <w:tcMar>
              <w:top w:w="80" w:type="dxa"/>
              <w:start w:w="80" w:type="dxa"/>
              <w:bottom w:w="80" w:type="dxa"/>
              <w:end w:w="80" w:type="dxa"/>
            </w:tcMar>
            <w:shd w:fill="F7FBFE"/>
          </w:tcPr>
          <w:p>
            <w:pPr>
              <w:spacing w:after="0" w:before="0"/>
              <w:jc w:val="left"/>
            </w:pPr>
            <w:r>
              <w:rPr>
                <w:sz w:val="18"/>
              </w:rPr>
            </w:r>
            <w:r>
              <w:rPr>
                <w:b w:val="0"/>
                <w:sz w:val="18"/>
              </w:rPr>
              <w:t>Baremos y tarifas</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modulos/baremos/panel_control.php</w:t>
            </w:r>
          </w:p>
        </w:tc>
        <w:tc>
          <w:tcPr>
            <w:tcW w:type="dxa" w:w="1944"/>
            <w:vAlign w:val="center"/>
            <w:tcMar>
              <w:top w:w="80" w:type="dxa"/>
              <w:start w:w="80" w:type="dxa"/>
              <w:bottom w:w="80" w:type="dxa"/>
              <w:end w:w="80" w:type="dxa"/>
            </w:tcMar>
            <w:shd w:fill="F7FBFE"/>
          </w:tcPr>
          <w:p>
            <w:pPr>
              <w:spacing w:after="0" w:before="0"/>
              <w:jc w:val="center"/>
            </w:pPr>
            <w:r>
              <w:rPr>
                <w:sz w:val="18"/>
              </w:rPr>
            </w:r>
            <w:r>
              <w:rPr>
                <w:b w:val="0"/>
                <w:sz w:val="18"/>
              </w:rPr>
              <w:t>Catálogo de conceptos y tarifas</w:t>
            </w:r>
          </w:p>
        </w:tc>
        <w:tc>
          <w:tcPr>
            <w:tcW w:type="dxa" w:w="2376"/>
            <w:vAlign w:val="center"/>
            <w:tcMar>
              <w:top w:w="80" w:type="dxa"/>
              <w:start w:w="80" w:type="dxa"/>
              <w:bottom w:w="80" w:type="dxa"/>
              <w:end w:w="80" w:type="dxa"/>
            </w:tcMar>
            <w:shd w:fill="F7FBFE"/>
          </w:tcPr>
          <w:p>
            <w:pPr>
              <w:spacing w:after="0" w:before="0"/>
              <w:jc w:val="left"/>
            </w:pPr>
            <w:r>
              <w:rPr>
                <w:sz w:val="18"/>
              </w:rPr>
            </w:r>
            <w:r>
              <w:rPr>
                <w:b w:val="0"/>
                <w:sz w:val="18"/>
              </w:rPr>
              <w:t>Módulo 4 y app operario</w:t>
            </w:r>
          </w:p>
        </w:tc>
      </w:tr>
      <w:tr>
        <w:tc>
          <w:tcPr>
            <w:tcW w:type="dxa" w:w="2520"/>
            <w:vAlign w:val="center"/>
            <w:tcMar>
              <w:top w:w="80" w:type="dxa"/>
              <w:start w:w="80" w:type="dxa"/>
              <w:bottom w:w="80" w:type="dxa"/>
              <w:end w:w="80" w:type="dxa"/>
            </w:tcMar>
          </w:tcPr>
          <w:p>
            <w:pPr>
              <w:spacing w:after="0" w:before="0"/>
              <w:jc w:val="left"/>
            </w:pPr>
            <w:r>
              <w:rPr>
                <w:sz w:val="18"/>
              </w:rPr>
            </w:r>
            <w:r>
              <w:rPr>
                <w:b w:val="0"/>
                <w:sz w:val="18"/>
              </w:rPr>
              <w:t>Automatización de eventos</w:t>
            </w:r>
          </w:p>
        </w:tc>
        <w:tc>
          <w:tcPr>
            <w:tcW w:type="dxa" w:w="2232"/>
            <w:vAlign w:val="center"/>
            <w:tcMar>
              <w:top w:w="80" w:type="dxa"/>
              <w:start w:w="80" w:type="dxa"/>
              <w:bottom w:w="80" w:type="dxa"/>
              <w:end w:w="80" w:type="dxa"/>
            </w:tcMar>
          </w:tcPr>
          <w:p>
            <w:pPr>
              <w:spacing w:after="0" w:before="0"/>
              <w:jc w:val="left"/>
            </w:pPr>
            <w:r>
              <w:rPr>
                <w:sz w:val="18"/>
              </w:rPr>
            </w:r>
            <w:r>
              <w:rPr>
                <w:b w:val="0"/>
                <w:sz w:val="18"/>
              </w:rPr>
              <w:t>modulos/eventos/panel.php</w:t>
            </w:r>
          </w:p>
        </w:tc>
        <w:tc>
          <w:tcPr>
            <w:tcW w:type="dxa" w:w="1944"/>
            <w:vAlign w:val="center"/>
            <w:tcMar>
              <w:top w:w="80" w:type="dxa"/>
              <w:start w:w="80" w:type="dxa"/>
              <w:bottom w:w="80" w:type="dxa"/>
              <w:end w:w="80" w:type="dxa"/>
            </w:tcMar>
          </w:tcPr>
          <w:p>
            <w:pPr>
              <w:spacing w:after="0" w:before="0"/>
              <w:jc w:val="center"/>
            </w:pPr>
            <w:r>
              <w:rPr>
                <w:sz w:val="18"/>
              </w:rPr>
            </w:r>
            <w:r>
              <w:rPr>
                <w:b w:val="0"/>
                <w:sz w:val="18"/>
              </w:rPr>
              <w:t>Reglas y triggers</w:t>
            </w:r>
          </w:p>
        </w:tc>
        <w:tc>
          <w:tcPr>
            <w:tcW w:type="dxa" w:w="2376"/>
            <w:vAlign w:val="center"/>
            <w:tcMar>
              <w:top w:w="80" w:type="dxa"/>
              <w:start w:w="80" w:type="dxa"/>
              <w:bottom w:w="80" w:type="dxa"/>
              <w:end w:w="80" w:type="dxa"/>
            </w:tcMar>
          </w:tcPr>
          <w:p>
            <w:pPr>
              <w:spacing w:after="0" w:before="0"/>
              <w:jc w:val="left"/>
            </w:pPr>
            <w:r>
              <w:rPr>
                <w:sz w:val="18"/>
              </w:rPr>
            </w:r>
            <w:r>
              <w:rPr>
                <w:b w:val="0"/>
                <w:sz w:val="18"/>
              </w:rPr>
              <w:t>Orquestación, SLA y event bus</w:t>
            </w:r>
          </w:p>
        </w:tc>
      </w:tr>
      <w:tr>
        <w:tc>
          <w:tcPr>
            <w:tcW w:type="dxa" w:w="2520"/>
            <w:vAlign w:val="center"/>
            <w:tcMar>
              <w:top w:w="80" w:type="dxa"/>
              <w:start w:w="80" w:type="dxa"/>
              <w:bottom w:w="80" w:type="dxa"/>
              <w:end w:w="80" w:type="dxa"/>
            </w:tcMar>
            <w:shd w:fill="F7FBFE"/>
          </w:tcPr>
          <w:p>
            <w:pPr>
              <w:spacing w:after="0" w:before="0"/>
              <w:jc w:val="left"/>
            </w:pPr>
            <w:r>
              <w:rPr>
                <w:sz w:val="18"/>
              </w:rPr>
            </w:r>
            <w:r>
              <w:rPr>
                <w:b w:val="0"/>
                <w:sz w:val="18"/>
              </w:rPr>
              <w:t>Plantillas / encuestas / reporting</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módulos transversales</w:t>
            </w:r>
          </w:p>
        </w:tc>
        <w:tc>
          <w:tcPr>
            <w:tcW w:type="dxa" w:w="1944"/>
            <w:vAlign w:val="center"/>
            <w:tcMar>
              <w:top w:w="80" w:type="dxa"/>
              <w:start w:w="80" w:type="dxa"/>
              <w:bottom w:w="80" w:type="dxa"/>
              <w:end w:w="80" w:type="dxa"/>
            </w:tcMar>
            <w:shd w:fill="F7FBFE"/>
          </w:tcPr>
          <w:p>
            <w:pPr>
              <w:spacing w:after="0" w:before="0"/>
              <w:jc w:val="center"/>
            </w:pPr>
            <w:r>
              <w:rPr>
                <w:sz w:val="18"/>
              </w:rPr>
            </w:r>
            <w:r>
              <w:rPr>
                <w:b w:val="0"/>
                <w:sz w:val="18"/>
              </w:rPr>
              <w:t>Mensajería, calidad y BI</w:t>
            </w:r>
          </w:p>
        </w:tc>
        <w:tc>
          <w:tcPr>
            <w:tcW w:type="dxa" w:w="2376"/>
            <w:vAlign w:val="center"/>
            <w:tcMar>
              <w:top w:w="80" w:type="dxa"/>
              <w:start w:w="80" w:type="dxa"/>
              <w:bottom w:w="80" w:type="dxa"/>
              <w:end w:w="80" w:type="dxa"/>
            </w:tcMar>
            <w:shd w:fill="F7FBFE"/>
          </w:tcPr>
          <w:p>
            <w:pPr>
              <w:spacing w:after="0" w:before="0"/>
              <w:jc w:val="left"/>
            </w:pPr>
            <w:r>
              <w:rPr>
                <w:sz w:val="18"/>
              </w:rPr>
            </w:r>
            <w:r>
              <w:rPr>
                <w:b w:val="0"/>
                <w:sz w:val="18"/>
              </w:rPr>
              <w:t>Módulo 1, 6 y portales externos</w:t>
            </w:r>
          </w:p>
        </w:tc>
      </w:tr>
    </w:tbl>
    <w:p>
      <w:pPr>
        <w:pStyle w:val="Heading2"/>
      </w:pPr>
      <w:r>
        <w:t>18.2 Configuración: datos de usuario (datos_usuario.php)</w:t>
      </w:r>
    </w:p>
    <w:p>
      <w:pPr/>
      <w:r>
        <w:t>Pantalla de configuración personal orientada a consulta de identidad y cambio de contraseña. En el ERP nuevo debe quedar absorbida por el dominio de identidad, seguridad y gestión de credenciales.</w:t>
      </w:r>
    </w:p>
    <w:p>
      <w:pPr>
        <w:pStyle w:val="ListBullet"/>
      </w:pPr>
      <w:r>
        <w:t>Variables de entidad visibles en modo lectura: Nombre completo, NIF y Usuario.</w:t>
      </w:r>
    </w:p>
    <w:p>
      <w:pPr>
        <w:pStyle w:val="ListBullet"/>
      </w:pPr>
      <w:r>
        <w:t>Estas variables deben mapearse a la ficha de usuario y no a la lógica del expediente.</w:t>
      </w:r>
    </w:p>
    <w:p>
      <w:pPr>
        <w:pStyle w:val="Heading3"/>
      </w:pPr>
      <w:r>
        <w:t>Formulario de cambio de contraseña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Contraseña antigua</w:t>
            </w:r>
          </w:p>
        </w:tc>
        <w:tc>
          <w:tcPr>
            <w:tcW w:type="dxa" w:w="3240"/>
            <w:vAlign w:val="center"/>
            <w:tcMar>
              <w:top w:w="80" w:type="dxa"/>
              <w:start w:w="80" w:type="dxa"/>
              <w:bottom w:w="80" w:type="dxa"/>
              <w:end w:w="80" w:type="dxa"/>
            </w:tcMar>
          </w:tcPr>
          <w:p>
            <w:pPr>
              <w:spacing w:after="0" w:before="0"/>
              <w:jc w:val="left"/>
            </w:pPr>
            <w:r>
              <w:rPr>
                <w:sz w:val="18"/>
              </w:rPr>
            </w:r>
            <w:r>
              <w:rPr>
                <w:b w:val="0"/>
                <w:sz w:val="18"/>
              </w:rPr>
              <w:t>old-pass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tcPr>
          <w:p>
            <w:pPr>
              <w:spacing w:after="0" w:before="0"/>
              <w:jc w:val="left"/>
            </w:pPr>
            <w:r>
              <w:rPr>
                <w:sz w:val="18"/>
              </w:rPr>
            </w:r>
            <w:r>
              <w:rPr>
                <w:b w:val="0"/>
                <w:sz w:val="18"/>
              </w:rPr>
              <w:t>Seguridad / cambio de credencial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Nueva contraseña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new_pass1</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Seguridad / nueva credencial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Repetir contraseña</w:t>
            </w:r>
          </w:p>
        </w:tc>
        <w:tc>
          <w:tcPr>
            <w:tcW w:type="dxa" w:w="3240"/>
            <w:vAlign w:val="center"/>
            <w:tcMar>
              <w:top w:w="80" w:type="dxa"/>
              <w:start w:w="80" w:type="dxa"/>
              <w:bottom w:w="80" w:type="dxa"/>
              <w:end w:w="80" w:type="dxa"/>
            </w:tcMar>
          </w:tcPr>
          <w:p>
            <w:pPr>
              <w:spacing w:after="0" w:before="0"/>
              <w:jc w:val="left"/>
            </w:pPr>
            <w:r>
              <w:rPr>
                <w:sz w:val="18"/>
              </w:rPr>
            </w:r>
            <w:r>
              <w:rPr>
                <w:b w:val="0"/>
                <w:sz w:val="18"/>
              </w:rPr>
              <w:t>new_pass2</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tcPr>
          <w:p>
            <w:pPr>
              <w:spacing w:after="0" w:before="0"/>
              <w:jc w:val="left"/>
            </w:pPr>
            <w:r>
              <w:rPr>
                <w:sz w:val="18"/>
              </w:rPr>
            </w:r>
            <w:r>
              <w:rPr>
                <w:b w:val="0"/>
                <w:sz w:val="18"/>
              </w:rPr>
              <w:t>Validación de confirmación</w:t>
            </w:r>
          </w:p>
        </w:tc>
      </w:tr>
    </w:tbl>
    <w:p>
      <w:pPr/>
    </w:p>
    <w:p>
      <w:pPr>
        <w:pStyle w:val="Heading2"/>
      </w:pPr>
      <w:r>
        <w:t>18.3 Configuración: empresa (empresa.php)</w:t>
      </w:r>
    </w:p>
    <w:p>
      <w:pPr/>
      <w:r>
        <w:t>Formulario maestro de empresa emisora. Reúne identidad fiscal, datos de contacto, parámetros de facturación, configuraciones de protección de datos y ficheros de integración.</w:t>
      </w:r>
    </w:p>
    <w:p>
      <w:pPr>
        <w:pStyle w:val="Heading3"/>
      </w:pPr>
      <w:r>
        <w:t>Datos maestros de empresa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Nombre fiscal</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Empresa / razón social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Nombre SMS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nombre_sms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Comunicaciones salientes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Dirección</w:t>
            </w:r>
          </w:p>
        </w:tc>
        <w:tc>
          <w:tcPr>
            <w:tcW w:type="dxa" w:w="3240"/>
            <w:vAlign w:val="center"/>
            <w:tcMar>
              <w:top w:w="80" w:type="dxa"/>
              <w:start w:w="80" w:type="dxa"/>
              <w:bottom w:w="80" w:type="dxa"/>
              <w:end w:w="80" w:type="dxa"/>
            </w:tcMar>
          </w:tcPr>
          <w:p>
            <w:pPr>
              <w:spacing w:after="0" w:before="0"/>
              <w:jc w:val="left"/>
            </w:pPr>
            <w:r>
              <w:rPr>
                <w:sz w:val="18"/>
              </w:rPr>
            </w:r>
            <w:r>
              <w:rPr>
                <w:b w:val="0"/>
                <w:sz w:val="18"/>
              </w:rPr>
              <w:t>direccion</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Dirección fiscal / operativa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Teléfono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telefono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Contacto corporativo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Fax</w:t>
            </w:r>
          </w:p>
        </w:tc>
        <w:tc>
          <w:tcPr>
            <w:tcW w:type="dxa" w:w="3240"/>
            <w:vAlign w:val="center"/>
            <w:tcMar>
              <w:top w:w="80" w:type="dxa"/>
              <w:start w:w="80" w:type="dxa"/>
              <w:bottom w:w="80" w:type="dxa"/>
              <w:end w:w="80" w:type="dxa"/>
            </w:tcMar>
          </w:tcPr>
          <w:p>
            <w:pPr>
              <w:spacing w:after="0" w:before="0"/>
              <w:jc w:val="left"/>
            </w:pPr>
            <w:r>
              <w:rPr>
                <w:sz w:val="18"/>
              </w:rPr>
            </w:r>
            <w:r>
              <w:rPr>
                <w:b w:val="0"/>
                <w:sz w:val="18"/>
              </w:rPr>
              <w:t>fax</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corporativo legacy</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E-mail principal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email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Canal principal de envío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Tipo de residencia</w:t>
            </w:r>
          </w:p>
        </w:tc>
        <w:tc>
          <w:tcPr>
            <w:tcW w:type="dxa" w:w="3240"/>
            <w:vAlign w:val="center"/>
            <w:tcMar>
              <w:top w:w="80" w:type="dxa"/>
              <w:start w:w="80" w:type="dxa"/>
              <w:bottom w:w="80" w:type="dxa"/>
              <w:end w:w="80" w:type="dxa"/>
            </w:tcMar>
          </w:tcPr>
          <w:p>
            <w:pPr>
              <w:spacing w:after="0" w:before="0"/>
              <w:jc w:val="left"/>
            </w:pPr>
            <w:r>
              <w:rPr>
                <w:sz w:val="18"/>
              </w:rPr>
            </w:r>
            <w:r>
              <w:rPr>
                <w:b w:val="0"/>
                <w:sz w:val="18"/>
              </w:rPr>
              <w:t>tipo_residencia_empresa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Fiscalidad / clasificación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Código Postal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cp</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Dirección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Ciudad</w:t>
            </w:r>
          </w:p>
        </w:tc>
        <w:tc>
          <w:tcPr>
            <w:tcW w:type="dxa" w:w="3240"/>
            <w:vAlign w:val="center"/>
            <w:tcMar>
              <w:top w:w="80" w:type="dxa"/>
              <w:start w:w="80" w:type="dxa"/>
              <w:bottom w:w="80" w:type="dxa"/>
              <w:end w:w="80" w:type="dxa"/>
            </w:tcMar>
          </w:tcPr>
          <w:p>
            <w:pPr>
              <w:spacing w:after="0" w:before="0"/>
              <w:jc w:val="left"/>
            </w:pPr>
            <w:r>
              <w:rPr>
                <w:sz w:val="18"/>
              </w:rPr>
            </w:r>
            <w:r>
              <w:rPr>
                <w:b w:val="0"/>
                <w:sz w:val="18"/>
              </w:rPr>
              <w:t>ciudad</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Dirección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Provincia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provincia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Dirección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Código País</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codigo_pais_empresa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Dirección / país fiscal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N.I.F. / C.I.F.</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nif</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Identificación fiscal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Tipo de persona</w:t>
            </w:r>
          </w:p>
        </w:tc>
        <w:tc>
          <w:tcPr>
            <w:tcW w:type="dxa" w:w="3240"/>
            <w:vAlign w:val="center"/>
            <w:tcMar>
              <w:top w:w="80" w:type="dxa"/>
              <w:start w:w="80" w:type="dxa"/>
              <w:bottom w:w="80" w:type="dxa"/>
              <w:end w:w="80" w:type="dxa"/>
            </w:tcMar>
          </w:tcPr>
          <w:p>
            <w:pPr>
              <w:spacing w:after="0" w:before="0"/>
              <w:jc w:val="left"/>
            </w:pPr>
            <w:r>
              <w:rPr>
                <w:sz w:val="18"/>
              </w:rPr>
            </w:r>
            <w:r>
              <w:rPr>
                <w:b w:val="0"/>
                <w:sz w:val="18"/>
              </w:rPr>
              <w:t>tipo_persona_empresa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Clasificación jurídica</w:t>
            </w:r>
          </w:p>
        </w:tc>
      </w:tr>
    </w:tbl>
    <w:p>
      <w:pPr/>
    </w:p>
    <w:p>
      <w:pPr>
        <w:pStyle w:val="Heading3"/>
      </w:pPr>
      <w:r>
        <w:t>Campos condicionales si el tipo de persona es física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Campo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nombre_fisica_empresa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Desglose persona física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Apellido 1</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apellido1_fisica_empresa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Desglose persona física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Apellido 2</w:t>
            </w:r>
          </w:p>
        </w:tc>
        <w:tc>
          <w:tcPr>
            <w:tcW w:type="dxa" w:w="3240"/>
            <w:vAlign w:val="center"/>
            <w:tcMar>
              <w:top w:w="80" w:type="dxa"/>
              <w:start w:w="80" w:type="dxa"/>
              <w:bottom w:w="80" w:type="dxa"/>
              <w:end w:w="80" w:type="dxa"/>
            </w:tcMar>
          </w:tcPr>
          <w:p>
            <w:pPr>
              <w:spacing w:after="0" w:before="0"/>
              <w:jc w:val="left"/>
            </w:pPr>
            <w:r>
              <w:rPr>
                <w:sz w:val="18"/>
              </w:rPr>
            </w:r>
            <w:r>
              <w:rPr>
                <w:b w:val="0"/>
                <w:sz w:val="18"/>
              </w:rPr>
              <w:t>apellidos2_fisica_empresa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Desglose persona física</w:t>
            </w:r>
          </w:p>
        </w:tc>
      </w:tr>
    </w:tbl>
    <w:p>
      <w:pPr/>
    </w:p>
    <w:p>
      <w:pPr>
        <w:pStyle w:val="Heading3"/>
      </w:pPr>
      <w:r>
        <w:t>Configuraciones adicionales y archivos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Texto protección de datos</w:t>
            </w:r>
          </w:p>
        </w:tc>
        <w:tc>
          <w:tcPr>
            <w:tcW w:type="dxa" w:w="3240"/>
            <w:vAlign w:val="center"/>
            <w:tcMar>
              <w:top w:w="80" w:type="dxa"/>
              <w:start w:w="80" w:type="dxa"/>
              <w:bottom w:w="80" w:type="dxa"/>
              <w:end w:w="80" w:type="dxa"/>
            </w:tcMar>
          </w:tcPr>
          <w:p>
            <w:pPr>
              <w:spacing w:after="0" w:before="0"/>
              <w:jc w:val="left"/>
            </w:pPr>
            <w:r>
              <w:rPr>
                <w:sz w:val="18"/>
              </w:rPr>
            </w:r>
            <w:r>
              <w:rPr>
                <w:b w:val="0"/>
                <w:sz w:val="18"/>
              </w:rPr>
              <w:t>protecciondatos_empresa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tcPr>
          <w:p>
            <w:pPr>
              <w:spacing w:after="0" w:before="0"/>
              <w:jc w:val="left"/>
            </w:pPr>
            <w:r>
              <w:rPr>
                <w:sz w:val="18"/>
              </w:rPr>
            </w:r>
            <w:r>
              <w:rPr>
                <w:b w:val="0"/>
                <w:sz w:val="18"/>
              </w:rPr>
              <w:t>Plantillas legales / RGPD</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Permitir emails masivos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gestion_adjuntos_email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Política de comunicación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Certificado digital - contraseña</w:t>
            </w:r>
          </w:p>
        </w:tc>
        <w:tc>
          <w:tcPr>
            <w:tcW w:type="dxa" w:w="3240"/>
            <w:vAlign w:val="center"/>
            <w:tcMar>
              <w:top w:w="80" w:type="dxa"/>
              <w:start w:w="80" w:type="dxa"/>
              <w:bottom w:w="80" w:type="dxa"/>
              <w:end w:w="80" w:type="dxa"/>
            </w:tcMar>
          </w:tcPr>
          <w:p>
            <w:pPr>
              <w:spacing w:after="0" w:before="0"/>
              <w:jc w:val="left"/>
            </w:pPr>
            <w:r>
              <w:rPr>
                <w:sz w:val="18"/>
              </w:rPr>
            </w:r>
            <w:r>
              <w:rPr>
                <w:b w:val="0"/>
                <w:sz w:val="18"/>
              </w:rPr>
              <w:t>clave_certificado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tcPr>
          <w:p>
            <w:pPr>
              <w:spacing w:after="0" w:before="0"/>
              <w:jc w:val="left"/>
            </w:pPr>
            <w:r>
              <w:rPr>
                <w:sz w:val="18"/>
              </w:rPr>
            </w:r>
            <w:r>
              <w:rPr>
                <w:b w:val="0"/>
                <w:sz w:val="18"/>
              </w:rPr>
              <w:t>Integraciones / firma / certificados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Prefijo de facturación</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prefijo_factura_empresa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Series y numeración</w:t>
            </w:r>
          </w:p>
        </w:tc>
      </w:tr>
    </w:tbl>
    <w:p>
      <w:pPr/>
    </w:p>
    <w:p>
      <w:pPr>
        <w:pStyle w:val="Heading2"/>
      </w:pPr>
      <w:r>
        <w:t>18.4 Servicios: apertura de siniestro (apertura.php?nuevo=1)</w:t>
      </w:r>
    </w:p>
    <w:p>
      <w:pPr/>
      <w:r>
        <w:t>Wizard inicial de alta del expediente. La primera entidad creada es el siniestro; el resto de vistas derivadas -perito, asegurado y perjudicados- quedan subordinadas a esta creación inicial.</w:t>
      </w:r>
    </w:p>
    <w:p>
      <w:pPr>
        <w:pStyle w:val="ListBullet"/>
      </w:pPr>
      <w:r>
        <w:t>El botón funcional principal para avanzar de fase aparece referenciado como companias_alta con name=companias.</w:t>
      </w:r>
    </w:p>
    <w:p>
      <w:pPr>
        <w:pStyle w:val="ListBullet"/>
      </w:pPr>
      <w:r>
        <w:t>En la migración conviene separar los datos de cabecera del expediente de las entidades relacionadas para evitar formularios monolíticos.</w:t>
      </w:r>
    </w:p>
    <w:p>
      <w:pPr>
        <w:pStyle w:val="Heading3"/>
      </w:pPr>
      <w:r>
        <w:t>Campos de apertura del siniestro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Código / referencia</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codigo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Expediente.referencia_externa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Urgente</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urgente_servicio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Prioridad / SLA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Buscador compañía</w:t>
            </w:r>
          </w:p>
        </w:tc>
        <w:tc>
          <w:tcPr>
            <w:tcW w:type="dxa" w:w="3240"/>
            <w:vAlign w:val="center"/>
            <w:tcMar>
              <w:top w:w="80" w:type="dxa"/>
              <w:start w:w="80" w:type="dxa"/>
              <w:bottom w:w="80" w:type="dxa"/>
              <w:end w:w="80" w:type="dxa"/>
            </w:tcMar>
          </w:tcPr>
          <w:p>
            <w:pPr>
              <w:spacing w:after="0" w:before="0"/>
              <w:jc w:val="left"/>
            </w:pPr>
            <w:r>
              <w:rPr>
                <w:sz w:val="18"/>
              </w:rPr>
            </w:r>
            <w:r>
              <w:rPr>
                <w:b w:val="0"/>
                <w:sz w:val="18"/>
              </w:rPr>
              <w:t>filtro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search</w:t>
            </w:r>
          </w:p>
        </w:tc>
        <w:tc>
          <w:tcPr>
            <w:tcW w:type="dxa" w:w="2232"/>
            <w:vAlign w:val="center"/>
            <w:tcMar>
              <w:top w:w="80" w:type="dxa"/>
              <w:start w:w="80" w:type="dxa"/>
              <w:bottom w:w="80" w:type="dxa"/>
              <w:end w:w="80" w:type="dxa"/>
            </w:tcMar>
          </w:tcPr>
          <w:p>
            <w:pPr>
              <w:spacing w:after="0" w:before="0"/>
              <w:jc w:val="left"/>
            </w:pPr>
            <w:r>
              <w:rPr>
                <w:sz w:val="18"/>
              </w:rPr>
            </w:r>
            <w:r>
              <w:rPr>
                <w:b w:val="0"/>
                <w:sz w:val="18"/>
              </w:rPr>
              <w:t>Lookup de aseguradora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Compañía aseguradora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compania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Cliente corporativo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Empresa que factura</w:t>
            </w:r>
          </w:p>
        </w:tc>
        <w:tc>
          <w:tcPr>
            <w:tcW w:type="dxa" w:w="3240"/>
            <w:vAlign w:val="center"/>
            <w:tcMar>
              <w:top w:w="80" w:type="dxa"/>
              <w:start w:w="80" w:type="dxa"/>
              <w:bottom w:w="80" w:type="dxa"/>
              <w:end w:w="80" w:type="dxa"/>
            </w:tcMar>
          </w:tcPr>
          <w:p>
            <w:pPr>
              <w:spacing w:after="0" w:before="0"/>
              <w:jc w:val="left"/>
            </w:pPr>
            <w:r>
              <w:rPr>
                <w:sz w:val="18"/>
              </w:rPr>
            </w:r>
            <w:r>
              <w:rPr>
                <w:b w:val="0"/>
                <w:sz w:val="18"/>
              </w:rPr>
              <w:t>empresa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Empresa emisora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Año del siniestro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codigo4 / anno_pap</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Metadato de expediente</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Descripción / daños</w:t>
            </w:r>
          </w:p>
        </w:tc>
        <w:tc>
          <w:tcPr>
            <w:tcW w:type="dxa" w:w="3240"/>
            <w:vAlign w:val="center"/>
            <w:tcMar>
              <w:top w:w="80" w:type="dxa"/>
              <w:start w:w="80" w:type="dxa"/>
              <w:bottom w:w="80" w:type="dxa"/>
              <w:end w:w="80" w:type="dxa"/>
            </w:tcMar>
          </w:tcPr>
          <w:p>
            <w:pPr>
              <w:spacing w:after="0" w:before="0"/>
              <w:jc w:val="left"/>
            </w:pPr>
            <w:r>
              <w:rPr>
                <w:sz w:val="18"/>
              </w:rPr>
            </w:r>
            <w:r>
              <w:rPr>
                <w:b w:val="0"/>
                <w:sz w:val="18"/>
              </w:rPr>
              <w:t>danos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tcPr>
          <w:p>
            <w:pPr>
              <w:spacing w:after="0" w:before="0"/>
              <w:jc w:val="left"/>
            </w:pPr>
            <w:r>
              <w:rPr>
                <w:sz w:val="18"/>
              </w:rPr>
            </w:r>
            <w:r>
              <w:rPr>
                <w:b w:val="0"/>
                <w:sz w:val="18"/>
              </w:rPr>
              <w:t>Descripción inicial del siniestro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Observaciones internas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observaciones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Notas internas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Nota importante para operarios</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nota_importante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tcPr>
          <w:p>
            <w:pPr>
              <w:spacing w:after="0" w:before="0"/>
              <w:jc w:val="left"/>
            </w:pPr>
            <w:r>
              <w:rPr>
                <w:sz w:val="18"/>
              </w:rPr>
            </w:r>
            <w:r>
              <w:rPr>
                <w:b w:val="0"/>
                <w:sz w:val="18"/>
              </w:rPr>
              <w:t>Instrucciones de campo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Servicio puntual (VIP)</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servicio_puntual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Flag operativo / segmentación</w:t>
            </w:r>
          </w:p>
        </w:tc>
      </w:tr>
    </w:tbl>
    <w:p>
      <w:pPr/>
    </w:p>
    <w:p>
      <w:pPr>
        <w:pStyle w:val="Heading2"/>
      </w:pPr>
      <w:r>
        <w:t>18.5 Maestros: alta de operario (form_operario.php)</w:t>
      </w:r>
    </w:p>
    <w:p>
      <w:pPr/>
      <w:r>
        <w:t>Formulario maestro de operario con mezcla de datos personales, logísticos, bancarios, contables, automatizaciones y acceso al sistema. En el nuevo ERP debe descomponerse en dominios: ficha operativa, perfil de acceso, liquidación y configuración de comunicación.</w:t>
      </w:r>
    </w:p>
    <w:p>
      <w:pPr>
        <w:pStyle w:val="Heading3"/>
      </w:pPr>
      <w:r>
        <w:t>Ficha completa de operario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Nombre operario</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Operario.nombre</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Razón social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razon</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Operario.razon_social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Dirección</w:t>
            </w:r>
          </w:p>
        </w:tc>
        <w:tc>
          <w:tcPr>
            <w:tcW w:type="dxa" w:w="3240"/>
            <w:vAlign w:val="center"/>
            <w:tcMar>
              <w:top w:w="80" w:type="dxa"/>
              <w:start w:w="80" w:type="dxa"/>
              <w:bottom w:w="80" w:type="dxa"/>
              <w:end w:w="80" w:type="dxa"/>
            </w:tcMar>
          </w:tcPr>
          <w:p>
            <w:pPr>
              <w:spacing w:after="0" w:before="0"/>
              <w:jc w:val="left"/>
            </w:pPr>
            <w:r>
              <w:rPr>
                <w:sz w:val="18"/>
              </w:rPr>
            </w:r>
            <w:r>
              <w:rPr>
                <w:b w:val="0"/>
                <w:sz w:val="18"/>
              </w:rPr>
              <w:t>direcc</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Dirección operativa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Población</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poblacion</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Dirección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Código postal</w:t>
            </w:r>
          </w:p>
        </w:tc>
        <w:tc>
          <w:tcPr>
            <w:tcW w:type="dxa" w:w="3240"/>
            <w:vAlign w:val="center"/>
            <w:tcMar>
              <w:top w:w="80" w:type="dxa"/>
              <w:start w:w="80" w:type="dxa"/>
              <w:bottom w:w="80" w:type="dxa"/>
              <w:end w:w="80" w:type="dxa"/>
            </w:tcMar>
          </w:tcPr>
          <w:p>
            <w:pPr>
              <w:spacing w:after="0" w:before="0"/>
              <w:jc w:val="left"/>
            </w:pPr>
            <w:r>
              <w:rPr>
                <w:sz w:val="18"/>
              </w:rPr>
            </w:r>
            <w:r>
              <w:rPr>
                <w:b w:val="0"/>
                <w:sz w:val="18"/>
              </w:rPr>
              <w:t>postal</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Dirección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Provincia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provincia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Dirección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Teléfono 1</w:t>
            </w:r>
          </w:p>
        </w:tc>
        <w:tc>
          <w:tcPr>
            <w:tcW w:type="dxa" w:w="3240"/>
            <w:vAlign w:val="center"/>
            <w:tcMar>
              <w:top w:w="80" w:type="dxa"/>
              <w:start w:w="80" w:type="dxa"/>
              <w:bottom w:w="80" w:type="dxa"/>
              <w:end w:w="80" w:type="dxa"/>
            </w:tcMar>
          </w:tcPr>
          <w:p>
            <w:pPr>
              <w:spacing w:after="0" w:before="0"/>
              <w:jc w:val="left"/>
            </w:pPr>
            <w:r>
              <w:rPr>
                <w:sz w:val="18"/>
              </w:rPr>
            </w:r>
            <w:r>
              <w:rPr>
                <w:b w:val="0"/>
                <w:sz w:val="18"/>
              </w:rPr>
              <w:t>telf1</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tel</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principal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Teléfono 2</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telf2</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tel</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Contacto secundario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Fax</w:t>
            </w:r>
          </w:p>
        </w:tc>
        <w:tc>
          <w:tcPr>
            <w:tcW w:type="dxa" w:w="3240"/>
            <w:vAlign w:val="center"/>
            <w:tcMar>
              <w:top w:w="80" w:type="dxa"/>
              <w:start w:w="80" w:type="dxa"/>
              <w:bottom w:w="80" w:type="dxa"/>
              <w:end w:w="80" w:type="dxa"/>
            </w:tcMar>
          </w:tcPr>
          <w:p>
            <w:pPr>
              <w:spacing w:after="0" w:before="0"/>
              <w:jc w:val="left"/>
            </w:pPr>
            <w:r>
              <w:rPr>
                <w:sz w:val="18"/>
              </w:rPr>
            </w:r>
            <w:r>
              <w:rPr>
                <w:b w:val="0"/>
                <w:sz w:val="18"/>
              </w:rPr>
              <w:t>fax</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tel</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legacy</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E-mail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mailto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email</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Login / comunicaciones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Tipo documento</w:t>
            </w:r>
          </w:p>
        </w:tc>
        <w:tc>
          <w:tcPr>
            <w:tcW w:type="dxa" w:w="3240"/>
            <w:vAlign w:val="center"/>
            <w:tcMar>
              <w:top w:w="80" w:type="dxa"/>
              <w:start w:w="80" w:type="dxa"/>
              <w:bottom w:w="80" w:type="dxa"/>
              <w:end w:w="80" w:type="dxa"/>
            </w:tcMar>
          </w:tcPr>
          <w:p>
            <w:pPr>
              <w:spacing w:after="0" w:before="0"/>
              <w:jc w:val="left"/>
            </w:pPr>
            <w:r>
              <w:rPr>
                <w:sz w:val="18"/>
              </w:rPr>
            </w:r>
            <w:r>
              <w:rPr>
                <w:b w:val="0"/>
                <w:sz w:val="18"/>
              </w:rPr>
              <w:t>tipo_identificacion</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Identificación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NIF / documento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nif</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Identificación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Contacto</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contacto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Persona de contacto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IBAN bloques 1 a 6</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iban_1...6_operario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Tesorería / pagos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CCC entidad</w:t>
            </w:r>
          </w:p>
        </w:tc>
        <w:tc>
          <w:tcPr>
            <w:tcW w:type="dxa" w:w="3240"/>
            <w:vAlign w:val="center"/>
            <w:tcMar>
              <w:top w:w="80" w:type="dxa"/>
              <w:start w:w="80" w:type="dxa"/>
              <w:bottom w:w="80" w:type="dxa"/>
              <w:end w:w="80" w:type="dxa"/>
            </w:tcMar>
          </w:tcPr>
          <w:p>
            <w:pPr>
              <w:spacing w:after="0" w:before="0"/>
              <w:jc w:val="left"/>
            </w:pPr>
            <w:r>
              <w:rPr>
                <w:sz w:val="18"/>
              </w:rPr>
            </w:r>
            <w:r>
              <w:rPr>
                <w:b w:val="0"/>
                <w:sz w:val="18"/>
              </w:rPr>
              <w:t>numero_entidad</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Tesorería legacy</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Subcuenta contable</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subcuenta_operario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Contabilidad / BI</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Prefijo autofacturación</w:t>
            </w:r>
          </w:p>
        </w:tc>
        <w:tc>
          <w:tcPr>
            <w:tcW w:type="dxa" w:w="3240"/>
            <w:vAlign w:val="center"/>
            <w:tcMar>
              <w:top w:w="80" w:type="dxa"/>
              <w:start w:w="80" w:type="dxa"/>
              <w:bottom w:w="80" w:type="dxa"/>
              <w:end w:w="80" w:type="dxa"/>
            </w:tcMar>
          </w:tcPr>
          <w:p>
            <w:pPr>
              <w:spacing w:after="0" w:before="0"/>
              <w:jc w:val="left"/>
            </w:pPr>
            <w:r>
              <w:rPr>
                <w:sz w:val="18"/>
              </w:rPr>
            </w:r>
            <w:r>
              <w:rPr>
                <w:b w:val="0"/>
                <w:sz w:val="18"/>
              </w:rPr>
              <w:t>prefijo_factura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Autofacturación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Categoría / tipo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tipo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Clasificación de recurso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Ajuste baremos (+/-)</w:t>
            </w:r>
          </w:p>
        </w:tc>
        <w:tc>
          <w:tcPr>
            <w:tcW w:type="dxa" w:w="3240"/>
            <w:vAlign w:val="center"/>
            <w:tcMar>
              <w:top w:w="80" w:type="dxa"/>
              <w:start w:w="80" w:type="dxa"/>
              <w:bottom w:w="80" w:type="dxa"/>
              <w:end w:w="80" w:type="dxa"/>
            </w:tcMar>
          </w:tcPr>
          <w:p>
            <w:pPr>
              <w:spacing w:after="0" w:before="0"/>
              <w:jc w:val="left"/>
            </w:pPr>
            <w:r>
              <w:rPr>
                <w:sz w:val="18"/>
              </w:rPr>
            </w:r>
            <w:r>
              <w:rPr>
                <w:b w:val="0"/>
                <w:sz w:val="18"/>
              </w:rPr>
              <w:t>incr</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Pricing / negociación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Descuento negociado operario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descuento_negociado_operario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Coste / negociación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Automático SMS</w:t>
            </w:r>
          </w:p>
        </w:tc>
        <w:tc>
          <w:tcPr>
            <w:tcW w:type="dxa" w:w="3240"/>
            <w:vAlign w:val="center"/>
            <w:tcMar>
              <w:top w:w="80" w:type="dxa"/>
              <w:start w:w="80" w:type="dxa"/>
              <w:bottom w:w="80" w:type="dxa"/>
              <w:end w:w="80" w:type="dxa"/>
            </w:tcMar>
          </w:tcPr>
          <w:p>
            <w:pPr>
              <w:spacing w:after="0" w:before="0"/>
              <w:jc w:val="left"/>
            </w:pPr>
            <w:r>
              <w:rPr>
                <w:sz w:val="18"/>
              </w:rPr>
            </w:r>
            <w:r>
              <w:rPr>
                <w:b w:val="0"/>
                <w:sz w:val="18"/>
              </w:rPr>
              <w:t>automatico_sms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tcPr>
          <w:p>
            <w:pPr>
              <w:spacing w:after="0" w:before="0"/>
              <w:jc w:val="left"/>
            </w:pPr>
            <w:r>
              <w:rPr>
                <w:sz w:val="18"/>
              </w:rPr>
            </w:r>
            <w:r>
              <w:rPr>
                <w:b w:val="0"/>
                <w:sz w:val="18"/>
              </w:rPr>
              <w:t>Automatización de avisos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Automático email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automatico_email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Automatización de avisos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Es supervisor</w:t>
            </w:r>
          </w:p>
        </w:tc>
        <w:tc>
          <w:tcPr>
            <w:tcW w:type="dxa" w:w="3240"/>
            <w:vAlign w:val="center"/>
            <w:tcMar>
              <w:top w:w="80" w:type="dxa"/>
              <w:start w:w="80" w:type="dxa"/>
              <w:bottom w:w="80" w:type="dxa"/>
              <w:end w:w="80" w:type="dxa"/>
            </w:tcMar>
          </w:tcPr>
          <w:p>
            <w:pPr>
              <w:spacing w:after="0" w:before="0"/>
              <w:jc w:val="left"/>
            </w:pPr>
            <w:r>
              <w:rPr>
                <w:sz w:val="18"/>
              </w:rPr>
            </w:r>
            <w:r>
              <w:rPr>
                <w:b w:val="0"/>
                <w:sz w:val="18"/>
              </w:rPr>
              <w:t>supervisor</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tcPr>
          <w:p>
            <w:pPr>
              <w:spacing w:after="0" w:before="0"/>
              <w:jc w:val="left"/>
            </w:pPr>
            <w:r>
              <w:rPr>
                <w:sz w:val="18"/>
              </w:rPr>
            </w:r>
            <w:r>
              <w:rPr>
                <w:b w:val="0"/>
                <w:sz w:val="18"/>
              </w:rPr>
              <w:t>RBAC / jerarquía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Usuario de acceso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usuario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Identidad / login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Contraseña de acceso</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contrasena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Credencial legacy</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Notas / observaciones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observaciones_operario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Notas internas</w:t>
            </w:r>
          </w:p>
        </w:tc>
      </w:tr>
    </w:tbl>
    <w:p>
      <w:pPr/>
    </w:p>
    <w:p>
      <w:pPr>
        <w:pStyle w:val="Heading2"/>
      </w:pPr>
      <w:r>
        <w:t>18.6 Maestros avanzados: compañías aseguradoras (form_compania.php)</w:t>
      </w:r>
    </w:p>
    <w:p>
      <w:pPr/>
      <w:r>
        <w:t>Formulario avanzado y altamente parametrizado que gobierna identidad del cliente corporativo, geografía, facturación, descuentos, integraciones, usuarios y reglas operativas. Este maestro debe convertirse en una entidad de configuración desacoplada, versionable y gobernada por permisos.</w:t>
      </w:r>
    </w:p>
    <w:p>
      <w:pPr>
        <w:pStyle w:val="Heading3"/>
      </w:pPr>
      <w:r>
        <w:t>18.6.1 Pestaña: datos básicos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Aseguradora.nombre</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Domicilio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domicilio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Aseguradora.direccion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CIF</w:t>
            </w:r>
          </w:p>
        </w:tc>
        <w:tc>
          <w:tcPr>
            <w:tcW w:type="dxa" w:w="3240"/>
            <w:vAlign w:val="center"/>
            <w:tcMar>
              <w:top w:w="80" w:type="dxa"/>
              <w:start w:w="80" w:type="dxa"/>
              <w:bottom w:w="80" w:type="dxa"/>
              <w:end w:w="80" w:type="dxa"/>
            </w:tcMar>
          </w:tcPr>
          <w:p>
            <w:pPr>
              <w:spacing w:after="0" w:before="0"/>
              <w:jc w:val="left"/>
            </w:pPr>
            <w:r>
              <w:rPr>
                <w:sz w:val="18"/>
              </w:rPr>
            </w:r>
            <w:r>
              <w:rPr>
                <w:b w:val="0"/>
                <w:sz w:val="18"/>
              </w:rPr>
              <w:t>cif</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Aseguradora.identificacion_fiscal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Tipo de identificación</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tipo_identificacion</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Clasificación fiscal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Código postal</w:t>
            </w:r>
          </w:p>
        </w:tc>
        <w:tc>
          <w:tcPr>
            <w:tcW w:type="dxa" w:w="3240"/>
            <w:vAlign w:val="center"/>
            <w:tcMar>
              <w:top w:w="80" w:type="dxa"/>
              <w:start w:w="80" w:type="dxa"/>
              <w:bottom w:w="80" w:type="dxa"/>
              <w:end w:w="80" w:type="dxa"/>
            </w:tcMar>
          </w:tcPr>
          <w:p>
            <w:pPr>
              <w:spacing w:after="0" w:before="0"/>
              <w:jc w:val="left"/>
            </w:pPr>
            <w:r>
              <w:rPr>
                <w:sz w:val="18"/>
              </w:rPr>
            </w:r>
            <w:r>
              <w:rPr>
                <w:b w:val="0"/>
                <w:sz w:val="18"/>
              </w:rPr>
              <w:t>cp</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Geografía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Población</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poblacion</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Geografía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Provincia</w:t>
            </w:r>
          </w:p>
        </w:tc>
        <w:tc>
          <w:tcPr>
            <w:tcW w:type="dxa" w:w="3240"/>
            <w:vAlign w:val="center"/>
            <w:tcMar>
              <w:top w:w="80" w:type="dxa"/>
              <w:start w:w="80" w:type="dxa"/>
              <w:bottom w:w="80" w:type="dxa"/>
              <w:end w:w="80" w:type="dxa"/>
            </w:tcMar>
          </w:tcPr>
          <w:p>
            <w:pPr>
              <w:spacing w:after="0" w:before="0"/>
              <w:jc w:val="left"/>
            </w:pPr>
            <w:r>
              <w:rPr>
                <w:sz w:val="18"/>
              </w:rPr>
            </w:r>
            <w:r>
              <w:rPr>
                <w:b w:val="0"/>
                <w:sz w:val="18"/>
              </w:rPr>
              <w:t>provincia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Geografía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Teléfono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telefono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Contacto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Fax</w:t>
            </w:r>
          </w:p>
        </w:tc>
        <w:tc>
          <w:tcPr>
            <w:tcW w:type="dxa" w:w="3240"/>
            <w:vAlign w:val="center"/>
            <w:tcMar>
              <w:top w:w="80" w:type="dxa"/>
              <w:start w:w="80" w:type="dxa"/>
              <w:bottom w:w="80" w:type="dxa"/>
              <w:end w:w="80" w:type="dxa"/>
            </w:tcMar>
          </w:tcPr>
          <w:p>
            <w:pPr>
              <w:spacing w:after="0" w:before="0"/>
              <w:jc w:val="left"/>
            </w:pPr>
            <w:r>
              <w:rPr>
                <w:sz w:val="18"/>
              </w:rPr>
            </w:r>
            <w:r>
              <w:rPr>
                <w:b w:val="0"/>
                <w:sz w:val="18"/>
              </w:rPr>
              <w:t>fax</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legacy</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Email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email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email</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Contacto / notificaciones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Subcuenta</w:t>
            </w:r>
          </w:p>
        </w:tc>
        <w:tc>
          <w:tcPr>
            <w:tcW w:type="dxa" w:w="3240"/>
            <w:vAlign w:val="center"/>
            <w:tcMar>
              <w:top w:w="80" w:type="dxa"/>
              <w:start w:w="80" w:type="dxa"/>
              <w:bottom w:w="80" w:type="dxa"/>
              <w:end w:w="80" w:type="dxa"/>
            </w:tcMar>
          </w:tcPr>
          <w:p>
            <w:pPr>
              <w:spacing w:after="0" w:before="0"/>
              <w:jc w:val="left"/>
            </w:pPr>
            <w:r>
              <w:rPr>
                <w:sz w:val="18"/>
              </w:rPr>
            </w:r>
            <w:r>
              <w:rPr>
                <w:b w:val="0"/>
                <w:sz w:val="18"/>
              </w:rPr>
              <w:t>subcuenta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Contabilidad</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Subcuenta ingresos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subcuenta_ingresos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Contabilidad</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Subcuenta abonos</w:t>
            </w:r>
          </w:p>
        </w:tc>
        <w:tc>
          <w:tcPr>
            <w:tcW w:type="dxa" w:w="3240"/>
            <w:vAlign w:val="center"/>
            <w:tcMar>
              <w:top w:w="80" w:type="dxa"/>
              <w:start w:w="80" w:type="dxa"/>
              <w:bottom w:w="80" w:type="dxa"/>
              <w:end w:w="80" w:type="dxa"/>
            </w:tcMar>
          </w:tcPr>
          <w:p>
            <w:pPr>
              <w:spacing w:after="0" w:before="0"/>
              <w:jc w:val="left"/>
            </w:pPr>
            <w:r>
              <w:rPr>
                <w:sz w:val="18"/>
              </w:rPr>
            </w:r>
            <w:r>
              <w:rPr>
                <w:b w:val="0"/>
                <w:sz w:val="18"/>
              </w:rPr>
              <w:t>subcuenta_abonos_companyia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Contabilidad</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Subcuenta gastos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subcuenta_gasto_companyia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Contabilidad</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Agrupar factura por partidas</w:t>
            </w:r>
          </w:p>
        </w:tc>
        <w:tc>
          <w:tcPr>
            <w:tcW w:type="dxa" w:w="3240"/>
            <w:vAlign w:val="center"/>
            <w:tcMar>
              <w:top w:w="80" w:type="dxa"/>
              <w:start w:w="80" w:type="dxa"/>
              <w:bottom w:w="80" w:type="dxa"/>
              <w:end w:w="80" w:type="dxa"/>
            </w:tcMar>
          </w:tcPr>
          <w:p>
            <w:pPr>
              <w:spacing w:after="0" w:before="0"/>
              <w:jc w:val="left"/>
            </w:pPr>
            <w:r>
              <w:rPr>
                <w:sz w:val="18"/>
              </w:rPr>
            </w:r>
            <w:r>
              <w:rPr>
                <w:b w:val="0"/>
                <w:sz w:val="18"/>
              </w:rPr>
              <w:t>factura_partidas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tcPr>
          <w:p>
            <w:pPr>
              <w:spacing w:after="0" w:before="0"/>
              <w:jc w:val="left"/>
            </w:pPr>
            <w:r>
              <w:rPr>
                <w:sz w:val="18"/>
              </w:rPr>
            </w:r>
            <w:r>
              <w:rPr>
                <w:b w:val="0"/>
                <w:sz w:val="18"/>
              </w:rPr>
              <w:t>Regla de facturación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Cuenta bancaria de ingreso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cuenta_bancaria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Tesorería / cobro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Forma de pago</w:t>
            </w:r>
          </w:p>
        </w:tc>
        <w:tc>
          <w:tcPr>
            <w:tcW w:type="dxa" w:w="3240"/>
            <w:vAlign w:val="center"/>
            <w:tcMar>
              <w:top w:w="80" w:type="dxa"/>
              <w:start w:w="80" w:type="dxa"/>
              <w:bottom w:w="80" w:type="dxa"/>
              <w:end w:w="80" w:type="dxa"/>
            </w:tcMar>
          </w:tcPr>
          <w:p>
            <w:pPr>
              <w:spacing w:after="0" w:before="0"/>
              <w:jc w:val="left"/>
            </w:pPr>
            <w:r>
              <w:rPr>
                <w:sz w:val="18"/>
              </w:rPr>
            </w:r>
            <w:r>
              <w:rPr>
                <w:b w:val="0"/>
                <w:sz w:val="18"/>
              </w:rPr>
              <w:t>forma_pago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Tesorería / cobro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Finaliza operario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opcion_finaliza_operario_companyia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Regla operativa de cierre</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Notificar comunicaciones SMS</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notificar_comunicaciones_sms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tcPr>
          <w:p>
            <w:pPr>
              <w:spacing w:after="0" w:before="0"/>
              <w:jc w:val="left"/>
            </w:pPr>
            <w:r>
              <w:rPr>
                <w:sz w:val="18"/>
              </w:rPr>
            </w:r>
            <w:r>
              <w:rPr>
                <w:b w:val="0"/>
                <w:sz w:val="18"/>
              </w:rPr>
              <w:t>Mensajería</w:t>
            </w:r>
          </w:p>
        </w:tc>
      </w:tr>
    </w:tbl>
    <w:p>
      <w:pPr/>
    </w:p>
    <w:p>
      <w:pPr>
        <w:pStyle w:val="Heading3"/>
      </w:pPr>
      <w:r>
        <w:t>18.6.2 Pestaña / sección: delegaciones y zonas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Selector de provincias asignadas</w:t>
            </w:r>
          </w:p>
        </w:tc>
        <w:tc>
          <w:tcPr>
            <w:tcW w:type="dxa" w:w="3240"/>
            <w:vAlign w:val="center"/>
            <w:tcMar>
              <w:top w:w="80" w:type="dxa"/>
              <w:start w:w="80" w:type="dxa"/>
              <w:bottom w:w="80" w:type="dxa"/>
              <w:end w:w="80" w:type="dxa"/>
            </w:tcMar>
          </w:tcPr>
          <w:p>
            <w:pPr>
              <w:spacing w:after="0" w:before="0"/>
              <w:jc w:val="left"/>
            </w:pPr>
            <w:r>
              <w:rPr>
                <w:sz w:val="18"/>
              </w:rPr>
            </w:r>
            <w:r>
              <w:rPr>
                <w:b w:val="0"/>
                <w:sz w:val="18"/>
              </w:rPr>
              <w:t>provincias_compania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Cobertura geográfica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Acción agregar provincia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add_provincia_compania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button</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Gestión de cobertura</w:t>
            </w:r>
          </w:p>
        </w:tc>
      </w:tr>
    </w:tbl>
    <w:p>
      <w:pPr/>
    </w:p>
    <w:p>
      <w:pPr>
        <w:pStyle w:val="Heading3"/>
      </w:pPr>
      <w:r>
        <w:t>18.6.3 Pestaña: baremos, descuentos e IVA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Descuento de trabajo general</w:t>
            </w:r>
          </w:p>
        </w:tc>
        <w:tc>
          <w:tcPr>
            <w:tcW w:type="dxa" w:w="3240"/>
            <w:vAlign w:val="center"/>
            <w:tcMar>
              <w:top w:w="80" w:type="dxa"/>
              <w:start w:w="80" w:type="dxa"/>
              <w:bottom w:w="80" w:type="dxa"/>
              <w:end w:w="80" w:type="dxa"/>
            </w:tcMar>
          </w:tcPr>
          <w:p>
            <w:pPr>
              <w:spacing w:after="0" w:before="0"/>
              <w:jc w:val="left"/>
            </w:pPr>
            <w:r>
              <w:rPr>
                <w:sz w:val="18"/>
              </w:rPr>
            </w:r>
            <w:r>
              <w:rPr>
                <w:b w:val="0"/>
                <w:sz w:val="18"/>
              </w:rPr>
              <w:t>descuento_trabajo_defecto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Pricing / descuentos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Descuento al operario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descuento_operario_defecto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Pricing / costes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Descuento general en factura</w:t>
            </w:r>
          </w:p>
        </w:tc>
        <w:tc>
          <w:tcPr>
            <w:tcW w:type="dxa" w:w="3240"/>
            <w:vAlign w:val="center"/>
            <w:tcMar>
              <w:top w:w="80" w:type="dxa"/>
              <w:start w:w="80" w:type="dxa"/>
              <w:bottom w:w="80" w:type="dxa"/>
              <w:end w:w="80" w:type="dxa"/>
            </w:tcMar>
          </w:tcPr>
          <w:p>
            <w:pPr>
              <w:spacing w:after="0" w:before="0"/>
              <w:jc w:val="left"/>
            </w:pPr>
            <w:r>
              <w:rPr>
                <w:sz w:val="18"/>
              </w:rPr>
            </w:r>
            <w:r>
              <w:rPr>
                <w:b w:val="0"/>
                <w:sz w:val="18"/>
              </w:rPr>
              <w:t>descuento_factura_defecto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Facturación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IVA por defecto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iva_trabajo_defecto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Fiscalidad</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Tipificación por defecto - tipo de trabajo</w:t>
            </w:r>
          </w:p>
        </w:tc>
        <w:tc>
          <w:tcPr>
            <w:tcW w:type="dxa" w:w="3240"/>
            <w:vAlign w:val="center"/>
            <w:tcMar>
              <w:top w:w="80" w:type="dxa"/>
              <w:start w:w="80" w:type="dxa"/>
              <w:bottom w:w="80" w:type="dxa"/>
              <w:end w:w="80" w:type="dxa"/>
            </w:tcMar>
          </w:tcPr>
          <w:p>
            <w:pPr>
              <w:spacing w:after="0" w:before="0"/>
              <w:jc w:val="left"/>
            </w:pPr>
            <w:r>
              <w:rPr>
                <w:sz w:val="18"/>
              </w:rPr>
            </w:r>
            <w:r>
              <w:rPr>
                <w:b w:val="0"/>
                <w:sz w:val="18"/>
              </w:rPr>
              <w:t>tipo_trabajo_defecto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Clasificación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Tipificación por defecto - tipo de daño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tipo_dano_defecto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Clasificación</w:t>
            </w:r>
          </w:p>
        </w:tc>
      </w:tr>
    </w:tbl>
    <w:p>
      <w:pPr/>
    </w:p>
    <w:p>
      <w:pPr>
        <w:pStyle w:val="Heading3"/>
      </w:pPr>
      <w:r>
        <w:t>18.6.4 Pestaña: correo e integraciones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Credencial usuario externo</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codigo_usuario_companyia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Integración B2B</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Credencial password externo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codigo_clave_companyia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Integración B2B</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Servidor correo colaborador</w:t>
            </w:r>
          </w:p>
        </w:tc>
        <w:tc>
          <w:tcPr>
            <w:tcW w:type="dxa" w:w="3240"/>
            <w:vAlign w:val="center"/>
            <w:tcMar>
              <w:top w:w="80" w:type="dxa"/>
              <w:start w:w="80" w:type="dxa"/>
              <w:bottom w:w="80" w:type="dxa"/>
              <w:end w:w="80" w:type="dxa"/>
            </w:tcMar>
          </w:tcPr>
          <w:p>
            <w:pPr>
              <w:spacing w:after="0" w:before="0"/>
              <w:jc w:val="left"/>
            </w:pPr>
            <w:r>
              <w:rPr>
                <w:sz w:val="18"/>
              </w:rPr>
            </w:r>
            <w:r>
              <w:rPr>
                <w:b w:val="0"/>
                <w:sz w:val="18"/>
              </w:rPr>
              <w:t>servidor_correo_colaborador</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Infraestructura email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Remitente correo colaborador</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remitente_correo_colaborador</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Infraestructura email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Correo colaborador</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correo_colaborador</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Buzón de integración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Password correo colaborador</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correo_pass_colaborador</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Buzón de integración</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Integrar carta de transferencia</w:t>
            </w:r>
          </w:p>
        </w:tc>
        <w:tc>
          <w:tcPr>
            <w:tcW w:type="dxa" w:w="3240"/>
            <w:vAlign w:val="center"/>
            <w:tcMar>
              <w:top w:w="80" w:type="dxa"/>
              <w:start w:w="80" w:type="dxa"/>
              <w:bottom w:w="80" w:type="dxa"/>
              <w:end w:w="80" w:type="dxa"/>
            </w:tcMar>
          </w:tcPr>
          <w:p>
            <w:pPr>
              <w:spacing w:after="0" w:before="0"/>
              <w:jc w:val="left"/>
            </w:pPr>
            <w:r>
              <w:rPr>
                <w:sz w:val="18"/>
              </w:rPr>
            </w:r>
            <w:r>
              <w:rPr>
                <w:b w:val="0"/>
                <w:sz w:val="18"/>
              </w:rPr>
              <w:t>carta_trans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tcPr>
          <w:p>
            <w:pPr>
              <w:spacing w:after="0" w:before="0"/>
              <w:jc w:val="left"/>
            </w:pPr>
            <w:r>
              <w:rPr>
                <w:sz w:val="18"/>
              </w:rPr>
            </w:r>
            <w:r>
              <w:rPr>
                <w:b w:val="0"/>
                <w:sz w:val="18"/>
              </w:rPr>
              <w:t>Documentos / flujos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Auto-cita IPASWS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ipasws_auto_cita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Automatización externa</w:t>
            </w:r>
          </w:p>
        </w:tc>
      </w:tr>
    </w:tbl>
    <w:p>
      <w:pPr/>
    </w:p>
    <w:p>
      <w:pPr>
        <w:pStyle w:val="Heading3"/>
      </w:pPr>
      <w:r>
        <w:t>18.6.5 Pestaña: usuarios (accesos y portales de cliente)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Nombre usuario compañía</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nombre_usuario_companyia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Usuario externo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Teléfono usuario compañía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telefono_usuario_companyia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Usuario externo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Email usuario compañía</w:t>
            </w:r>
          </w:p>
        </w:tc>
        <w:tc>
          <w:tcPr>
            <w:tcW w:type="dxa" w:w="3240"/>
            <w:vAlign w:val="center"/>
            <w:tcMar>
              <w:top w:w="80" w:type="dxa"/>
              <w:start w:w="80" w:type="dxa"/>
              <w:bottom w:w="80" w:type="dxa"/>
              <w:end w:w="80" w:type="dxa"/>
            </w:tcMar>
          </w:tcPr>
          <w:p>
            <w:pPr>
              <w:spacing w:after="0" w:before="0"/>
              <w:jc w:val="left"/>
            </w:pPr>
            <w:r>
              <w:rPr>
                <w:sz w:val="18"/>
              </w:rPr>
            </w:r>
            <w:r>
              <w:rPr>
                <w:b w:val="0"/>
                <w:sz w:val="18"/>
              </w:rPr>
              <w:t>email_usuario_companyia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email</w:t>
            </w:r>
          </w:p>
        </w:tc>
        <w:tc>
          <w:tcPr>
            <w:tcW w:type="dxa" w:w="2232"/>
            <w:vAlign w:val="center"/>
            <w:tcMar>
              <w:top w:w="80" w:type="dxa"/>
              <w:start w:w="80" w:type="dxa"/>
              <w:bottom w:w="80" w:type="dxa"/>
              <w:end w:w="80" w:type="dxa"/>
            </w:tcMar>
          </w:tcPr>
          <w:p>
            <w:pPr>
              <w:spacing w:after="0" w:before="0"/>
              <w:jc w:val="left"/>
            </w:pPr>
            <w:r>
              <w:rPr>
                <w:sz w:val="18"/>
              </w:rPr>
            </w:r>
            <w:r>
              <w:rPr>
                <w:b w:val="0"/>
                <w:sz w:val="18"/>
              </w:rPr>
              <w:t>Usuario externo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Usuario compañía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usuario_companyia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Credencial de acceso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Clave compañía</w:t>
            </w:r>
          </w:p>
        </w:tc>
        <w:tc>
          <w:tcPr>
            <w:tcW w:type="dxa" w:w="3240"/>
            <w:vAlign w:val="center"/>
            <w:tcMar>
              <w:top w:w="80" w:type="dxa"/>
              <w:start w:w="80" w:type="dxa"/>
              <w:bottom w:w="80" w:type="dxa"/>
              <w:end w:w="80" w:type="dxa"/>
            </w:tcMar>
          </w:tcPr>
          <w:p>
            <w:pPr>
              <w:spacing w:after="0" w:before="0"/>
              <w:jc w:val="left"/>
            </w:pPr>
            <w:r>
              <w:rPr>
                <w:sz w:val="18"/>
              </w:rPr>
            </w:r>
            <w:r>
              <w:rPr>
                <w:b w:val="0"/>
                <w:sz w:val="18"/>
              </w:rPr>
              <w:t>clave_companyia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password</w:t>
            </w:r>
          </w:p>
        </w:tc>
        <w:tc>
          <w:tcPr>
            <w:tcW w:type="dxa" w:w="2232"/>
            <w:vAlign w:val="center"/>
            <w:tcMar>
              <w:top w:w="80" w:type="dxa"/>
              <w:start w:w="80" w:type="dxa"/>
              <w:bottom w:w="80" w:type="dxa"/>
              <w:end w:w="80" w:type="dxa"/>
            </w:tcMar>
          </w:tcPr>
          <w:p>
            <w:pPr>
              <w:spacing w:after="0" w:before="0"/>
              <w:jc w:val="left"/>
            </w:pPr>
            <w:r>
              <w:rPr>
                <w:sz w:val="18"/>
              </w:rPr>
            </w:r>
            <w:r>
              <w:rPr>
                <w:b w:val="0"/>
                <w:sz w:val="18"/>
              </w:rPr>
              <w:t>Credencial de acceso</w:t>
            </w:r>
          </w:p>
        </w:tc>
      </w:tr>
    </w:tbl>
    <w:p>
      <w:pPr/>
    </w:p>
    <w:p>
      <w:pPr>
        <w:pStyle w:val="Heading2"/>
      </w:pPr>
      <w:r>
        <w:t>18.7 Tracker / seguimiento del siniestro (seguimiento.php?servicio=[ID])</w:t>
      </w:r>
    </w:p>
    <w:p>
      <w:pPr/>
      <w:r>
        <w:t>Página nuclear del ERP heredado. Consolida acciones de todos los departamentos dentro del mismo expediente y evidencia por qué en el nuevo sistema debe existir un timeline único, una máquina de estados explícita y subdominios desacoplados para evitar saturación funcional.</w:t>
      </w:r>
    </w:p>
    <w:p>
      <w:pPr>
        <w:pStyle w:val="Heading3"/>
      </w:pPr>
      <w:r>
        <w:t>18.7.1 Pestaña: datos del siniestro (cabecera)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ID sistema / key reference</w:t>
            </w:r>
          </w:p>
        </w:tc>
        <w:tc>
          <w:tcPr>
            <w:tcW w:type="dxa" w:w="3240"/>
            <w:vAlign w:val="center"/>
            <w:tcMar>
              <w:top w:w="80" w:type="dxa"/>
              <w:start w:w="80" w:type="dxa"/>
              <w:bottom w:w="80" w:type="dxa"/>
              <w:end w:w="80" w:type="dxa"/>
            </w:tcMar>
          </w:tcPr>
          <w:p>
            <w:pPr>
              <w:spacing w:after="0" w:before="0"/>
              <w:jc w:val="left"/>
            </w:pPr>
            <w:r>
              <w:rPr>
                <w:sz w:val="18"/>
              </w:rPr>
            </w:r>
            <w:r>
              <w:rPr>
                <w:b w:val="0"/>
                <w:sz w:val="18"/>
              </w:rPr>
              <w:t>id_servicio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hidden</w:t>
            </w:r>
          </w:p>
        </w:tc>
        <w:tc>
          <w:tcPr>
            <w:tcW w:type="dxa" w:w="2232"/>
            <w:vAlign w:val="center"/>
            <w:tcMar>
              <w:top w:w="80" w:type="dxa"/>
              <w:start w:w="80" w:type="dxa"/>
              <w:bottom w:w="80" w:type="dxa"/>
              <w:end w:w="80" w:type="dxa"/>
            </w:tcMar>
          </w:tcPr>
          <w:p>
            <w:pPr>
              <w:spacing w:after="0" w:before="0"/>
              <w:jc w:val="left"/>
            </w:pPr>
            <w:r>
              <w:rPr>
                <w:sz w:val="18"/>
              </w:rPr>
            </w:r>
            <w:r>
              <w:rPr>
                <w:b w:val="0"/>
                <w:sz w:val="18"/>
              </w:rPr>
              <w:t>Expediente.id</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Gremio activo / especialidad</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especialidad_servicio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Clasificación operativa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Tipo de daño</w:t>
            </w:r>
          </w:p>
        </w:tc>
        <w:tc>
          <w:tcPr>
            <w:tcW w:type="dxa" w:w="3240"/>
            <w:vAlign w:val="center"/>
            <w:tcMar>
              <w:top w:w="80" w:type="dxa"/>
              <w:start w:w="80" w:type="dxa"/>
              <w:bottom w:w="80" w:type="dxa"/>
              <w:end w:w="80" w:type="dxa"/>
            </w:tcMar>
          </w:tcPr>
          <w:p>
            <w:pPr>
              <w:spacing w:after="0" w:before="0"/>
              <w:jc w:val="left"/>
            </w:pPr>
            <w:r>
              <w:rPr>
                <w:sz w:val="18"/>
              </w:rPr>
            </w:r>
            <w:r>
              <w:rPr>
                <w:b w:val="0"/>
                <w:sz w:val="18"/>
              </w:rPr>
              <w:t>tipo_danyo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Clasificación operativa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Marca urgencia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urgente</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Prioridad / SLA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Fecha límite / SLA</w:t>
            </w:r>
          </w:p>
        </w:tc>
        <w:tc>
          <w:tcPr>
            <w:tcW w:type="dxa" w:w="3240"/>
            <w:vAlign w:val="center"/>
            <w:tcMar>
              <w:top w:w="80" w:type="dxa"/>
              <w:start w:w="80" w:type="dxa"/>
              <w:bottom w:w="80" w:type="dxa"/>
              <w:end w:w="80" w:type="dxa"/>
            </w:tcMar>
          </w:tcPr>
          <w:p>
            <w:pPr>
              <w:spacing w:after="0" w:before="0"/>
              <w:jc w:val="left"/>
            </w:pPr>
            <w:r>
              <w:rPr>
                <w:sz w:val="18"/>
              </w:rPr>
            </w:r>
            <w:r>
              <w:rPr>
                <w:b w:val="0"/>
                <w:sz w:val="18"/>
              </w:rPr>
              <w:t>fecha_tope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Compromiso de servicio</w:t>
            </w:r>
          </w:p>
        </w:tc>
      </w:tr>
    </w:tbl>
    <w:p>
      <w:pPr/>
    </w:p>
    <w:p>
      <w:pPr>
        <w:pStyle w:val="Heading3"/>
      </w:pPr>
      <w:r>
        <w:t>18.7.2 Pestaña: perito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Nombre de perito</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Perito.nombre</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Empresa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empresa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Perito.empresa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Teléfono fijo 1</w:t>
            </w:r>
          </w:p>
        </w:tc>
        <w:tc>
          <w:tcPr>
            <w:tcW w:type="dxa" w:w="3240"/>
            <w:vAlign w:val="center"/>
            <w:tcMar>
              <w:top w:w="80" w:type="dxa"/>
              <w:start w:w="80" w:type="dxa"/>
              <w:bottom w:w="80" w:type="dxa"/>
              <w:end w:w="80" w:type="dxa"/>
            </w:tcMar>
          </w:tcPr>
          <w:p>
            <w:pPr>
              <w:spacing w:after="0" w:before="0"/>
              <w:jc w:val="left"/>
            </w:pPr>
            <w:r>
              <w:rPr>
                <w:sz w:val="18"/>
              </w:rPr>
            </w:r>
            <w:r>
              <w:rPr>
                <w:b w:val="0"/>
                <w:sz w:val="18"/>
              </w:rPr>
              <w:t>fijo1</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pericial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Teléfono fijo 2</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fijo2</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Contacto pericial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Móvil 1</w:t>
            </w:r>
          </w:p>
        </w:tc>
        <w:tc>
          <w:tcPr>
            <w:tcW w:type="dxa" w:w="3240"/>
            <w:vAlign w:val="center"/>
            <w:tcMar>
              <w:top w:w="80" w:type="dxa"/>
              <w:start w:w="80" w:type="dxa"/>
              <w:bottom w:w="80" w:type="dxa"/>
              <w:end w:w="80" w:type="dxa"/>
            </w:tcMar>
          </w:tcPr>
          <w:p>
            <w:pPr>
              <w:spacing w:after="0" w:before="0"/>
              <w:jc w:val="left"/>
            </w:pPr>
            <w:r>
              <w:rPr>
                <w:sz w:val="18"/>
              </w:rPr>
            </w:r>
            <w:r>
              <w:rPr>
                <w:b w:val="0"/>
                <w:sz w:val="18"/>
              </w:rPr>
              <w:t>movil1</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pericial</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Móvil 2</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movil2</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Contacto pericial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Email</w:t>
            </w:r>
          </w:p>
        </w:tc>
        <w:tc>
          <w:tcPr>
            <w:tcW w:type="dxa" w:w="3240"/>
            <w:vAlign w:val="center"/>
            <w:tcMar>
              <w:top w:w="80" w:type="dxa"/>
              <w:start w:w="80" w:type="dxa"/>
              <w:bottom w:w="80" w:type="dxa"/>
              <w:end w:w="80" w:type="dxa"/>
            </w:tcMar>
          </w:tcPr>
          <w:p>
            <w:pPr>
              <w:spacing w:after="0" w:before="0"/>
              <w:jc w:val="left"/>
            </w:pPr>
            <w:r>
              <w:rPr>
                <w:sz w:val="18"/>
              </w:rPr>
            </w:r>
            <w:r>
              <w:rPr>
                <w:b w:val="0"/>
                <w:sz w:val="18"/>
              </w:rPr>
              <w:t>email</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Contacto pericial</w:t>
            </w:r>
          </w:p>
        </w:tc>
      </w:tr>
    </w:tbl>
    <w:p>
      <w:pPr/>
    </w:p>
    <w:p>
      <w:pPr>
        <w:pStyle w:val="Heading3"/>
      </w:pPr>
      <w:r>
        <w:t>18.7.3 Pestaña: tareas, actuaciones y planning</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Identificador de trabajo diario</w:t>
            </w:r>
          </w:p>
        </w:tc>
        <w:tc>
          <w:tcPr>
            <w:tcW w:type="dxa" w:w="3240"/>
            <w:vAlign w:val="center"/>
            <w:tcMar>
              <w:top w:w="80" w:type="dxa"/>
              <w:start w:w="80" w:type="dxa"/>
              <w:bottom w:w="80" w:type="dxa"/>
              <w:end w:w="80" w:type="dxa"/>
            </w:tcMar>
          </w:tcPr>
          <w:p>
            <w:pPr>
              <w:spacing w:after="0" w:before="0"/>
              <w:jc w:val="left"/>
            </w:pPr>
            <w:r>
              <w:rPr>
                <w:sz w:val="18"/>
              </w:rPr>
            </w:r>
            <w:r>
              <w:rPr>
                <w:b w:val="0"/>
                <w:sz w:val="18"/>
              </w:rPr>
              <w:t>idtrabajo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hidden</w:t>
            </w:r>
          </w:p>
        </w:tc>
        <w:tc>
          <w:tcPr>
            <w:tcW w:type="dxa" w:w="2232"/>
            <w:vAlign w:val="center"/>
            <w:tcMar>
              <w:top w:w="80" w:type="dxa"/>
              <w:start w:w="80" w:type="dxa"/>
              <w:bottom w:w="80" w:type="dxa"/>
              <w:end w:w="80" w:type="dxa"/>
            </w:tcMar>
          </w:tcPr>
          <w:p>
            <w:pPr>
              <w:spacing w:after="0" w:before="0"/>
              <w:jc w:val="left"/>
            </w:pPr>
            <w:r>
              <w:rPr>
                <w:sz w:val="18"/>
              </w:rPr>
            </w:r>
            <w:r>
              <w:rPr>
                <w:b w:val="0"/>
                <w:sz w:val="18"/>
              </w:rPr>
              <w:t>Cita / visita / actuación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Estado de tarea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estado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radio</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Estado de visita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Fecha de finalización de tarea</w:t>
            </w:r>
          </w:p>
        </w:tc>
        <w:tc>
          <w:tcPr>
            <w:tcW w:type="dxa" w:w="3240"/>
            <w:vAlign w:val="center"/>
            <w:tcMar>
              <w:top w:w="80" w:type="dxa"/>
              <w:start w:w="80" w:type="dxa"/>
              <w:bottom w:w="80" w:type="dxa"/>
              <w:end w:w="80" w:type="dxa"/>
            </w:tcMar>
          </w:tcPr>
          <w:p>
            <w:pPr>
              <w:spacing w:after="0" w:before="0"/>
              <w:jc w:val="left"/>
            </w:pPr>
            <w:r>
              <w:rPr>
                <w:sz w:val="18"/>
              </w:rPr>
            </w:r>
            <w:r>
              <w:rPr>
                <w:b w:val="0"/>
                <w:sz w:val="18"/>
              </w:rPr>
              <w:t>fecha_finaliza_[ID_TAREA]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Timestamp de cierre</w:t>
            </w:r>
          </w:p>
        </w:tc>
      </w:tr>
    </w:tbl>
    <w:p>
      <w:pPr/>
    </w:p>
    <w:p>
      <w:pPr>
        <w:pStyle w:val="Heading3"/>
      </w:pPr>
      <w:r>
        <w:t>18.7.4 Pestaña: eventos, SMS y comunicaciones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Plantilla predefinida de email</w:t>
            </w:r>
          </w:p>
        </w:tc>
        <w:tc>
          <w:tcPr>
            <w:tcW w:type="dxa" w:w="3240"/>
            <w:vAlign w:val="center"/>
            <w:tcMar>
              <w:top w:w="80" w:type="dxa"/>
              <w:start w:w="80" w:type="dxa"/>
              <w:bottom w:w="80" w:type="dxa"/>
              <w:end w:w="80" w:type="dxa"/>
            </w:tcMar>
          </w:tcPr>
          <w:p>
            <w:pPr>
              <w:spacing w:after="0" w:before="0"/>
              <w:jc w:val="left"/>
            </w:pPr>
            <w:r>
              <w:rPr>
                <w:sz w:val="18"/>
              </w:rPr>
            </w:r>
            <w:r>
              <w:rPr>
                <w:b w:val="0"/>
                <w:sz w:val="18"/>
              </w:rPr>
              <w:t>id_texto_predefinido_email</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Plantillas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Email destinatario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email_asegurado_envio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Comunicación externa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Asunto email</w:t>
            </w:r>
          </w:p>
        </w:tc>
        <w:tc>
          <w:tcPr>
            <w:tcW w:type="dxa" w:w="3240"/>
            <w:vAlign w:val="center"/>
            <w:tcMar>
              <w:top w:w="80" w:type="dxa"/>
              <w:start w:w="80" w:type="dxa"/>
              <w:bottom w:w="80" w:type="dxa"/>
              <w:end w:w="80" w:type="dxa"/>
            </w:tcMar>
          </w:tcPr>
          <w:p>
            <w:pPr>
              <w:spacing w:after="0" w:before="0"/>
              <w:jc w:val="left"/>
            </w:pPr>
            <w:r>
              <w:rPr>
                <w:sz w:val="18"/>
              </w:rPr>
            </w:r>
            <w:r>
              <w:rPr>
                <w:b w:val="0"/>
                <w:sz w:val="18"/>
              </w:rPr>
              <w:t>asunto_asegurado_envio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Comunicación externa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Texto email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texto_email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Comunicación externa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Teléfono SMS</w:t>
            </w:r>
          </w:p>
        </w:tc>
        <w:tc>
          <w:tcPr>
            <w:tcW w:type="dxa" w:w="3240"/>
            <w:vAlign w:val="center"/>
            <w:tcMar>
              <w:top w:w="80" w:type="dxa"/>
              <w:start w:w="80" w:type="dxa"/>
              <w:bottom w:w="80" w:type="dxa"/>
              <w:end w:w="80" w:type="dxa"/>
            </w:tcMar>
          </w:tcPr>
          <w:p>
            <w:pPr>
              <w:spacing w:after="0" w:before="0"/>
              <w:jc w:val="left"/>
            </w:pPr>
            <w:r>
              <w:rPr>
                <w:sz w:val="18"/>
              </w:rPr>
            </w:r>
            <w:r>
              <w:rPr>
                <w:b w:val="0"/>
                <w:sz w:val="18"/>
              </w:rPr>
              <w:t>telefono_sms_envio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Comunicación externa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Texto SMS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texto_sms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Comunicación externa</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Clasificador de log</w:t>
            </w:r>
          </w:p>
        </w:tc>
        <w:tc>
          <w:tcPr>
            <w:tcW w:type="dxa" w:w="3240"/>
            <w:vAlign w:val="center"/>
            <w:tcMar>
              <w:top w:w="80" w:type="dxa"/>
              <w:start w:w="80" w:type="dxa"/>
              <w:bottom w:w="80" w:type="dxa"/>
              <w:end w:w="80" w:type="dxa"/>
            </w:tcMar>
          </w:tcPr>
          <w:p>
            <w:pPr>
              <w:spacing w:after="0" w:before="0"/>
              <w:jc w:val="left"/>
            </w:pPr>
            <w:r>
              <w:rPr>
                <w:sz w:val="18"/>
              </w:rPr>
            </w:r>
            <w:r>
              <w:rPr>
                <w:b w:val="0"/>
                <w:sz w:val="18"/>
              </w:rPr>
              <w:t>tipo_mensaje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Auditoría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Texto libre de log</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info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Auditoría</w:t>
            </w:r>
          </w:p>
        </w:tc>
      </w:tr>
    </w:tbl>
    <w:p>
      <w:pPr/>
    </w:p>
    <w:p>
      <w:pPr>
        <w:pStyle w:val="Heading3"/>
      </w:pPr>
      <w:r>
        <w:t>18.7.5 Pestaña: facturación y económicos (facturar_07.php)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Serie de facturación</w:t>
            </w:r>
          </w:p>
        </w:tc>
        <w:tc>
          <w:tcPr>
            <w:tcW w:type="dxa" w:w="3240"/>
            <w:vAlign w:val="center"/>
            <w:tcMar>
              <w:top w:w="80" w:type="dxa"/>
              <w:start w:w="80" w:type="dxa"/>
              <w:bottom w:w="80" w:type="dxa"/>
              <w:end w:w="80" w:type="dxa"/>
            </w:tcMar>
          </w:tcPr>
          <w:p>
            <w:pPr>
              <w:spacing w:after="0" w:before="0"/>
              <w:jc w:val="left"/>
            </w:pPr>
            <w:r>
              <w:rPr>
                <w:sz w:val="18"/>
              </w:rPr>
            </w:r>
            <w:r>
              <w:rPr>
                <w:b w:val="0"/>
                <w:sz w:val="18"/>
              </w:rPr>
              <w:t>facturacion_series_id_serie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Series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Número de factura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numero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Factura.numero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Fecha de factura</w:t>
            </w:r>
          </w:p>
        </w:tc>
        <w:tc>
          <w:tcPr>
            <w:tcW w:type="dxa" w:w="3240"/>
            <w:vAlign w:val="center"/>
            <w:tcMar>
              <w:top w:w="80" w:type="dxa"/>
              <w:start w:w="80" w:type="dxa"/>
              <w:bottom w:w="80" w:type="dxa"/>
              <w:end w:w="80" w:type="dxa"/>
            </w:tcMar>
          </w:tcPr>
          <w:p>
            <w:pPr>
              <w:spacing w:after="0" w:before="0"/>
              <w:jc w:val="left"/>
            </w:pPr>
            <w:r>
              <w:rPr>
                <w:sz w:val="18"/>
              </w:rPr>
            </w:r>
            <w:r>
              <w:rPr>
                <w:b w:val="0"/>
                <w:sz w:val="18"/>
              </w:rPr>
              <w:t>fecha_factura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Factura.fecha_emision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Forma de pago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forma_pago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Cobro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Cuenta bancaria</w:t>
            </w:r>
          </w:p>
        </w:tc>
        <w:tc>
          <w:tcPr>
            <w:tcW w:type="dxa" w:w="3240"/>
            <w:vAlign w:val="center"/>
            <w:tcMar>
              <w:top w:w="80" w:type="dxa"/>
              <w:start w:w="80" w:type="dxa"/>
              <w:bottom w:w="80" w:type="dxa"/>
              <w:end w:w="80" w:type="dxa"/>
            </w:tcMar>
          </w:tcPr>
          <w:p>
            <w:pPr>
              <w:spacing w:after="0" w:before="0"/>
              <w:jc w:val="left"/>
            </w:pPr>
            <w:r>
              <w:rPr>
                <w:sz w:val="18"/>
              </w:rPr>
            </w:r>
            <w:r>
              <w:rPr>
                <w:b w:val="0"/>
                <w:sz w:val="18"/>
              </w:rPr>
              <w:t>cuenta_bancaria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Cobro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Descuento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descuento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Descuento porcentual</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Descuento importe</w:t>
            </w:r>
          </w:p>
        </w:tc>
        <w:tc>
          <w:tcPr>
            <w:tcW w:type="dxa" w:w="3240"/>
            <w:vAlign w:val="center"/>
            <w:tcMar>
              <w:top w:w="80" w:type="dxa"/>
              <w:start w:w="80" w:type="dxa"/>
              <w:bottom w:w="80" w:type="dxa"/>
              <w:end w:w="80" w:type="dxa"/>
            </w:tcMar>
          </w:tcPr>
          <w:p>
            <w:pPr>
              <w:spacing w:after="0" w:before="0"/>
              <w:jc w:val="left"/>
            </w:pPr>
            <w:r>
              <w:rPr>
                <w:sz w:val="18"/>
              </w:rPr>
            </w:r>
            <w:r>
              <w:rPr>
                <w:b w:val="0"/>
                <w:sz w:val="18"/>
              </w:rPr>
              <w:t>descuento_importe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Descuento absoluto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Descripción factura</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descripcion_factura</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textarea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Notas oficiales</w:t>
            </w:r>
          </w:p>
        </w:tc>
      </w:tr>
    </w:tbl>
    <w:p>
      <w:pPr/>
    </w:p>
    <w:p>
      <w:pPr>
        <w:pStyle w:val="Heading2"/>
      </w:pPr>
      <w:r>
        <w:t>18.8 Baremos y tarifas (modulos/baremos/panel_control.php)</w:t>
      </w:r>
    </w:p>
    <w:p>
      <w:pPr/>
      <w:r>
        <w:t>Módulo jerárquico de pricing que no funciona como formulario lineal, sino como base de datos estructurada de conceptos facturables. Es crítico para presupuesto, liquidación de operarios y confección de presupuesto in situ.</w:t>
      </w:r>
    </w:p>
    <w:p>
      <w:pPr>
        <w:pStyle w:val="ListBullet"/>
      </w:pPr>
      <w:r>
        <w:t>Jerarquía identificada: Baremo base -&gt; Categoría / gremio -&gt; Partida o trabajo.</w:t>
      </w:r>
    </w:p>
    <w:p>
      <w:pPr>
        <w:pStyle w:val="ListBullet"/>
      </w:pPr>
      <w:r>
        <w:t>Debe migrarse como catálogo versionado, con trazabilidad de tarifas de cliente y coste de operario.</w:t>
      </w:r>
    </w:p>
    <w:p>
      <w:pPr>
        <w:pStyle w:val="Heading3"/>
      </w:pPr>
      <w:r>
        <w:t>Modelo de datos de una partida / trabajo atómico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Etiqueta UI / significado</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ID / atributo name</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 HTML</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Código interno</w:t>
            </w:r>
          </w:p>
        </w:tc>
        <w:tc>
          <w:tcPr>
            <w:tcW w:type="dxa" w:w="3240"/>
            <w:vAlign w:val="center"/>
            <w:tcMar>
              <w:top w:w="80" w:type="dxa"/>
              <w:start w:w="80" w:type="dxa"/>
              <w:bottom w:w="80" w:type="dxa"/>
              <w:end w:w="80" w:type="dxa"/>
            </w:tcMar>
          </w:tcPr>
          <w:p>
            <w:pPr>
              <w:spacing w:after="0" w:before="0"/>
              <w:jc w:val="left"/>
            </w:pPr>
            <w:r>
              <w:rPr>
                <w:sz w:val="18"/>
              </w:rPr>
            </w:r>
            <w:r>
              <w:rPr>
                <w:b w:val="0"/>
                <w:sz w:val="18"/>
              </w:rPr>
              <w:t>codigo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Partida.codigo_interno</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Código relación externo</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codigo_relacion</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Partida.codigo_cliente</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Descripción general</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Partida.descripcion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Gremio / especialidad</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especialidades_idespecialidad</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select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Partida.especialidad</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Precio cliente / compañía</w:t>
            </w:r>
          </w:p>
        </w:tc>
        <w:tc>
          <w:tcPr>
            <w:tcW w:type="dxa" w:w="3240"/>
            <w:vAlign w:val="center"/>
            <w:tcMar>
              <w:top w:w="80" w:type="dxa"/>
              <w:start w:w="80" w:type="dxa"/>
              <w:bottom w:w="80" w:type="dxa"/>
              <w:end w:w="80" w:type="dxa"/>
            </w:tcMar>
          </w:tcPr>
          <w:p>
            <w:pPr>
              <w:spacing w:after="0" w:before="0"/>
              <w:jc w:val="left"/>
            </w:pPr>
            <w:r>
              <w:rPr>
                <w:sz w:val="18"/>
              </w:rPr>
            </w:r>
            <w:r>
              <w:rPr>
                <w:b w:val="0"/>
                <w:sz w:val="18"/>
              </w:rPr>
              <w:t>precio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Tarifa de venta</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Precio operario / coste</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precio_operario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Tarifa de coste</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Precio libre modificable</w:t>
            </w:r>
          </w:p>
        </w:tc>
        <w:tc>
          <w:tcPr>
            <w:tcW w:type="dxa" w:w="3240"/>
            <w:vAlign w:val="center"/>
            <w:tcMar>
              <w:top w:w="80" w:type="dxa"/>
              <w:start w:w="80" w:type="dxa"/>
              <w:bottom w:w="80" w:type="dxa"/>
              <w:end w:w="80" w:type="dxa"/>
            </w:tcMar>
          </w:tcPr>
          <w:p>
            <w:pPr>
              <w:spacing w:after="0" w:before="0"/>
              <w:jc w:val="left"/>
            </w:pPr>
            <w:r>
              <w:rPr>
                <w:sz w:val="18"/>
              </w:rPr>
            </w:r>
            <w:r>
              <w:rPr>
                <w:b w:val="0"/>
                <w:sz w:val="18"/>
              </w:rPr>
              <w:t>libre_trabajo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tcPr>
          <w:p>
            <w:pPr>
              <w:spacing w:after="0" w:before="0"/>
              <w:jc w:val="left"/>
            </w:pPr>
            <w:r>
              <w:rPr>
                <w:sz w:val="18"/>
              </w:rPr>
            </w:r>
            <w:r>
              <w:rPr>
                <w:b w:val="0"/>
                <w:sz w:val="18"/>
              </w:rPr>
              <w:t>Regla de edición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Uso exclusivo operarios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destinatario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checkbox</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Segmentación de catálogo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Unidades por defecto</w:t>
            </w:r>
          </w:p>
        </w:tc>
        <w:tc>
          <w:tcPr>
            <w:tcW w:type="dxa" w:w="3240"/>
            <w:vAlign w:val="center"/>
            <w:tcMar>
              <w:top w:w="80" w:type="dxa"/>
              <w:start w:w="80" w:type="dxa"/>
              <w:bottom w:w="80" w:type="dxa"/>
              <w:end w:w="80" w:type="dxa"/>
            </w:tcMar>
          </w:tcPr>
          <w:p>
            <w:pPr>
              <w:spacing w:after="0" w:before="0"/>
              <w:jc w:val="left"/>
            </w:pPr>
            <w:r>
              <w:rPr>
                <w:sz w:val="18"/>
              </w:rPr>
            </w:r>
            <w:r>
              <w:rPr>
                <w:b w:val="0"/>
                <w:sz w:val="18"/>
              </w:rPr>
              <w:t>cantidad</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text</w:t>
            </w:r>
          </w:p>
        </w:tc>
        <w:tc>
          <w:tcPr>
            <w:tcW w:type="dxa" w:w="2232"/>
            <w:vAlign w:val="center"/>
            <w:tcMar>
              <w:top w:w="80" w:type="dxa"/>
              <w:start w:w="80" w:type="dxa"/>
              <w:bottom w:w="80" w:type="dxa"/>
              <w:end w:w="80" w:type="dxa"/>
            </w:tcMar>
          </w:tcPr>
          <w:p>
            <w:pPr>
              <w:spacing w:after="0" w:before="0"/>
              <w:jc w:val="left"/>
            </w:pPr>
            <w:r>
              <w:rPr>
                <w:sz w:val="18"/>
              </w:rPr>
            </w:r>
            <w:r>
              <w:rPr>
                <w:b w:val="0"/>
                <w:sz w:val="18"/>
              </w:rPr>
              <w:t>Cantidad base</w:t>
            </w:r>
          </w:p>
        </w:tc>
      </w:tr>
    </w:tbl>
    <w:p>
      <w:pPr/>
    </w:p>
    <w:p>
      <w:pPr>
        <w:pStyle w:val="Heading2"/>
      </w:pPr>
      <w:r>
        <w:t>18.9 Módulos transversales y motores de reglas</w:t>
      </w:r>
    </w:p>
    <w:p>
      <w:pPr/>
      <w:r>
        <w:t>Conjunto de estructuras no limitadas a un único formulario. Estas piezas gobiernan automatizaciones, plantillas, encuestas, reporting y parámetros globales. Son fundamentales para reproducir la lógica del ERP heredado sin importar su implementación técnica final.</w:t>
      </w:r>
    </w:p>
    <w:p>
      <w:pPr>
        <w:pStyle w:val="Heading3"/>
      </w:pPr>
      <w:r>
        <w:t>18.9.1 Automatización de eventos (modulos/eventos/panel.php)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 funcional</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Estructura detectada</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Trigger / disparador</w:t>
            </w:r>
          </w:p>
        </w:tc>
        <w:tc>
          <w:tcPr>
            <w:tcW w:type="dxa" w:w="3240"/>
            <w:vAlign w:val="center"/>
            <w:tcMar>
              <w:top w:w="80" w:type="dxa"/>
              <w:start w:w="80" w:type="dxa"/>
              <w:bottom w:w="80" w:type="dxa"/>
              <w:end w:w="80" w:type="dxa"/>
            </w:tcMar>
          </w:tcPr>
          <w:p>
            <w:pPr>
              <w:spacing w:after="0" w:before="0"/>
              <w:jc w:val="left"/>
            </w:pPr>
            <w:r>
              <w:rPr>
                <w:sz w:val="18"/>
              </w:rPr>
            </w:r>
            <w:r>
              <w:rPr>
                <w:b w:val="0"/>
                <w:sz w:val="18"/>
              </w:rPr>
              <w:t>Acción origen, p. ej. creación de expediente</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regla</w:t>
            </w:r>
          </w:p>
        </w:tc>
        <w:tc>
          <w:tcPr>
            <w:tcW w:type="dxa" w:w="2232"/>
            <w:vAlign w:val="center"/>
            <w:tcMar>
              <w:top w:w="80" w:type="dxa"/>
              <w:start w:w="80" w:type="dxa"/>
              <w:bottom w:w="80" w:type="dxa"/>
              <w:end w:w="80" w:type="dxa"/>
            </w:tcMar>
          </w:tcPr>
          <w:p>
            <w:pPr>
              <w:spacing w:after="0" w:before="0"/>
              <w:jc w:val="left"/>
            </w:pPr>
            <w:r>
              <w:rPr>
                <w:sz w:val="18"/>
              </w:rPr>
            </w:r>
            <w:r>
              <w:rPr>
                <w:b w:val="0"/>
                <w:sz w:val="18"/>
              </w:rPr>
              <w:t>Event bus / workflows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Filtros condicionales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Estado, urgencia, asignación, exclusiones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regla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Motor de reglas</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Acción ejecutable</w:t>
            </w:r>
          </w:p>
        </w:tc>
        <w:tc>
          <w:tcPr>
            <w:tcW w:type="dxa" w:w="3240"/>
            <w:vAlign w:val="center"/>
            <w:tcMar>
              <w:top w:w="80" w:type="dxa"/>
              <w:start w:w="80" w:type="dxa"/>
              <w:bottom w:w="80" w:type="dxa"/>
              <w:end w:w="80" w:type="dxa"/>
            </w:tcMar>
          </w:tcPr>
          <w:p>
            <w:pPr>
              <w:spacing w:after="0" w:before="0"/>
              <w:jc w:val="left"/>
            </w:pPr>
            <w:r>
              <w:rPr>
                <w:sz w:val="18"/>
              </w:rPr>
            </w:r>
            <w:r>
              <w:rPr>
                <w:b w:val="0"/>
                <w:sz w:val="18"/>
              </w:rPr>
              <w:t>Llamada, SMS automático u otra función</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acción</w:t>
            </w:r>
          </w:p>
        </w:tc>
        <w:tc>
          <w:tcPr>
            <w:tcW w:type="dxa" w:w="2232"/>
            <w:vAlign w:val="center"/>
            <w:tcMar>
              <w:top w:w="80" w:type="dxa"/>
              <w:start w:w="80" w:type="dxa"/>
              <w:bottom w:w="80" w:type="dxa"/>
              <w:end w:w="80" w:type="dxa"/>
            </w:tcMar>
          </w:tcPr>
          <w:p>
            <w:pPr>
              <w:spacing w:after="0" w:before="0"/>
              <w:jc w:val="left"/>
            </w:pPr>
            <w:r>
              <w:rPr>
                <w:sz w:val="18"/>
              </w:rPr>
            </w:r>
            <w:r>
              <w:rPr>
                <w:b w:val="0"/>
                <w:sz w:val="18"/>
              </w:rPr>
              <w:t>Automatización</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Festivos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Calendario que pausa o ajusta SLAs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parámetro</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Calendario laboral / SLA</w:t>
            </w:r>
          </w:p>
        </w:tc>
      </w:tr>
    </w:tbl>
    <w:p>
      <w:pPr/>
    </w:p>
    <w:p>
      <w:pPr>
        <w:pStyle w:val="Heading3"/>
      </w:pPr>
      <w:r>
        <w:t>18.9.2 Plantillas de mensajería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 funcional</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Estructura detectada</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Identificador</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 descriptivo y estado vinculado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metadato</w:t>
            </w:r>
          </w:p>
        </w:tc>
        <w:tc>
          <w:tcPr>
            <w:tcW w:type="dxa" w:w="2232"/>
            <w:vAlign w:val="center"/>
            <w:tcMar>
              <w:top w:w="80" w:type="dxa"/>
              <w:start w:w="80" w:type="dxa"/>
              <w:bottom w:w="80" w:type="dxa"/>
              <w:end w:w="80" w:type="dxa"/>
            </w:tcMar>
          </w:tcPr>
          <w:p>
            <w:pPr>
              <w:spacing w:after="0" w:before="0"/>
              <w:jc w:val="left"/>
            </w:pPr>
            <w:r>
              <w:rPr>
                <w:sz w:val="18"/>
              </w:rPr>
            </w:r>
            <w:r>
              <w:rPr>
                <w:b w:val="0"/>
                <w:sz w:val="18"/>
              </w:rPr>
              <w:t>Plantillas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Variables dinámicas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{visita_fecha}, {visita_hora}, {siniestrado_nombre}, {empresa_telefono}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placeholder</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Motor de merge</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Salida SMS</w:t>
            </w:r>
          </w:p>
        </w:tc>
        <w:tc>
          <w:tcPr>
            <w:tcW w:type="dxa" w:w="3240"/>
            <w:vAlign w:val="center"/>
            <w:tcMar>
              <w:top w:w="80" w:type="dxa"/>
              <w:start w:w="80" w:type="dxa"/>
              <w:bottom w:w="80" w:type="dxa"/>
              <w:end w:w="80" w:type="dxa"/>
            </w:tcMar>
          </w:tcPr>
          <w:p>
            <w:pPr>
              <w:spacing w:after="0" w:before="0"/>
              <w:jc w:val="left"/>
            </w:pPr>
            <w:r>
              <w:rPr>
                <w:sz w:val="18"/>
              </w:rPr>
            </w:r>
            <w:r>
              <w:rPr>
                <w:b w:val="0"/>
                <w:sz w:val="18"/>
              </w:rPr>
              <w:t>Campo de texto plano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contenido</w:t>
            </w:r>
          </w:p>
        </w:tc>
        <w:tc>
          <w:tcPr>
            <w:tcW w:type="dxa" w:w="2232"/>
            <w:vAlign w:val="center"/>
            <w:tcMar>
              <w:top w:w="80" w:type="dxa"/>
              <w:start w:w="80" w:type="dxa"/>
              <w:bottom w:w="80" w:type="dxa"/>
              <w:end w:w="80" w:type="dxa"/>
            </w:tcMar>
          </w:tcPr>
          <w:p>
            <w:pPr>
              <w:spacing w:after="0" w:before="0"/>
              <w:jc w:val="left"/>
            </w:pPr>
            <w:r>
              <w:rPr>
                <w:sz w:val="18"/>
              </w:rPr>
            </w:r>
            <w:r>
              <w:rPr>
                <w:b w:val="0"/>
                <w:sz w:val="18"/>
              </w:rPr>
              <w:t>Mensajería saliente</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Salida email</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Campo HTML</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contenido</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Mensajería saliente</w:t>
            </w:r>
          </w:p>
        </w:tc>
      </w:tr>
    </w:tbl>
    <w:p>
      <w:pPr/>
    </w:p>
    <w:p>
      <w:pPr>
        <w:pStyle w:val="Heading3"/>
      </w:pPr>
      <w:r>
        <w:t>18.9.3 Configuración de encuestas (modulos/encuestas/panel.php)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 funcional</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Estructura detectada</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Entidad principal</w:t>
            </w:r>
          </w:p>
        </w:tc>
        <w:tc>
          <w:tcPr>
            <w:tcW w:type="dxa" w:w="3240"/>
            <w:vAlign w:val="center"/>
            <w:tcMar>
              <w:top w:w="80" w:type="dxa"/>
              <w:start w:w="80" w:type="dxa"/>
              <w:bottom w:w="80" w:type="dxa"/>
              <w:end w:w="80" w:type="dxa"/>
            </w:tcMar>
          </w:tcPr>
          <w:p>
            <w:pPr>
              <w:spacing w:after="0" w:before="0"/>
              <w:jc w:val="left"/>
            </w:pPr>
            <w:r>
              <w:rPr>
                <w:sz w:val="18"/>
              </w:rPr>
            </w:r>
            <w:r>
              <w:rPr>
                <w:b w:val="0"/>
                <w:sz w:val="18"/>
              </w:rPr>
              <w:t>Nombre de la encuesta</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metadato</w:t>
            </w:r>
          </w:p>
        </w:tc>
        <w:tc>
          <w:tcPr>
            <w:tcW w:type="dxa" w:w="2232"/>
            <w:vAlign w:val="center"/>
            <w:tcMar>
              <w:top w:w="80" w:type="dxa"/>
              <w:start w:w="80" w:type="dxa"/>
              <w:bottom w:w="80" w:type="dxa"/>
              <w:end w:w="80" w:type="dxa"/>
            </w:tcMar>
          </w:tcPr>
          <w:p>
            <w:pPr>
              <w:spacing w:after="0" w:before="0"/>
              <w:jc w:val="left"/>
            </w:pPr>
            <w:r>
              <w:rPr>
                <w:sz w:val="18"/>
              </w:rPr>
            </w:r>
            <w:r>
              <w:rPr>
                <w:b w:val="0"/>
                <w:sz w:val="18"/>
              </w:rPr>
              <w:t>Encuestas / calidad</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Pregunta - puntuación</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Escala numérica 0-5</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respuesta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NPS / CSAT</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Pregunta - binaria</w:t>
            </w:r>
          </w:p>
        </w:tc>
        <w:tc>
          <w:tcPr>
            <w:tcW w:type="dxa" w:w="3240"/>
            <w:vAlign w:val="center"/>
            <w:tcMar>
              <w:top w:w="80" w:type="dxa"/>
              <w:start w:w="80" w:type="dxa"/>
              <w:bottom w:w="80" w:type="dxa"/>
              <w:end w:w="80" w:type="dxa"/>
            </w:tcMar>
          </w:tcPr>
          <w:p>
            <w:pPr>
              <w:spacing w:after="0" w:before="0"/>
              <w:jc w:val="left"/>
            </w:pPr>
            <w:r>
              <w:rPr>
                <w:sz w:val="18"/>
              </w:rPr>
            </w:r>
            <w:r>
              <w:rPr>
                <w:b w:val="0"/>
                <w:sz w:val="18"/>
              </w:rPr>
              <w:t>Sí / No</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respuesta</w:t>
            </w:r>
          </w:p>
        </w:tc>
        <w:tc>
          <w:tcPr>
            <w:tcW w:type="dxa" w:w="2232"/>
            <w:vAlign w:val="center"/>
            <w:tcMar>
              <w:top w:w="80" w:type="dxa"/>
              <w:start w:w="80" w:type="dxa"/>
              <w:bottom w:w="80" w:type="dxa"/>
              <w:end w:w="80" w:type="dxa"/>
            </w:tcMar>
          </w:tcPr>
          <w:p>
            <w:pPr>
              <w:spacing w:after="0" w:before="0"/>
              <w:jc w:val="left"/>
            </w:pPr>
            <w:r>
              <w:rPr>
                <w:sz w:val="18"/>
              </w:rPr>
            </w:r>
            <w:r>
              <w:rPr>
                <w:b w:val="0"/>
                <w:sz w:val="18"/>
              </w:rPr>
              <w:t>Checklist calidad</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Pregunta - texto libre</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Comentarios</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respuesta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Feedback cualitativo</w:t>
            </w:r>
          </w:p>
        </w:tc>
      </w:tr>
    </w:tbl>
    <w:p>
      <w:pPr/>
    </w:p>
    <w:p>
      <w:pPr>
        <w:pStyle w:val="Heading3"/>
      </w:pPr>
      <w:r>
        <w:t>18.9.4 Reporting y facturación (informes_facturas.php)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 funcional</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Estructura detectada</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Filtros de entrada</w:t>
            </w:r>
          </w:p>
        </w:tc>
        <w:tc>
          <w:tcPr>
            <w:tcW w:type="dxa" w:w="3240"/>
            <w:vAlign w:val="center"/>
            <w:tcMar>
              <w:top w:w="80" w:type="dxa"/>
              <w:start w:w="80" w:type="dxa"/>
              <w:bottom w:w="80" w:type="dxa"/>
              <w:end w:w="80" w:type="dxa"/>
            </w:tcMar>
          </w:tcPr>
          <w:p>
            <w:pPr>
              <w:spacing w:after="0" w:before="0"/>
              <w:jc w:val="left"/>
            </w:pPr>
            <w:r>
              <w:rPr>
                <w:sz w:val="18"/>
              </w:rPr>
            </w:r>
            <w:r>
              <w:rPr>
                <w:b w:val="0"/>
                <w:sz w:val="18"/>
              </w:rPr>
              <w:t>Empresa, banco, compañía, serie, estados</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filtro</w:t>
            </w:r>
          </w:p>
        </w:tc>
        <w:tc>
          <w:tcPr>
            <w:tcW w:type="dxa" w:w="2232"/>
            <w:vAlign w:val="center"/>
            <w:tcMar>
              <w:top w:w="80" w:type="dxa"/>
              <w:start w:w="80" w:type="dxa"/>
              <w:bottom w:w="80" w:type="dxa"/>
              <w:end w:w="80" w:type="dxa"/>
            </w:tcMar>
          </w:tcPr>
          <w:p>
            <w:pPr>
              <w:spacing w:after="0" w:before="0"/>
              <w:jc w:val="left"/>
            </w:pPr>
            <w:r>
              <w:rPr>
                <w:sz w:val="18"/>
              </w:rPr>
            </w:r>
            <w:r>
              <w:rPr>
                <w:b w:val="0"/>
                <w:sz w:val="18"/>
              </w:rPr>
              <w:t>BI / reporting</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Filtros temporales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Rango de fechas de factura y Nº asiento siguiente</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filtro</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BI / contabilidad</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Salidas de datos</w:t>
            </w:r>
          </w:p>
        </w:tc>
        <w:tc>
          <w:tcPr>
            <w:tcW w:type="dxa" w:w="3240"/>
            <w:vAlign w:val="center"/>
            <w:tcMar>
              <w:top w:w="80" w:type="dxa"/>
              <w:start w:w="80" w:type="dxa"/>
              <w:bottom w:w="80" w:type="dxa"/>
              <w:end w:w="80" w:type="dxa"/>
            </w:tcMar>
          </w:tcPr>
          <w:p>
            <w:pPr>
              <w:spacing w:after="0" w:before="0"/>
              <w:jc w:val="left"/>
            </w:pPr>
            <w:r>
              <w:rPr>
                <w:sz w:val="18"/>
              </w:rPr>
            </w:r>
            <w:r>
              <w:rPr>
                <w:b w:val="0"/>
                <w:sz w:val="18"/>
              </w:rPr>
              <w:t>Pantalla, PDF lote, Excel o CSV</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salida</w:t>
            </w:r>
          </w:p>
        </w:tc>
        <w:tc>
          <w:tcPr>
            <w:tcW w:type="dxa" w:w="2232"/>
            <w:vAlign w:val="center"/>
            <w:tcMar>
              <w:top w:w="80" w:type="dxa"/>
              <w:start w:w="80" w:type="dxa"/>
              <w:bottom w:w="80" w:type="dxa"/>
              <w:end w:w="80" w:type="dxa"/>
            </w:tcMar>
          </w:tcPr>
          <w:p>
            <w:pPr>
              <w:spacing w:after="0" w:before="0"/>
              <w:jc w:val="left"/>
            </w:pPr>
            <w:r>
              <w:rPr>
                <w:sz w:val="18"/>
              </w:rPr>
            </w:r>
            <w:r>
              <w:rPr>
                <w:b w:val="0"/>
                <w:sz w:val="18"/>
              </w:rPr>
              <w:t>Export service</w:t>
            </w:r>
          </w:p>
        </w:tc>
      </w:tr>
    </w:tbl>
    <w:p>
      <w:pPr/>
    </w:p>
    <w:p>
      <w:pPr>
        <w:pStyle w:val="Heading3"/>
      </w:pPr>
      <w:r>
        <w:t>18.9.5 Parámetros globales adicionales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tcMar>
              <w:top w:w="100" w:type="dxa"/>
              <w:start w:w="90" w:type="dxa"/>
              <w:bottom w:w="100" w:type="dxa"/>
              <w:end w:w="90" w:type="dxa"/>
            </w:tcMar>
            <w:shd w:fill="D9EAF7"/>
          </w:tcPr>
          <w:p>
            <w:pPr>
              <w:spacing w:after="0" w:before="0"/>
              <w:jc w:val="center"/>
            </w:pPr>
            <w:r>
              <w:rPr>
                <w:b/>
                <w:sz w:val="19"/>
              </w:rPr>
            </w:r>
            <w:r>
              <w:rPr>
                <w:b/>
                <w:sz w:val="19"/>
              </w:rPr>
              <w:t>Elemento funcional</w:t>
            </w:r>
          </w:p>
        </w:tc>
        <w:tc>
          <w:tcPr>
            <w:tcW w:type="dxa" w:w="3240"/>
            <w:vAlign w:val="center"/>
            <w:tcMar>
              <w:top w:w="100" w:type="dxa"/>
              <w:start w:w="90" w:type="dxa"/>
              <w:bottom w:w="100" w:type="dxa"/>
              <w:end w:w="90" w:type="dxa"/>
            </w:tcMar>
            <w:shd w:fill="D9EAF7"/>
          </w:tcPr>
          <w:p>
            <w:pPr>
              <w:spacing w:after="0" w:before="0"/>
              <w:jc w:val="center"/>
            </w:pPr>
            <w:r>
              <w:rPr>
                <w:b/>
                <w:sz w:val="19"/>
              </w:rPr>
            </w:r>
            <w:r>
              <w:rPr>
                <w:b/>
                <w:sz w:val="19"/>
              </w:rPr>
              <w:t>Estructura detectada</w:t>
            </w:r>
          </w:p>
        </w:tc>
        <w:tc>
          <w:tcPr>
            <w:tcW w:type="dxa" w:w="1152"/>
            <w:vAlign w:val="center"/>
            <w:tcMar>
              <w:top w:w="100" w:type="dxa"/>
              <w:start w:w="90" w:type="dxa"/>
              <w:bottom w:w="100" w:type="dxa"/>
              <w:end w:w="90" w:type="dxa"/>
            </w:tcMar>
            <w:shd w:fill="D9EAF7"/>
          </w:tcPr>
          <w:p>
            <w:pPr>
              <w:spacing w:after="0" w:before="0"/>
              <w:jc w:val="center"/>
            </w:pPr>
            <w:r>
              <w:rPr>
                <w:b/>
                <w:sz w:val="19"/>
              </w:rPr>
            </w:r>
            <w:r>
              <w:rPr>
                <w:b/>
                <w:sz w:val="19"/>
              </w:rPr>
              <w:t>Tipo</w:t>
            </w:r>
          </w:p>
        </w:tc>
        <w:tc>
          <w:tcPr>
            <w:tcW w:type="dxa" w:w="2232"/>
            <w:vAlign w:val="center"/>
            <w:tcMar>
              <w:top w:w="100" w:type="dxa"/>
              <w:start w:w="90" w:type="dxa"/>
              <w:bottom w:w="100" w:type="dxa"/>
              <w:end w:w="90" w:type="dxa"/>
            </w:tcMar>
            <w:shd w:fill="D9EAF7"/>
          </w:tcPr>
          <w:p>
            <w:pPr>
              <w:spacing w:after="0" w:before="0"/>
              <w:jc w:val="center"/>
            </w:pPr>
            <w:r>
              <w:rPr>
                <w:b/>
                <w:sz w:val="19"/>
              </w:rPr>
            </w:r>
            <w:r>
              <w:rPr>
                <w:b/>
                <w:sz w:val="19"/>
              </w:rPr>
              <w:t>Destino lógico recomendado</w:t>
            </w:r>
          </w:p>
        </w:tc>
      </w:tr>
      <w:tr>
        <w:tc>
          <w:tcPr>
            <w:tcW w:type="dxa" w:w="2448"/>
            <w:vAlign w:val="center"/>
            <w:tcMar>
              <w:top w:w="80" w:type="dxa"/>
              <w:start w:w="80" w:type="dxa"/>
              <w:bottom w:w="80" w:type="dxa"/>
              <w:end w:w="80" w:type="dxa"/>
            </w:tcMar>
          </w:tcPr>
          <w:p>
            <w:pPr>
              <w:spacing w:after="0" w:before="0"/>
              <w:jc w:val="left"/>
            </w:pPr>
            <w:r>
              <w:rPr>
                <w:sz w:val="18"/>
              </w:rPr>
            </w:r>
            <w:r>
              <w:rPr>
                <w:b w:val="0"/>
                <w:sz w:val="18"/>
              </w:rPr>
              <w:t>Gestor de tipos</w:t>
            </w:r>
          </w:p>
        </w:tc>
        <w:tc>
          <w:tcPr>
            <w:tcW w:type="dxa" w:w="3240"/>
            <w:vAlign w:val="center"/>
            <w:tcMar>
              <w:top w:w="80" w:type="dxa"/>
              <w:start w:w="80" w:type="dxa"/>
              <w:bottom w:w="80" w:type="dxa"/>
              <w:end w:w="80" w:type="dxa"/>
            </w:tcMar>
          </w:tcPr>
          <w:p>
            <w:pPr>
              <w:spacing w:after="0" w:before="0"/>
              <w:jc w:val="left"/>
            </w:pPr>
            <w:r>
              <w:rPr>
                <w:sz w:val="18"/>
              </w:rPr>
            </w:r>
            <w:r>
              <w:rPr>
                <w:b w:val="0"/>
                <w:sz w:val="18"/>
              </w:rPr>
              <w:t>Tags como Fraude, VIP, Calidad</w:t>
            </w:r>
          </w:p>
        </w:tc>
        <w:tc>
          <w:tcPr>
            <w:tcW w:type="dxa" w:w="1152"/>
            <w:vAlign w:val="center"/>
            <w:tcMar>
              <w:top w:w="80" w:type="dxa"/>
              <w:start w:w="80" w:type="dxa"/>
              <w:bottom w:w="80" w:type="dxa"/>
              <w:end w:w="80" w:type="dxa"/>
            </w:tcMar>
          </w:tcPr>
          <w:p>
            <w:pPr>
              <w:spacing w:after="0" w:before="0"/>
              <w:jc w:val="center"/>
            </w:pPr>
            <w:r>
              <w:rPr>
                <w:sz w:val="18"/>
              </w:rPr>
            </w:r>
            <w:r>
              <w:rPr>
                <w:b w:val="0"/>
                <w:sz w:val="18"/>
              </w:rPr>
              <w:t>catálogo</w:t>
            </w:r>
          </w:p>
        </w:tc>
        <w:tc>
          <w:tcPr>
            <w:tcW w:type="dxa" w:w="2232"/>
            <w:vAlign w:val="center"/>
            <w:tcMar>
              <w:top w:w="80" w:type="dxa"/>
              <w:start w:w="80" w:type="dxa"/>
              <w:bottom w:w="80" w:type="dxa"/>
              <w:end w:w="80" w:type="dxa"/>
            </w:tcMar>
          </w:tcPr>
          <w:p>
            <w:pPr>
              <w:spacing w:after="0" w:before="0"/>
              <w:jc w:val="left"/>
            </w:pPr>
            <w:r>
              <w:rPr>
                <w:sz w:val="18"/>
              </w:rPr>
            </w:r>
            <w:r>
              <w:rPr>
                <w:b w:val="0"/>
                <w:sz w:val="18"/>
              </w:rPr>
              <w:t>Etiquetas globales</w:t>
            </w:r>
          </w:p>
        </w:tc>
      </w:tr>
      <w:tr>
        <w:tc>
          <w:tcPr>
            <w:tcW w:type="dxa" w:w="2448"/>
            <w:vAlign w:val="center"/>
            <w:tcMar>
              <w:top w:w="80" w:type="dxa"/>
              <w:start w:w="80" w:type="dxa"/>
              <w:bottom w:w="80" w:type="dxa"/>
              <w:end w:w="80" w:type="dxa"/>
            </w:tcMar>
            <w:shd w:fill="F7FBFE"/>
          </w:tcPr>
          <w:p>
            <w:pPr>
              <w:spacing w:after="0" w:before="0"/>
              <w:jc w:val="left"/>
            </w:pPr>
            <w:r>
              <w:rPr>
                <w:sz w:val="18"/>
              </w:rPr>
            </w:r>
            <w:r>
              <w:rPr>
                <w:b w:val="0"/>
                <w:sz w:val="18"/>
              </w:rPr>
              <w:t>Condiciones</w:t>
            </w:r>
          </w:p>
        </w:tc>
        <w:tc>
          <w:tcPr>
            <w:tcW w:type="dxa" w:w="3240"/>
            <w:vAlign w:val="center"/>
            <w:tcMar>
              <w:top w:w="80" w:type="dxa"/>
              <w:start w:w="80" w:type="dxa"/>
              <w:bottom w:w="80" w:type="dxa"/>
              <w:end w:w="80" w:type="dxa"/>
            </w:tcMar>
            <w:shd w:fill="F7FBFE"/>
          </w:tcPr>
          <w:p>
            <w:pPr>
              <w:spacing w:after="0" w:before="0"/>
              <w:jc w:val="left"/>
            </w:pPr>
            <w:r>
              <w:rPr>
                <w:sz w:val="18"/>
              </w:rPr>
            </w:r>
            <w:r>
              <w:rPr>
                <w:b w:val="0"/>
                <w:sz w:val="18"/>
              </w:rPr>
              <w:t>Bloques legales o comerciales marcables por defecto</w:t>
            </w:r>
          </w:p>
        </w:tc>
        <w:tc>
          <w:tcPr>
            <w:tcW w:type="dxa" w:w="1152"/>
            <w:vAlign w:val="center"/>
            <w:tcMar>
              <w:top w:w="80" w:type="dxa"/>
              <w:start w:w="80" w:type="dxa"/>
              <w:bottom w:w="80" w:type="dxa"/>
              <w:end w:w="80" w:type="dxa"/>
            </w:tcMar>
            <w:shd w:fill="F7FBFE"/>
          </w:tcPr>
          <w:p>
            <w:pPr>
              <w:spacing w:after="0" w:before="0"/>
              <w:jc w:val="center"/>
            </w:pPr>
            <w:r>
              <w:rPr>
                <w:sz w:val="18"/>
              </w:rPr>
            </w:r>
            <w:r>
              <w:rPr>
                <w:b w:val="0"/>
                <w:sz w:val="18"/>
              </w:rPr>
              <w:t>plantilla</w:t>
            </w:r>
          </w:p>
        </w:tc>
        <w:tc>
          <w:tcPr>
            <w:tcW w:type="dxa" w:w="2232"/>
            <w:vAlign w:val="center"/>
            <w:tcMar>
              <w:top w:w="80" w:type="dxa"/>
              <w:start w:w="80" w:type="dxa"/>
              <w:bottom w:w="80" w:type="dxa"/>
              <w:end w:w="80" w:type="dxa"/>
            </w:tcMar>
            <w:shd w:fill="F7FBFE"/>
          </w:tcPr>
          <w:p>
            <w:pPr>
              <w:spacing w:after="0" w:before="0"/>
              <w:jc w:val="left"/>
            </w:pPr>
            <w:r>
              <w:rPr>
                <w:sz w:val="18"/>
              </w:rPr>
            </w:r>
            <w:r>
              <w:rPr>
                <w:b w:val="0"/>
                <w:sz w:val="18"/>
              </w:rPr>
              <w:t>Presupuestos / facturas</w:t>
            </w:r>
          </w:p>
        </w:tc>
      </w:tr>
    </w:tbl>
    <w:p>
      <w:pPr/>
    </w:p>
    <w:p>
      <w:pPr>
        <w:pStyle w:val="Heading2"/>
      </w:pPr>
      <w:r>
        <w:t>18.10 Recomendaciones de migración y normalización para el nuevo ERP</w:t>
      </w:r>
    </w:p>
    <w:p>
      <w:pPr>
        <w:pStyle w:val="ListBullet"/>
      </w:pPr>
      <w:r>
        <w:t>Crear una capa de staging o aterrizaje donde se conserven temporalmente los nombres legacy (name / id) antes de mapearlos al modelo canónico del nuevo ERP.</w:t>
      </w:r>
    </w:p>
    <w:p>
      <w:pPr>
        <w:pStyle w:val="ListBullet"/>
      </w:pPr>
      <w:r>
        <w:t>Separar las entidades mezcladas en formularios monolíticos: expediente, compañía, empresa emisora, operario, perito, visita, pedido, presupuesto, factura, tarea y comunicación.</w:t>
      </w:r>
    </w:p>
    <w:p>
      <w:pPr>
        <w:pStyle w:val="ListBullet"/>
      </w:pPr>
      <w:r>
        <w:t>Mantener un diccionario de equivalencias campo a campo entre el ERP heredado y el nuevo modelo para ETLs, validaciones de migración y soporte postarranque.</w:t>
      </w:r>
    </w:p>
    <w:p>
      <w:pPr>
        <w:pStyle w:val="ListBullet"/>
      </w:pPr>
      <w:r>
        <w:t>Evitar migrar contraseñas legacy en claro; debe planificarse un reseteo controlado o una estrategia segura de rehash según el sistema origen.</w:t>
      </w:r>
    </w:p>
    <w:p>
      <w:pPr>
        <w:pStyle w:val="ListBullet"/>
      </w:pPr>
      <w:r>
        <w:t>Transformar la lógica implícita de seguimiento.php y modulos/eventos/panel.php en una máquina de estados explícita y en eventos de dominio trazables.</w:t>
      </w:r>
    </w:p>
    <w:p>
      <w:pPr>
        <w:pStyle w:val="ListBullet"/>
      </w:pPr>
      <w:r>
        <w:t>Versionar baremos, descuentos, IVA, reglas de compañía y plantillas de mensajería; son datos maestros vivos y afectan directamente a la rentabilidad.</w:t>
      </w:r>
    </w:p>
    <w:p>
      <w:pPr>
        <w:pStyle w:val="ListBullet"/>
      </w:pPr>
      <w:r>
        <w:t>Usar este anexo como base para el siguiente entregable técnico: mapa de migración de datos, backlog de historias y diseño de APIs/DTOs del nuevo ERP.</w:t>
      </w:r>
    </w:p>
    <w:sectPr w:rsidR="00FC693F" w:rsidRPr="0006063C" w:rsidSect="00034616">
      <w:footerReference w:type="default" r:id="rId9"/>
      <w:pgSz w:w="11906" w:h="16838"/>
      <w:pgMar w:top="124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3"/>
        <w:sz w:val="17"/>
      </w:rPr>
      <w:t>ERP de Gestión de Siniestros del Hogar · Documento maestro de arquitectura funcional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5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5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5F6B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Calibri" w:hAnsi="Calibri"/>
      <w:sz w:val="17"/>
    </w:rPr>
  </w:style>
  <w:style w:type="paragraph" w:customStyle="1" w:styleId="BoxTitle">
    <w:name w:val="BoxTitle"/>
    <w:basedOn w:val="Normal"/>
    <w:rPr>
      <w:rFonts w:ascii="Calibri" w:hAnsi="Calibri"/>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