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2: CFC Antibodies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Marker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Alternate</w:t>
            </w:r>
            \line 
            <w:r>
              <w:rPr>
                <w:rFonts w:ascii="Calibri" w:hAnsi="Calibri"/>
                <w:sz w:val="20"/>
              </w:rPr>
              <w:t xml:space="preserve">name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Clone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Isotype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Fluorophore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Manufacturer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Catalog</w:t>
            </w:r>
            \line 
            <w:r>
              <w:rPr>
                <w:rFonts w:ascii="Calibri" w:hAnsi="Calibri"/>
                <w:sz w:val="20"/>
              </w:rPr>
              <w:t xml:space="preserve">number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SubPanel</w:t>
            </w:r>
            {\super 
            <w:r>
              <w:rPr>
                <w:rFonts w:ascii="Calibri" w:hAnsi="Calibri"/>
                <w:sz w:val="20"/>
              </w:rPr>
              <w:t xml:space="preserve">†</w:t>
            </w:r>
            }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EH12.2H7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BV421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CK17, 1,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BV421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Zombie Aqua Fixable Viability dye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CK17, 1,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BV510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NCAM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5.1H11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3G8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Biotin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Streptavidin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CD107a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LAMP-1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H4A3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488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Perforin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dG9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488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FITC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PerCP-eFluor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Invitrogen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46-0037-42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CD25-4E3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PerCP-eFluor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Invitrogen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46-0257-42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TNFa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PerCP-Cy5.5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NCAM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TULY56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PerCP-eFluor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Invitrogen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46-0566-42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GranzymeB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5.1H11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"15E8"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130-126-172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EH12.2H7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PE-Dazzle 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CD159a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NKG2A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REA110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Recombinant human IgG1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130-113-567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IFNg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130-113-494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BW264/58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130-113-130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TNFa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REA173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Recombinant human IgG1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130-118-968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3G8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CD45RO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UCHL1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Horizon Fixable Viability Stain 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FITC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PerCP-eFluor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Invitrogen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46-0037-42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PE-Dazzle 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BW264/58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130-113-130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† 1 = Phenotype, 2 = NK markers, 4b = Cytotoxicity, CK = Cytokine, 0 = ExVivo, 17 = Culture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Last Updated: May 08, 2025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2025-05-08T20:13:04Z</dcterms:created>
  <dcterms:modified xsi:type="dcterms:W3CDTF">2025-05-08T20:13:04Z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