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Generalized Linear Model Results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Marker ~ Infant Sex + HIV/ART Exposure </w:t>
      </w:r>
      \line 
      <w:r>
        <w:rPr>
          <w:rFonts w:ascii="Calibri" w:hAnsi="Calibri"/>
          <w:sz w:val="20"/>
          <w:color w:val="333333"/>
        </w:rPr>
        <w:t xml:space="preserve"> Separate models for each dependent variable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Tested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z-value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 [95% CI]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Vδ2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[1.88–2.15]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 [0.87–0.98]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[0.93–1.09]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[0.88–1.02]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[1.29–1.52]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[0.84–0.97]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[0.92–1.11]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[0.89–1.07]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[1.80–2.07]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 [0.87–0.99]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 [0.92–1.08]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[0.90–1.05]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CD62L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[1.07–1.15]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CD62L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[1.00–1.07]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CD62L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[0.98–1.06]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CD62L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[1.00–1.08]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[1.25–1.48]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[1.00–1.18]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 [0.90–1.10]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[0.94–1.14]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[1.34–1.58]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[1.00–1.18]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[0.93–1.14]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Exposure: HEU-hi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[0.88–1.06]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***p &lt; 0.001; **p &lt; 0.01; *p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2025-05-14T15:43:12Z</dcterms:created>
  <dcterms:modified xsi:type="dcterms:W3CDTF">2025-05-14T15:43:12Z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