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111DB7">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111DB7">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111DB7">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111DB7">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111DB7">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111DB7">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111DB7">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111DB7">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111DB7">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111DB7">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111DB7">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111DB7">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111DB7">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111DB7">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111DB7">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111DB7">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111DB7">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111DB7">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111DB7">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111DB7">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111DB7">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111DB7">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111DB7">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111DB7">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111DB7">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111DB7">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111DB7">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111DB7">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111DB7">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111DB7">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111DB7">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111DB7">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111DB7">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111DB7">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111DB7">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111DB7">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111DB7">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111DB7">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111DB7">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111DB7">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111DB7">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111DB7">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111DB7">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111DB7">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111DB7">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111DB7">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111DB7">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111DB7">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111DB7">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111DB7">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111DB7">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111DB7">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111DB7">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111DB7">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111DB7">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111DB7">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111DB7">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111DB7">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111DB7">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111DB7">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111DB7">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111DB7">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111DB7">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111DB7">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111DB7">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111DB7">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111DB7">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111DB7">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111DB7">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111DB7">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111DB7">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111DB7">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111DB7">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111DB7">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111DB7">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111DB7">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111DB7">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111DB7">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111DB7">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111DB7">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111DB7">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111DB7">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111DB7">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111DB7">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111DB7">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111DB7">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111DB7">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111DB7">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111DB7">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111DB7">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111DB7">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111DB7">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111DB7">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111DB7">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111DB7">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111DB7">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111DB7">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111DB7">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111DB7">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111DB7">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111DB7">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111DB7">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111DB7">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111DB7">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111DB7">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111DB7">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111DB7">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111DB7">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111DB7">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111DB7">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111DB7">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111DB7">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111DB7">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111DB7">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111DB7">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111DB7">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111DB7">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111DB7">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111DB7">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111DB7">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111DB7">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111DB7">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111DB7">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111DB7">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111DB7">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111DB7">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111DB7">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111DB7">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111DB7">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111DB7">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111DB7">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111DB7">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111DB7">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111DB7">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111DB7">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111DB7">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111DB7">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111DB7">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111DB7">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111DB7">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111DB7">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111DB7">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111DB7">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111DB7">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111DB7">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111DB7">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111DB7">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111DB7">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111DB7">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111DB7">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111DB7">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111DB7">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111DB7">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111DB7">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111DB7">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111DB7">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111DB7">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111DB7">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111DB7">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111DB7">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111DB7">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111DB7">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111DB7">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111DB7">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111DB7">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111DB7">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111DB7">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111DB7">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111DB7">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111DB7">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111DB7">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111DB7">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111DB7">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111DB7">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111DB7">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111DB7">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111DB7">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111DB7">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111DB7">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111DB7">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111DB7">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111DB7">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111DB7">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111DB7">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111DB7">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111DB7">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111DB7">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111DB7">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111DB7">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111DB7">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111DB7">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111DB7">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111DB7">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111DB7">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111DB7">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111DB7">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111DB7">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111DB7">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111DB7">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111DB7">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111DB7">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111DB7">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111DB7">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111DB7">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111DB7">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111DB7">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111DB7">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111DB7">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111DB7">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111DB7">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111DB7">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111DB7">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111DB7">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111DB7">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111DB7">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111DB7">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111DB7">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111DB7">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111DB7">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111DB7">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111DB7">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111DB7">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111DB7">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111DB7">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111DB7">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111DB7">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111DB7">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111DB7">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111DB7">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111DB7">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111DB7">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111DB7">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111DB7">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111DB7">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111DB7">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111DB7">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111DB7">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111DB7">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111DB7">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111DB7">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111DB7">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111DB7">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111DB7">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111DB7">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111DB7">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111DB7">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111DB7">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111DB7">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111DB7">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111DB7">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111DB7">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111DB7">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111DB7">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111DB7">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111DB7">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111DB7">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111DB7">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111DB7">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lastRenderedPageBreak/>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lastRenderedPageBreak/>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lastRenderedPageBreak/>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lastRenderedPageBreak/>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lastRenderedPageBreak/>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lastRenderedPageBreak/>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lastRenderedPageBreak/>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lastRenderedPageBreak/>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lastRenderedPageBreak/>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lastRenderedPageBreak/>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3" w:name="_Toc314765839"/>
      <w:r>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lastRenderedPageBreak/>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122204"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3" w:name="_Toc314765859"/>
      <w:r>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lastRenderedPageBreak/>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lastRenderedPageBreak/>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lastRenderedPageBreak/>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5" w:name="_Ref334255974"/>
      <w:r w:rsidRPr="00394DAE">
        <w:t>Evaluating a Deprecated OVAL Definition</w:t>
      </w:r>
      <w:bookmarkEnd w:id="335"/>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8" w:name="_Toc314765906"/>
      <w:r>
        <w:t xml:space="preserve">OVAL </w:t>
      </w:r>
      <w:r w:rsidR="00B22862">
        <w:t>Object Evaluation</w:t>
      </w:r>
      <w:bookmarkEnd w:id="338"/>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9" w:name="_Ref303609053"/>
      <w:r>
        <w:t>Matching an</w:t>
      </w:r>
      <w:r w:rsidR="00B22862">
        <w:t xml:space="preserve"> OVAL Object to an OVAL Item</w:t>
      </w:r>
      <w:bookmarkEnd w:id="339"/>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1" w:name="_Ref303609604"/>
      <w:r>
        <w:t>Datatype and Operation Evaluation</w:t>
      </w:r>
      <w:bookmarkEnd w:id="341"/>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2" w:name="_Ref303608709"/>
      <w:r>
        <w:t>Collected Object Flag Evaluation</w:t>
      </w:r>
      <w:bookmarkEnd w:id="342"/>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3" w:name="_Ref303609435"/>
      <w:r>
        <w:t>filter</w:t>
      </w:r>
      <w:bookmarkEnd w:id="343"/>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5" w:name="_Toc314765907"/>
      <w:r>
        <w:t xml:space="preserve">OVAL </w:t>
      </w:r>
      <w:r w:rsidR="00B22862">
        <w:t>State Evaluation</w:t>
      </w:r>
      <w:bookmarkEnd w:id="345"/>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6" w:name="_Ref303609730"/>
      <w:r>
        <w:t>OVAL State Entity Evaluation</w:t>
      </w:r>
      <w:bookmarkEnd w:id="346"/>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w:t>
      </w:r>
      <w:r>
        <w:t xml:space="preserve">zero or more </w:t>
      </w:r>
      <w:r>
        <w:t>occurrence</w:t>
      </w:r>
      <w:r>
        <w:t xml:space="preserv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lastRenderedPageBreak/>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w:t>
      </w:r>
      <w:bookmarkStart w:id="347" w:name="_GoBack"/>
      <w:bookmarkEnd w:id="347"/>
      <w:r>
        <w:t xml:space="preserve">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lastRenderedPageBreak/>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w:t>
      </w:r>
      <w:r>
        <w:lastRenderedPageBreak/>
        <w:t>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lastRenderedPageBreak/>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lastRenderedPageBreak/>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lastRenderedPageBreak/>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lastRenderedPageBreak/>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111DB7"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lastRenderedPageBreak/>
        <w:t xml:space="preserve">[2] </w:t>
      </w:r>
      <w:r w:rsidRPr="00CD44E5">
        <w:t xml:space="preserve">W3C Recommendation for Boolean Data </w:t>
      </w:r>
    </w:p>
    <w:p w14:paraId="0D141381" w14:textId="77777777" w:rsidR="001E2C76" w:rsidRPr="00CD44E5" w:rsidRDefault="00111DB7"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111DB7"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111DB7"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111DB7"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111DB7"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111DB7"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111DB7"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111DB7"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111DB7"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111DB7"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111DB7"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111DB7"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111DB7"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111DB7"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111DB7"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lastRenderedPageBreak/>
        <w:t>[19</w:t>
      </w:r>
      <w:r w:rsidR="00432B10">
        <w:t>] RFC  791 – IPv4 Protocol Specification</w:t>
      </w:r>
    </w:p>
    <w:p w14:paraId="79C8E401" w14:textId="77777777" w:rsidR="00432B10" w:rsidRDefault="00111DB7"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111DB7"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111DB7"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lastRenderedPageBreak/>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111DB7">
          <w:rPr>
            <w:noProof/>
          </w:rPr>
          <w:t>111</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111DB7" w:rsidP="00BE7382">
      <w:pPr>
        <w:pStyle w:val="FootnoteText"/>
      </w:pPr>
      <w:hyperlink r:id="rId5" w:history="1">
        <w:r w:rsidR="00FA4FC3"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111DB7">
      <w:pPr>
        <w:pStyle w:val="FootnoteText"/>
      </w:pPr>
      <w:hyperlink r:id="rId6" w:history="1">
        <w:r w:rsidR="00FA4FC3"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111DB7"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A4FC3" w:rsidRPr="001B78AF">
      <w:t xml:space="preserve"> The OVAL® Language Specification: Version 5.1</w:t>
    </w:r>
    <w:r w:rsidR="00FA4FC3">
      <w:t xml:space="preserve">1.2 Revision 1 </w:t>
    </w:r>
    <w:r w:rsidR="00FA4FC3">
      <w:br/>
      <w:t>Date: 8-30</w:t>
    </w:r>
    <w:r w:rsidR="00FA4FC3" w:rsidRPr="001B78AF">
      <w:t>-201</w:t>
    </w:r>
    <w:r w:rsidR="00FA4FC3">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BA031-6378-D34E-964F-DC0036263785}">
  <ds:schemaRefs>
    <ds:schemaRef ds:uri="http://schemas.openxmlformats.org/officeDocument/2006/bibliography"/>
  </ds:schemaRefs>
</ds:datastoreItem>
</file>

<file path=customXml/itemProps3.xml><?xml version="1.0" encoding="utf-8"?>
<ds:datastoreItem xmlns:ds="http://schemas.openxmlformats.org/officeDocument/2006/customXml" ds:itemID="{9DEED6AA-3E88-FB45-BFCF-B5F024752D53}">
  <ds:schemaRefs>
    <ds:schemaRef ds:uri="http://schemas.openxmlformats.org/officeDocument/2006/bibliography"/>
  </ds:schemaRefs>
</ds:datastoreItem>
</file>

<file path=customXml/itemProps4.xml><?xml version="1.0" encoding="utf-8"?>
<ds:datastoreItem xmlns:ds="http://schemas.openxmlformats.org/officeDocument/2006/customXml" ds:itemID="{03ABF90F-E92D-8C4F-8D10-62EB5776FD2A}">
  <ds:schemaRefs>
    <ds:schemaRef ds:uri="http://schemas.openxmlformats.org/officeDocument/2006/bibliography"/>
  </ds:schemaRefs>
</ds:datastoreItem>
</file>

<file path=customXml/itemProps5.xml><?xml version="1.0" encoding="utf-8"?>
<ds:datastoreItem xmlns:ds="http://schemas.openxmlformats.org/officeDocument/2006/customXml" ds:itemID="{0F107C7D-36D8-5949-8678-6E3ACB84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146</Pages>
  <Words>43147</Words>
  <Characters>245939</Characters>
  <Application>Microsoft Macintosh Word</Application>
  <DocSecurity>0</DocSecurity>
  <Lines>2049</Lines>
  <Paragraphs>577</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288509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312</cp:revision>
  <cp:lastPrinted>2014-12-05T14:50:00Z</cp:lastPrinted>
  <dcterms:created xsi:type="dcterms:W3CDTF">2011-08-22T02:14:00Z</dcterms:created>
  <dcterms:modified xsi:type="dcterms:W3CDTF">2016-09-02T00:56:00Z</dcterms:modified>
</cp:coreProperties>
</file>