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7C370B">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7C370B">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7C370B">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7C370B">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7C370B">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7C370B">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7C370B">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7C370B">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7C370B">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7C370B">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7C370B">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7C370B">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7C370B">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7C370B">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7C370B">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7C370B">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7C370B">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7C370B">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7C370B">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7C370B">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7C370B">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7C370B">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7C370B">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7C370B">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7C370B">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7C370B">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7C370B">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7C370B">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7C370B">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7C370B">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7C370B">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7C370B">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7C370B">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7C370B">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7C370B">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7C370B">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7C370B">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7C370B">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7C370B">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7C370B">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7C370B">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7C370B">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7C370B">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7C370B">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7C370B">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7C370B">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7C370B">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7C370B">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7C370B">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7C370B">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7C370B">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7C370B">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7C370B">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7C370B">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7C370B">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7C370B">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7C370B">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7C370B">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7C370B">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7C370B">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7C370B">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7C370B">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7C370B">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7C370B">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7C370B">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7C370B">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7C370B">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7C370B">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7C370B">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7C370B">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7C370B">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7C370B">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7C370B">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7C370B">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7C370B">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7C370B">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7C370B">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7C370B">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7C370B">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7C370B">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7C370B">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7C370B">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7C370B">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7C370B">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7C370B">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7C370B">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7C370B">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7C370B">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7C370B">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7C370B">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7C370B">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7C370B">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7C370B">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7C370B">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7C370B">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7C370B">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7C370B">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7C370B">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7C370B">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7C370B">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7C370B">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7C370B">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7C370B">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7C370B">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7C370B">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7C370B">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7C370B">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7C370B">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7C370B">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7C370B">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7C370B">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7C370B">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7C370B">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7C370B">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7C370B">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7C370B">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7C370B">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7C370B">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7C370B">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7C370B">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7C370B">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7C370B">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7C370B">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7C370B">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7C370B">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7C370B">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7C370B">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7C370B">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7C370B">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7C370B">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7C370B">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7C370B">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7C370B">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7C370B">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7C370B">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7C370B">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7C370B">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7C370B">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7C370B">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7C370B">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7C370B">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7C370B">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7C370B">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7C370B">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7C370B">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7C370B">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7C370B">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7C370B">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7C370B">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7C370B">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7C370B">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7C370B">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7C370B">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7C370B">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7C370B">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7C370B">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7C370B">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7C370B">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7C370B">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7C370B">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7C370B">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7C370B">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7C370B">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7C370B">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7C370B">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7C370B">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7C370B">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7C370B">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7C370B">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7C370B">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7C370B">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7C370B">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7C370B">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7C370B">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7C370B">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7C370B">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7C370B">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7C370B">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7C370B">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7C370B">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7C370B">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7C370B">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7C370B">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7C370B">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7C370B">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7C370B">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7C370B">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7C370B">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7C370B">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7C370B">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7C370B">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7C370B">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7C370B">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7C370B">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7C370B">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7C370B">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7C370B">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7C370B">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7C370B">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7C370B">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7C370B">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7C370B">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7C370B">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7C370B">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7C370B">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7C370B">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7C370B">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7C370B">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7C370B">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7C370B">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7C370B">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7C370B">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7C370B">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7C370B">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7C370B">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7C370B">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7C370B">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7C370B">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7C370B">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7C370B">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7C370B">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7C370B">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7C370B">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7C370B">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7C370B">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7C370B">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7C370B">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7C370B">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7C370B">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7C370B">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7C370B">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7C370B">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7C370B">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7C370B">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7C370B">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7C370B">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7C370B">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7C370B">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7C370B">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7C370B">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7C370B">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7C370B">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7C370B">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7C370B">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7C370B">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7C370B">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7C370B">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7C370B">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7C370B">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7C370B">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7C370B">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7C370B">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7C370B">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7C370B">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7C370B">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7C370B">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7C370B">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7C370B">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7C370B">
        <w:fldChar w:fldCharType="begin"/>
      </w:r>
      <w:r w:rsidR="007C370B">
        <w:instrText xml:space="preserve"> STYLEREF 1 \s </w:instrText>
      </w:r>
      <w:r w:rsidR="007C370B">
        <w:fldChar w:fldCharType="separate"/>
      </w:r>
      <w:r w:rsidR="006E1EF2">
        <w:rPr>
          <w:noProof/>
        </w:rPr>
        <w:t>4</w:t>
      </w:r>
      <w:r w:rsidR="007C370B">
        <w:rPr>
          <w:noProof/>
        </w:rPr>
        <w:fldChar w:fldCharType="end"/>
      </w:r>
      <w:r>
        <w:noBreakHyphen/>
      </w:r>
      <w:r w:rsidR="007C370B">
        <w:fldChar w:fldCharType="begin"/>
      </w:r>
      <w:r w:rsidR="007C370B">
        <w:instrText xml:space="preserve"> SEQ Figure \* ARABIC \s 1 </w:instrText>
      </w:r>
      <w:r w:rsidR="007C370B">
        <w:fldChar w:fldCharType="separate"/>
      </w:r>
      <w:r w:rsidR="006E1EF2">
        <w:rPr>
          <w:noProof/>
        </w:rPr>
        <w:t>1</w:t>
      </w:r>
      <w:r w:rsidR="007C370B">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7C370B">
        <w:fldChar w:fldCharType="begin"/>
      </w:r>
      <w:r w:rsidR="007C370B">
        <w:instrText xml:space="preserve"> STYLEREF 1 \s </w:instrText>
      </w:r>
      <w:r w:rsidR="007C370B">
        <w:fldChar w:fldCharType="separate"/>
      </w:r>
      <w:r w:rsidR="006E1EF2">
        <w:rPr>
          <w:noProof/>
        </w:rPr>
        <w:t>4</w:t>
      </w:r>
      <w:r w:rsidR="007C370B">
        <w:rPr>
          <w:noProof/>
        </w:rPr>
        <w:fldChar w:fldCharType="end"/>
      </w:r>
      <w:r>
        <w:noBreakHyphen/>
      </w:r>
      <w:r w:rsidR="007C370B">
        <w:fldChar w:fldCharType="begin"/>
      </w:r>
      <w:r w:rsidR="007C370B">
        <w:instrText xml:space="preserve"> SEQ Table \* ARABIC \s 1 </w:instrText>
      </w:r>
      <w:r w:rsidR="007C370B">
        <w:fldChar w:fldCharType="separate"/>
      </w:r>
      <w:r w:rsidR="006E1EF2">
        <w:rPr>
          <w:noProof/>
        </w:rPr>
        <w:t>1</w:t>
      </w:r>
      <w:r w:rsidR="007C370B">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65F0A29"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77777777"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lastRenderedPageBreak/>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lastRenderedPageBreak/>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lastRenderedPageBreak/>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lastRenderedPageBreak/>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lastRenderedPageBreak/>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lastRenderedPageBreak/>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lastRenderedPageBreak/>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lastRenderedPageBreak/>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lastRenderedPageBreak/>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3" w:name="_Toc314765839"/>
      <w:r>
        <w:lastRenderedPageBreak/>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7925197"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lastRenderedPageBreak/>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lastRenderedPageBreak/>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14:paraId="5248FC27" w14:textId="77777777" w:rsidR="00E90F68" w:rsidRDefault="00E90F68" w:rsidP="00E90F68">
      <w:pPr>
        <w:pStyle w:val="Heading3"/>
        <w:keepNext/>
        <w:keepLines/>
      </w:pPr>
      <w:bookmarkStart w:id="283" w:name="_Toc314765859"/>
      <w:r>
        <w:lastRenderedPageBreak/>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lastRenderedPageBreak/>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lastRenderedPageBreak/>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lastRenderedPageBreak/>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lastRenderedPageBreak/>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lastRenderedPageBreak/>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lastRenderedPageBreak/>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lastRenderedPageBreak/>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This construct combine</w:t>
      </w:r>
      <w:r w:rsidR="007C370B">
        <w:rPr>
          <w:rFonts w:ascii="Calibri" w:hAnsi="Calibri"/>
        </w:rPr>
        <w:t>s</w:t>
      </w:r>
      <w:r w:rsidR="007C370B">
        <w:rPr>
          <w:rFonts w:ascii="Calibri" w:hAnsi="Calibri"/>
        </w:rPr>
        <w:t xml:space="preserve">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bookmarkStart w:id="307" w:name="_GoBack"/>
      <w:bookmarkEnd w:id="307"/>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w:t>
            </w:r>
            <w:r>
              <w:lastRenderedPageBreak/>
              <w:t xml:space="preserve">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lastRenderedPageBreak/>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8" w:name="_Toc314765883"/>
      <w:r>
        <w:t>CriterionType</w:t>
      </w:r>
      <w:bookmarkEnd w:id="308"/>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 xml:space="preserve">OVAL </w:t>
            </w:r>
            <w:r w:rsidRPr="00D5316B">
              <w:rPr>
                <w:rFonts w:ascii="Calibri" w:hAnsi="Calibri"/>
              </w:rPr>
              <w:lastRenderedPageBreak/>
              <w:t>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lastRenderedPageBreak/>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9" w:name="_Toc314765884"/>
      <w:r>
        <w:t>ExtendDefinitionType</w:t>
      </w:r>
      <w:bookmarkEnd w:id="309"/>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lastRenderedPageBreak/>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10" w:name="_Toc314765885"/>
      <w:r w:rsidRPr="005D40EB">
        <w:t>TestType</w:t>
      </w:r>
      <w:bookmarkEnd w:id="310"/>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w:t>
            </w:r>
            <w:r w:rsidRPr="00EB0E17">
              <w:rPr>
                <w:rFonts w:ascii="Calibri" w:hAnsi="Calibri"/>
              </w:rPr>
              <w:lastRenderedPageBreak/>
              <w:t xml:space="preserve">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lastRenderedPageBreak/>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1" w:name="_Toc314765886"/>
      <w:r>
        <w:t>TestedItemType</w:t>
      </w:r>
      <w:bookmarkEnd w:id="311"/>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lastRenderedPageBreak/>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2" w:name="_Toc314765887"/>
      <w:r>
        <w:t>TestedVariableType</w:t>
      </w:r>
      <w:bookmarkEnd w:id="312"/>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3" w:name="_Toc314765888"/>
      <w:r>
        <w:t>ContentEnumeration</w:t>
      </w:r>
      <w:bookmarkEnd w:id="313"/>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4" w:name="_Toc314765889"/>
      <w:r>
        <w:lastRenderedPageBreak/>
        <w:t>ResultEnumeration</w:t>
      </w:r>
      <w:bookmarkEnd w:id="314"/>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5" w:name="_Toc314765890"/>
      <w:r>
        <w:t>OVAL Directives Model</w:t>
      </w:r>
      <w:bookmarkEnd w:id="315"/>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lastRenderedPageBreak/>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6" w:name="_Toc314765891"/>
      <w:r>
        <w:t>Processing</w:t>
      </w:r>
      <w:r w:rsidR="00E3127F">
        <w:t xml:space="preserve"> Model for the OVAL Language</w:t>
      </w:r>
      <w:bookmarkEnd w:id="316"/>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w:t>
      </w:r>
      <w:r>
        <w:rPr>
          <w:lang w:bidi="ar-SA"/>
        </w:rPr>
        <w:lastRenderedPageBreak/>
        <w:t xml:space="preserve">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7" w:name="_Toc314765892"/>
      <w:r>
        <w:t>Producing OVAL Definitions</w:t>
      </w:r>
      <w:bookmarkEnd w:id="317"/>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14:paraId="6828FD61" w14:textId="77777777"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9" w:name="_Toc314765894"/>
      <w:r>
        <w:t>Tracking Change</w:t>
      </w:r>
      <w:bookmarkEnd w:id="319"/>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20" w:name="_Toc314765895"/>
      <w:r>
        <w:t>Metadata</w:t>
      </w:r>
      <w:bookmarkEnd w:id="320"/>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1" w:name="_Toc314765896"/>
      <w:r>
        <w:t>Content Integrity and Authenticity</w:t>
      </w:r>
      <w:bookmarkEnd w:id="321"/>
    </w:p>
    <w:p w14:paraId="7A31247A" w14:textId="77777777" w:rsidR="001777EF" w:rsidRPr="00DC4CCD" w:rsidRDefault="00505DD2" w:rsidP="0084216D">
      <w:r>
        <w:lastRenderedPageBreak/>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2" w:name="_Toc314765897"/>
      <w:r>
        <w:t>Producing OVAL System Characteristics</w:t>
      </w:r>
      <w:bookmarkEnd w:id="322"/>
    </w:p>
    <w:p w14:paraId="2F55B6F2" w14:textId="77777777"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3" w:name="_Toc314765898"/>
      <w:r>
        <w:t>System Information</w:t>
      </w:r>
      <w:bookmarkEnd w:id="323"/>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4" w:name="_Toc314765899"/>
      <w:r>
        <w:t xml:space="preserve">Collected </w:t>
      </w:r>
      <w:r w:rsidR="00132084">
        <w:t>O</w:t>
      </w:r>
      <w:r>
        <w:t>bjects</w:t>
      </w:r>
      <w:bookmarkEnd w:id="324"/>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5" w:name="_Ref303796562"/>
      <w:r w:rsidRPr="00BD3303">
        <w:t>flag</w:t>
      </w:r>
      <w:r w:rsidR="003661A9">
        <w:t xml:space="preserve"> Usage</w:t>
      </w:r>
      <w:bookmarkEnd w:id="325"/>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lastRenderedPageBreak/>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6" w:name="_Toc314765900"/>
      <w:r>
        <w:t>Conveying System Data without OVAL Objects</w:t>
      </w:r>
      <w:bookmarkEnd w:id="326"/>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lastRenderedPageBreak/>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lastRenderedPageBreak/>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8" w:name="_Ref303607608"/>
      <w:r>
        <w:t>Datatype</w:t>
      </w:r>
      <w:bookmarkEnd w:id="328"/>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9" w:name="_Toc314765902"/>
      <w:r>
        <w:t>Content Integrity and Authenticity</w:t>
      </w:r>
      <w:bookmarkEnd w:id="329"/>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0" w:name="_Toc314765903"/>
      <w:r>
        <w:t>Producing OVAL Results</w:t>
      </w:r>
      <w:bookmarkEnd w:id="330"/>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r w:rsidRPr="00394DAE">
        <w:t>Evaluating a Deprecated OVAL Definition</w:t>
      </w:r>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lastRenderedPageBreak/>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 xml:space="preserve">If a non-Boolean </w:t>
      </w:r>
      <w:r>
        <w:lastRenderedPageBreak/>
        <w:t>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8" w:name="_Toc314765906"/>
      <w:r>
        <w:t xml:space="preserve">OVAL </w:t>
      </w:r>
      <w:r w:rsidR="00B22862">
        <w:t>Object Evaluation</w:t>
      </w:r>
      <w:bookmarkEnd w:id="338"/>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9" w:name="_Ref303609053"/>
      <w:r>
        <w:t>Matching an</w:t>
      </w:r>
      <w:r w:rsidR="00B22862">
        <w:t xml:space="preserve"> OVAL Object to an OVAL Item</w:t>
      </w:r>
      <w:bookmarkEnd w:id="339"/>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1" w:name="_Ref303609604"/>
      <w:r>
        <w:t>Datatype and Operation Evaluation</w:t>
      </w:r>
      <w:bookmarkEnd w:id="341"/>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2" w:name="_Ref303608709"/>
      <w:r>
        <w:t>Collected Object Flag Evaluation</w:t>
      </w:r>
      <w:bookmarkEnd w:id="342"/>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7C370B">
        <w:fldChar w:fldCharType="begin"/>
      </w:r>
      <w:r w:rsidR="007C370B">
        <w:instrText xml:space="preserve"> STYLEREF 1 \s </w:instrText>
      </w:r>
      <w:r w:rsidR="007C370B">
        <w:fldChar w:fldCharType="separate"/>
      </w:r>
      <w:r w:rsidR="006E1EF2">
        <w:rPr>
          <w:noProof/>
        </w:rPr>
        <w:t>5</w:t>
      </w:r>
      <w:r w:rsidR="007C370B">
        <w:rPr>
          <w:noProof/>
        </w:rPr>
        <w:fldChar w:fldCharType="end"/>
      </w:r>
      <w:r w:rsidR="00A80170">
        <w:noBreakHyphen/>
      </w:r>
      <w:r w:rsidR="007C370B">
        <w:fldChar w:fldCharType="begin"/>
      </w:r>
      <w:r w:rsidR="007C370B">
        <w:instrText xml:space="preserve"> SEQ Table \* ARABIC \s 1 </w:instrText>
      </w:r>
      <w:r w:rsidR="007C370B">
        <w:fldChar w:fldCharType="separate"/>
      </w:r>
      <w:r w:rsidR="006E1EF2">
        <w:rPr>
          <w:noProof/>
        </w:rPr>
        <w:t>1</w:t>
      </w:r>
      <w:r w:rsidR="007C370B">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7C370B">
        <w:fldChar w:fldCharType="begin"/>
      </w:r>
      <w:r w:rsidR="007C370B">
        <w:instrText xml:space="preserve"> STYLEREF 1 \s </w:instrText>
      </w:r>
      <w:r w:rsidR="007C370B">
        <w:fldChar w:fldCharType="separate"/>
      </w:r>
      <w:r w:rsidR="006E1EF2">
        <w:rPr>
          <w:noProof/>
        </w:rPr>
        <w:t>5</w:t>
      </w:r>
      <w:r w:rsidR="007C370B">
        <w:rPr>
          <w:noProof/>
        </w:rPr>
        <w:fldChar w:fldCharType="end"/>
      </w:r>
      <w:r w:rsidR="00A80170">
        <w:noBreakHyphen/>
      </w:r>
      <w:r w:rsidR="007C370B">
        <w:fldChar w:fldCharType="begin"/>
      </w:r>
      <w:r w:rsidR="007C370B">
        <w:instrText xml:space="preserve"> SEQ Table \* ARABIC \s 1 </w:instrText>
      </w:r>
      <w:r w:rsidR="007C370B">
        <w:fldChar w:fldCharType="separate"/>
      </w:r>
      <w:r w:rsidR="006E1EF2">
        <w:rPr>
          <w:noProof/>
        </w:rPr>
        <w:t>2</w:t>
      </w:r>
      <w:r w:rsidR="007C370B">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7C370B">
        <w:fldChar w:fldCharType="begin"/>
      </w:r>
      <w:r w:rsidR="007C370B">
        <w:instrText xml:space="preserve"> STYLEREF 1 \s </w:instrText>
      </w:r>
      <w:r w:rsidR="007C370B">
        <w:fldChar w:fldCharType="separate"/>
      </w:r>
      <w:r w:rsidR="006E1EF2">
        <w:rPr>
          <w:noProof/>
        </w:rPr>
        <w:t>5</w:t>
      </w:r>
      <w:r w:rsidR="007C370B">
        <w:rPr>
          <w:noProof/>
        </w:rPr>
        <w:fldChar w:fldCharType="end"/>
      </w:r>
      <w:r w:rsidR="00A80170">
        <w:noBreakHyphen/>
      </w:r>
      <w:r w:rsidR="007C370B">
        <w:fldChar w:fldCharType="begin"/>
      </w:r>
      <w:r w:rsidR="007C370B">
        <w:instrText xml:space="preserve"> SEQ Table \* ARABIC \s 1 </w:instrText>
      </w:r>
      <w:r w:rsidR="007C370B">
        <w:fldChar w:fldCharType="separate"/>
      </w:r>
      <w:r w:rsidR="006E1EF2">
        <w:rPr>
          <w:noProof/>
        </w:rPr>
        <w:t>3</w:t>
      </w:r>
      <w:r w:rsidR="007C370B">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3" w:name="_Ref303609435"/>
      <w:r>
        <w:t>filter</w:t>
      </w:r>
      <w:bookmarkEnd w:id="343"/>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5" w:name="_Toc314765907"/>
      <w:r>
        <w:t xml:space="preserve">OVAL </w:t>
      </w:r>
      <w:r w:rsidR="00B22862">
        <w:t>State Evaluation</w:t>
      </w:r>
      <w:bookmarkEnd w:id="345"/>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6" w:name="_Ref303609730"/>
      <w:r>
        <w:t>OVAL State Entity Evaluation</w:t>
      </w:r>
      <w:bookmarkEnd w:id="346"/>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151C8119"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7" w:name="_Toc314765908"/>
      <w:r>
        <w:t xml:space="preserve">OVAL </w:t>
      </w:r>
      <w:r w:rsidR="00B22862">
        <w:t>Variable Evaluation</w:t>
      </w:r>
      <w:bookmarkEnd w:id="347"/>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lastRenderedPageBreak/>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8" w:name="_Ref303610059"/>
      <w:r>
        <w:lastRenderedPageBreak/>
        <w:t>Determining the Final Result of Validating an External Variable Value</w:t>
      </w:r>
      <w:bookmarkEnd w:id="348"/>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lastRenderedPageBreak/>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lastRenderedPageBreak/>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lastRenderedPageBreak/>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lastRenderedPageBreak/>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 xml:space="preserve">conforms to the specified </w:t>
            </w:r>
            <w:r>
              <w:rPr>
                <w:rFonts w:ascii="Calibri" w:hAnsi="Calibri"/>
              </w:rPr>
              <w:lastRenderedPageBreak/>
              <w:t>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lastRenderedPageBreak/>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9" w:name="_Toc314765909"/>
      <w:r>
        <w:t>Common Evaluation Concepts</w:t>
      </w:r>
      <w:bookmarkEnd w:id="349"/>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0" w:name="_Ref303605724"/>
      <w:r>
        <w:t>Check Enumeration Evaluation</w:t>
      </w:r>
      <w:bookmarkEnd w:id="350"/>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lastRenderedPageBreak/>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1" w:name="_Ref303609003"/>
      <w:r>
        <w:t>Operator Enumeration Evaluation</w:t>
      </w:r>
      <w:bookmarkEnd w:id="351"/>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2" w:name="_Ref303796355"/>
      <w:r>
        <w:t>OVAL Entity Evaluation</w:t>
      </w:r>
      <w:bookmarkEnd w:id="352"/>
    </w:p>
    <w:p w14:paraId="1A402FAE" w14:textId="77777777"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3" w:name="_Ref303791377"/>
      <w:r>
        <w:lastRenderedPageBreak/>
        <w:t>Datatype and Operation Evaluation</w:t>
      </w:r>
      <w:bookmarkEnd w:id="353"/>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w:t>
            </w:r>
            <w:r w:rsidRPr="00CE35C0">
              <w:rPr>
                <w:rFonts w:cs="Times New Roman"/>
                <w:color w:val="000000"/>
              </w:rPr>
              <w:lastRenderedPageBreak/>
              <w:t>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6" w:name="_Ref303609342"/>
      <w:r>
        <w:t>Variable Check Evaluation</w:t>
      </w:r>
      <w:bookmarkEnd w:id="356"/>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7" w:name="_Toc314765912"/>
      <w:r>
        <w:t>Masking Data</w:t>
      </w:r>
      <w:bookmarkEnd w:id="357"/>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8" w:name="_Ref303610397"/>
      <w:bookmarkStart w:id="359" w:name="_Toc314765913"/>
      <w:bookmarkStart w:id="360" w:name="_Toc278864771"/>
      <w:r>
        <w:t>Entity Casting</w:t>
      </w:r>
      <w:bookmarkEnd w:id="358"/>
      <w:bookmarkEnd w:id="359"/>
    </w:p>
    <w:p w14:paraId="4B6631D6" w14:textId="77777777"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2" w:name="_Toc314765914"/>
      <w:r w:rsidRPr="001970E2">
        <w:t xml:space="preserve">XML </w:t>
      </w:r>
      <w:r w:rsidR="00762A6D">
        <w:t>Representation</w:t>
      </w:r>
      <w:bookmarkEnd w:id="361"/>
      <w:bookmarkEnd w:id="362"/>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3" w:name="_Ref303608302"/>
      <w:bookmarkStart w:id="364" w:name="_Toc314765915"/>
      <w:r>
        <w:t>Signature Support</w:t>
      </w:r>
      <w:bookmarkEnd w:id="363"/>
      <w:bookmarkEnd w:id="364"/>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8" w:name="_Toc314765917"/>
      <w:r w:rsidRPr="00910967">
        <w:t>ElementMapType</w:t>
      </w:r>
      <w:bookmarkEnd w:id="368"/>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69" w:name="_Toc314765918"/>
      <w:r w:rsidRPr="00E649EF">
        <w:t xml:space="preserve">Official </w:t>
      </w:r>
      <w:r w:rsidR="003260AF">
        <w:t>OVAL Component Model</w:t>
      </w:r>
      <w:r>
        <w:t>s</w:t>
      </w:r>
      <w:bookmarkEnd w:id="369"/>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3" w:name="_Toc314765920"/>
      <w:r>
        <w:t>Validation Requirements</w:t>
      </w:r>
      <w:bookmarkEnd w:id="373"/>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8" w:name="_Toc314765923"/>
      <w:r>
        <w:t>OVAL Definitions Model</w:t>
      </w:r>
      <w:bookmarkEnd w:id="378"/>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1" w:name="_Toc314765924"/>
      <w:r>
        <w:t>OVAL System Characteristics Model</w:t>
      </w:r>
      <w:bookmarkEnd w:id="381"/>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2" w:name="_Toc314765925"/>
      <w:r>
        <w:t>Extension Points within the OVAL Definitions Model</w:t>
      </w:r>
      <w:bookmarkEnd w:id="382"/>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3" w:name="_Toc314765926"/>
      <w:r>
        <w:t>Generator Information</w:t>
      </w:r>
      <w:bookmarkEnd w:id="383"/>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4" w:name="_Toc314765927"/>
      <w:r>
        <w:t>OVAL Definition Metadata</w:t>
      </w:r>
      <w:bookmarkEnd w:id="384"/>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6" w:name="_Toc314765929"/>
      <w:r>
        <w:t>Generator Information</w:t>
      </w:r>
      <w:bookmarkEnd w:id="386"/>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7" w:name="_Toc314765930"/>
      <w:r>
        <w:t>System Information</w:t>
      </w:r>
      <w:bookmarkEnd w:id="387"/>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8" w:name="_Toc314765931"/>
      <w:r>
        <w:t>OVAL Results Model</w:t>
      </w:r>
      <w:bookmarkEnd w:id="388"/>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89" w:name="_Toc314765932"/>
      <w:r>
        <w:t>Generator Information</w:t>
      </w:r>
      <w:bookmarkEnd w:id="389"/>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7B3AF94B" w14:textId="77777777"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7C370B"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7C370B"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lastRenderedPageBreak/>
        <w:t xml:space="preserve">[3] </w:t>
      </w:r>
      <w:r w:rsidRPr="00CD44E5">
        <w:t>W3C Recommendation for Float Data</w:t>
      </w:r>
    </w:p>
    <w:p w14:paraId="3DB43B5A" w14:textId="77777777" w:rsidR="001E2C76" w:rsidRPr="00CD44E5" w:rsidRDefault="007C370B"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7C370B"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7C370B"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7C370B"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7C370B"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7C370B"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7C370B"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7C370B"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7C370B"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7C370B"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7C370B"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7C370B"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7C370B"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7C370B"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7C370B"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lastRenderedPageBreak/>
        <w:t>[20] Microsoft Windows File Time Format</w:t>
      </w:r>
    </w:p>
    <w:p w14:paraId="0CFA800A" w14:textId="77777777" w:rsidR="00D439BA" w:rsidRDefault="007C370B"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7C370B"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7" w:name="_Toc278864777"/>
      <w:bookmarkStart w:id="408"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lastRenderedPageBreak/>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3674F58C" w14:textId="77777777" w:rsidR="001E2C76" w:rsidRDefault="001E2C76" w:rsidP="00857629">
      <w:pPr>
        <w:pStyle w:val="Heading2"/>
        <w:numPr>
          <w:ilvl w:val="0"/>
          <w:numId w:val="0"/>
        </w:numPr>
        <w:ind w:left="576" w:hanging="576"/>
      </w:pPr>
      <w:bookmarkStart w:id="410" w:name="_Toc314765948"/>
      <w:r>
        <w:t>Terms</w:t>
      </w:r>
      <w:bookmarkEnd w:id="410"/>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lastRenderedPageBreak/>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lastRenderedPageBreak/>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DC65FB" w:rsidRDefault="00DC65FB" w:rsidP="00383C31">
      <w:r>
        <w:separator/>
      </w:r>
    </w:p>
  </w:endnote>
  <w:endnote w:type="continuationSeparator" w:id="0">
    <w:p w14:paraId="76BAE573" w14:textId="77777777" w:rsidR="00DC65FB" w:rsidRDefault="00DC65FB" w:rsidP="00383C31">
      <w:r>
        <w:continuationSeparator/>
      </w:r>
    </w:p>
  </w:endnote>
  <w:endnote w:type="continuationNotice" w:id="1">
    <w:p w14:paraId="002371EB" w14:textId="77777777" w:rsidR="00DC65FB" w:rsidRDefault="00DC65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DC65FB" w:rsidRDefault="00DC65FB">
        <w:pPr>
          <w:pStyle w:val="Footer"/>
          <w:jc w:val="right"/>
        </w:pPr>
        <w:r>
          <w:fldChar w:fldCharType="begin"/>
        </w:r>
        <w:r>
          <w:instrText xml:space="preserve"> PAGE   \* MERGEFORMAT </w:instrText>
        </w:r>
        <w:r>
          <w:fldChar w:fldCharType="separate"/>
        </w:r>
        <w:r w:rsidR="007C370B">
          <w:rPr>
            <w:noProof/>
          </w:rPr>
          <w:t>85</w:t>
        </w:r>
        <w:r>
          <w:rPr>
            <w:noProof/>
          </w:rPr>
          <w:fldChar w:fldCharType="end"/>
        </w:r>
      </w:p>
    </w:sdtContent>
  </w:sdt>
  <w:p w14:paraId="075F99B4" w14:textId="20FC1E8E" w:rsidR="00DC65FB" w:rsidRDefault="00DC65FB" w:rsidP="00877FE1">
    <w:pPr>
      <w:pStyle w:val="Footer"/>
    </w:pPr>
    <w:r>
      <w:t>Copyright © 201</w:t>
    </w:r>
    <w:r w:rsidR="00C76D2B">
      <w:t>6</w:t>
    </w:r>
    <w:r>
      <w:t xml:space="preserve">, </w:t>
    </w:r>
    <w:r w:rsidR="00C76D2B">
      <w:t>Center for Internet Security</w:t>
    </w:r>
    <w:r>
      <w:t>.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DC65FB" w:rsidRDefault="00DC65FB" w:rsidP="00383C31">
      <w:r>
        <w:separator/>
      </w:r>
    </w:p>
  </w:footnote>
  <w:footnote w:type="continuationSeparator" w:id="0">
    <w:p w14:paraId="10BA4025" w14:textId="77777777" w:rsidR="00DC65FB" w:rsidRDefault="00DC65FB" w:rsidP="00383C31">
      <w:r>
        <w:continuationSeparator/>
      </w:r>
    </w:p>
  </w:footnote>
  <w:footnote w:type="continuationNotice" w:id="1">
    <w:p w14:paraId="0A5B4538" w14:textId="77777777" w:rsidR="00DC65FB" w:rsidRDefault="00DC65FB">
      <w:pPr>
        <w:spacing w:after="0" w:line="240" w:lineRule="auto"/>
      </w:pPr>
    </w:p>
  </w:footnote>
  <w:footnote w:id="2">
    <w:p w14:paraId="13AA2842" w14:textId="1133C231" w:rsidR="00DC65FB" w:rsidRDefault="00DC65FB">
      <w:pPr>
        <w:pStyle w:val="FootnoteText"/>
      </w:pPr>
      <w:r>
        <w:rPr>
          <w:rStyle w:val="FootnoteReference"/>
        </w:rPr>
        <w:footnoteRef/>
      </w:r>
      <w:r>
        <w:t xml:space="preserve"> For detailed information see </w:t>
      </w:r>
      <w:hyperlink r:id="rId1" w:history="1">
        <w:r w:rsidR="00C76D2B">
          <w:rPr>
            <w:rStyle w:val="Hyperlink"/>
          </w:rPr>
          <w:t>https://oval.cisecurity.org/terms</w:t>
        </w:r>
      </w:hyperlink>
    </w:p>
  </w:footnote>
  <w:footnote w:id="3">
    <w:p w14:paraId="01D71E1C" w14:textId="209CEE29" w:rsidR="00DC65FB" w:rsidRDefault="00DC65FB">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00C76D2B">
          <w:rPr>
            <w:rStyle w:val="Hyperlink"/>
          </w:rPr>
          <w:t>https://oval.cisecurity.org/</w:t>
        </w:r>
      </w:hyperlink>
    </w:p>
  </w:footnote>
  <w:footnote w:id="4">
    <w:p w14:paraId="34AAB924" w14:textId="77777777" w:rsidR="00DC65FB" w:rsidRDefault="00DC65FB">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DC65FB" w:rsidRDefault="00DC65FB">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DC65FB" w:rsidRDefault="00DC65FB" w:rsidP="00BE7382">
      <w:pPr>
        <w:pStyle w:val="FootnoteText"/>
      </w:pPr>
      <w:r>
        <w:rPr>
          <w:rStyle w:val="FootnoteReference"/>
        </w:rPr>
        <w:footnoteRef/>
      </w:r>
      <w:r>
        <w:t xml:space="preserve"> The National Security Agency (NSA) Configuration Guides</w:t>
      </w:r>
    </w:p>
    <w:p w14:paraId="433FFC0E" w14:textId="77777777" w:rsidR="00DC65FB" w:rsidRDefault="007C370B" w:rsidP="00BE7382">
      <w:pPr>
        <w:pStyle w:val="FootnoteText"/>
      </w:pPr>
      <w:hyperlink r:id="rId5" w:history="1">
        <w:r w:rsidR="00DC65FB" w:rsidRPr="00BE7382">
          <w:rPr>
            <w:rStyle w:val="Hyperlink"/>
          </w:rPr>
          <w:t>http://www.nsa.gov/ia/guidance/security_configuration_guides/</w:t>
        </w:r>
      </w:hyperlink>
    </w:p>
  </w:footnote>
  <w:footnote w:id="7">
    <w:p w14:paraId="08B58B84" w14:textId="77777777" w:rsidR="00DC65FB" w:rsidRPr="00BE7382" w:rsidRDefault="00DC65FB"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DC65FB" w:rsidRDefault="007C370B">
      <w:pPr>
        <w:pStyle w:val="FootnoteText"/>
      </w:pPr>
      <w:hyperlink r:id="rId6" w:history="1">
        <w:r w:rsidR="00DC65FB" w:rsidRPr="00BE7382">
          <w:rPr>
            <w:rStyle w:val="Hyperlink"/>
          </w:rPr>
          <w:t>http://checklists.nist.gov/</w:t>
        </w:r>
      </w:hyperlink>
    </w:p>
  </w:footnote>
  <w:footnote w:id="8">
    <w:p w14:paraId="5D12AB96" w14:textId="77777777" w:rsidR="00DC65FB" w:rsidRDefault="00DC65FB">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DC65FB" w:rsidRDefault="00DC65FB">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DC65FB" w:rsidRDefault="00DC65FB"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DC65FB" w:rsidRDefault="00DC65FB">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DC65FB" w:rsidRDefault="00DC65FB">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DC65FB" w:rsidRDefault="00DC65FB">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DC65FB" w:rsidRDefault="00DC65FB">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DC65FB" w:rsidRDefault="00DC65FB"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DC65FB" w:rsidRDefault="00DC65FB">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DC65FB" w:rsidRPr="000C56E8" w:rsidRDefault="00DC65FB">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DC65FB" w:rsidRDefault="00DC65FB">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DC65FB" w:rsidRDefault="00DC65FB"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DC65FB" w:rsidRPr="00E737FA" w:rsidRDefault="00DC65FB">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DC65FB" w:rsidRPr="00E737FA" w:rsidRDefault="00DC65FB">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DC65FB" w:rsidRPr="001B78AF" w:rsidRDefault="007C370B"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C65FB" w:rsidRPr="001B78AF">
      <w:t xml:space="preserve"> The OVAL® Language Specification: Version 5.1</w:t>
    </w:r>
    <w:r w:rsidR="00DC65FB">
      <w:t>1</w:t>
    </w:r>
    <w:r w:rsidR="00C76D2B">
      <w:t>.2</w:t>
    </w:r>
    <w:r w:rsidR="00DC65FB">
      <w:t xml:space="preserve"> Revision </w:t>
    </w:r>
    <w:r w:rsidR="00C76D2B">
      <w:t>1</w:t>
    </w:r>
    <w:r w:rsidR="00DC65FB">
      <w:t xml:space="preserve"> </w:t>
    </w:r>
    <w:r w:rsidR="00DC65FB">
      <w:br/>
      <w:t xml:space="preserve">Date: </w:t>
    </w:r>
    <w:r w:rsidR="00C76D2B">
      <w:t>8</w:t>
    </w:r>
    <w:r w:rsidR="00DC65FB">
      <w:t>-</w:t>
    </w:r>
    <w:r w:rsidR="00C76D2B">
      <w:t>30</w:t>
    </w:r>
    <w:r w:rsidR="00DC65FB" w:rsidRPr="001B78AF">
      <w:t>-201</w:t>
    </w:r>
    <w:r w:rsidR="00C76D2B">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1E3CEF-B38B-9D40-9BBD-28645A219008}">
  <ds:schemaRefs>
    <ds:schemaRef ds:uri="http://schemas.openxmlformats.org/officeDocument/2006/bibliography"/>
  </ds:schemaRefs>
</ds:datastoreItem>
</file>

<file path=customXml/itemProps3.xml><?xml version="1.0" encoding="utf-8"?>
<ds:datastoreItem xmlns:ds="http://schemas.openxmlformats.org/officeDocument/2006/customXml" ds:itemID="{8B255ABB-7740-1C4F-8D17-94884E28C1BD}">
  <ds:schemaRefs>
    <ds:schemaRef ds:uri="http://schemas.openxmlformats.org/officeDocument/2006/bibliography"/>
  </ds:schemaRefs>
</ds:datastoreItem>
</file>

<file path=customXml/itemProps4.xml><?xml version="1.0" encoding="utf-8"?>
<ds:datastoreItem xmlns:ds="http://schemas.openxmlformats.org/officeDocument/2006/customXml" ds:itemID="{C88841FB-FA09-FF4B-B3B3-A4B9D3ED3CED}">
  <ds:schemaRefs>
    <ds:schemaRef ds:uri="http://schemas.openxmlformats.org/officeDocument/2006/bibliography"/>
  </ds:schemaRefs>
</ds:datastoreItem>
</file>

<file path=customXml/itemProps5.xml><?xml version="1.0" encoding="utf-8"?>
<ds:datastoreItem xmlns:ds="http://schemas.openxmlformats.org/officeDocument/2006/customXml" ds:itemID="{27A458B2-1EE1-C641-9098-2AEF141F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145</Pages>
  <Words>42840</Words>
  <Characters>244192</Characters>
  <Application>Microsoft Macintosh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299</cp:revision>
  <cp:lastPrinted>2014-12-05T14:50:00Z</cp:lastPrinted>
  <dcterms:created xsi:type="dcterms:W3CDTF">2011-08-22T02:14:00Z</dcterms:created>
  <dcterms:modified xsi:type="dcterms:W3CDTF">2016-08-30T18:33:00Z</dcterms:modified>
</cp:coreProperties>
</file>