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4D62" w14:textId="77777777" w:rsidR="001F75E2" w:rsidRPr="001F75E2" w:rsidRDefault="001F75E2" w:rsidP="001F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t>/ The client ID is obtained from the Google API Console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at https://console.cloud.google.com/.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If you run this code from a server other than http://localhost,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you need to register your own client ID.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var OAUTH2_CLIENT_ID = '__YOUR_CLIENT_ID__';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var OAUTH2_SCOPES = [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'https://www.googleapis.com/auth/youtube'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];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Upon loading, the Google APIs JS client automatically invokes this callback.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googleApiClientReady = function()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gapi.auth.init(function()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window.setTimeout(checkAuth, 1);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Attempt the immediate OAuth 2.0 client flow as soon as the page loads.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If the currently logged-in Google Account has previously authorized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the client specified as the OAUTH2_CLIENT_ID, then the authorization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succeeds with no user intervention. Otherwise, it fails and the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user interface that prompts for authorization needs to display.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function checkAuth()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gapi.auth.authorize({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client_id: OAUTH2_CLIENT_ID,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scope: OAUTH2_SCOPES,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immediate: true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}, handleAuthResult);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Handle the result of a gapi.auth.authorize() call.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function handleAuthResult(authResult)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(authResult &amp;&amp; !authResult.error)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Authorization was successful. Hide authorization prompts and show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content that should be visible after authorization succeeds.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$('.pre-auth').hide();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$('.post-auth').show();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loadAPIClientInterfaces();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 else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Make the #login-link clickable. Attempt a non-immediate OAuth 2.0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client flow. The current function is called when that flow completes.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$('#login-link').click(function()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gapi.auth.authorize({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client_id: OAUTH2_CLIENT_ID,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scope: OAUTH2_SCOPES,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immediate: false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}, handleAuthResult);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Load the client interfaces for the YouTube Analytics and Data APIs, which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are required to use the Google APIs JS client. More info is available at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https://developers.google.com/api-client-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library/javascript/dev/dev_jscript#loading-the-client-library-and-the-api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function loadAPIClientInterfaces()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gapi.client.load('youtube', 'v3', function() {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handleAPILoaded();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});</w:t>
      </w:r>
      <w:r w:rsidRPr="001F75E2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14:paraId="375DAA60" w14:textId="77777777" w:rsidR="001A74F5" w:rsidRDefault="001A74F5"/>
    <w:sectPr w:rsidR="001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2"/>
    <w:rsid w:val="001A74F5"/>
    <w:rsid w:val="001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C498"/>
  <w15:chartTrackingRefBased/>
  <w15:docId w15:val="{46395D8E-AB9F-406F-B2DC-D924DBF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F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F75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Tipodeletrapredefinidodopargrafo"/>
    <w:rsid w:val="001F75E2"/>
  </w:style>
  <w:style w:type="character" w:customStyle="1" w:styleId="pln">
    <w:name w:val="pln"/>
    <w:basedOn w:val="Tipodeletrapredefinidodopargrafo"/>
    <w:rsid w:val="001F75E2"/>
  </w:style>
  <w:style w:type="character" w:customStyle="1" w:styleId="kwd">
    <w:name w:val="kwd"/>
    <w:basedOn w:val="Tipodeletrapredefinidodopargrafo"/>
    <w:rsid w:val="001F75E2"/>
  </w:style>
  <w:style w:type="character" w:customStyle="1" w:styleId="pun">
    <w:name w:val="pun"/>
    <w:basedOn w:val="Tipodeletrapredefinidodopargrafo"/>
    <w:rsid w:val="001F75E2"/>
  </w:style>
  <w:style w:type="character" w:customStyle="1" w:styleId="str">
    <w:name w:val="str"/>
    <w:basedOn w:val="Tipodeletrapredefinidodopargrafo"/>
    <w:rsid w:val="001F75E2"/>
  </w:style>
  <w:style w:type="character" w:customStyle="1" w:styleId="lit">
    <w:name w:val="lit"/>
    <w:basedOn w:val="Tipodeletrapredefinidodopargrafo"/>
    <w:rsid w:val="001F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2023-02-08T15:42:00Z</dcterms:created>
  <dcterms:modified xsi:type="dcterms:W3CDTF">2023-02-08T15:43:00Z</dcterms:modified>
</cp:coreProperties>
</file>