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202B"/>
          <w:sz w:val="44"/>
          <w:szCs w:val="44"/>
        </w:rPr>
        <w:t xml:space="preserve">FISCALIZA</w:t>
      </w:r>
    </w:p>
    <w:p>
      <w:pPr>
        <w:spacing w:after="40"/>
      </w:pPr>
      <w:r>
        <w:rPr>
          <w:rFonts w:ascii="Calibri" w:cs="Calibri" w:eastAsia="Calibri" w:hAnsi="Calibri"/>
          <w:color w:val="2F5D50"/>
          <w:sz w:val="26"/>
          <w:szCs w:val="26"/>
        </w:rPr>
        <w:t xml:space="preserve">Resumen y lectura de decretos municipales</w:t>
      </w:r>
    </w:p>
    <w:p>
      <w:pPr>
        <w:pBdr>
          <w:bottom w:val="single" w:color="D5D1C6" w:sz="8" w:space="8"/>
        </w:pBdr>
        <w:spacing w:after="420"/>
      </w:pPr>
      <w:r>
        <w:rPr>
          <w:rFonts w:ascii="Calibri" w:cs="Calibri" w:eastAsia="Calibri" w:hAnsi="Calibri"/>
          <w:i/>
          <w:iCs/>
          <w:color w:val="4A5763"/>
          <w:sz w:val="19"/>
          <w:szCs w:val="19"/>
        </w:rPr>
        <w:t xml:space="preserve">Documento explicativo · Grupo Municipal Socialista de Santa Fe · Agosto de 2026</w:t>
      </w:r>
    </w:p>
    <w:p>
      <w:pPr>
        <w:pStyle w:val="Heading1"/>
        <w:spacing w:after="120" w:before="320"/>
      </w:pPr>
      <w:r>
        <w:rPr>
          <w:rFonts w:ascii="Calibri" w:cs="Calibri" w:eastAsia="Calibri" w:hAnsi="Calibri"/>
          <w:b/>
          <w:bCs/>
          <w:color w:val="16202B"/>
          <w:sz w:val="28"/>
          <w:szCs w:val="28"/>
        </w:rPr>
        <w:t xml:space="preserve">1. El problema</w:t>
      </w:r>
    </w:p>
    <w:p>
      <w:pPr>
        <w:spacing w:after="140" w:line="276"/>
      </w:pPr>
      <w:r>
        <w:rPr>
          <w:rFonts w:ascii="Calibri" w:cs="Calibri" w:eastAsia="Calibri" w:hAnsi="Calibri"/>
          <w:color w:val="000000"/>
          <w:sz w:val="21"/>
          <w:szCs w:val="21"/>
        </w:rPr>
        <w:t xml:space="preserve">Un concejal de la oposición recibe cada mes una remesa de decretos de Alcaldía. En Santa Fe la serie de 2023 supera los ciento sesenta. Cada uno es un PDF de entre dos y quince páginas, redactado en lenguaje administrativo, con la información relevante —el importe, el proveedor, el motivo del reparo, la aplicación presupuestaria— enterrada entre fórmulas jurídicas repetidas.</w:t>
      </w:r>
    </w:p>
    <w:p>
      <w:pPr>
        <w:spacing w:after="140" w:line="276"/>
      </w:pPr>
      <w:r>
        <w:rPr>
          <w:rFonts w:ascii="Calibri" w:cs="Calibri" w:eastAsia="Calibri" w:hAnsi="Calibri"/>
          <w:color w:val="000000"/>
          <w:sz w:val="21"/>
          <w:szCs w:val="21"/>
        </w:rPr>
        <w:t xml:space="preserve">Leerlos todos es materialmente inviable con dedicación parcial. Y quien no los lee no fiscaliza: se limita a reaccionar a lo que el gobierno decide contar.</w:t>
      </w:r>
    </w:p>
    <w:p>
      <w:pPr>
        <w:spacing w:after="140" w:line="276"/>
      </w:pPr>
      <w:r>
        <w:rPr>
          <w:rFonts w:ascii="Calibri" w:cs="Calibri" w:eastAsia="Calibri" w:hAnsi="Calibri"/>
          <w:color w:val="000000"/>
          <w:sz w:val="21"/>
          <w:szCs w:val="21"/>
        </w:rPr>
        <w:t xml:space="preserve">Hay un segundo problema, menos evidente y más importante. Lo que sirve para fiscalizar casi nunca está en un decreto. Un contrato menor es un trámite ordinario. El mismo contrato menor con el mismo proveedor doce meses seguidos es un incumplimiento del artículo 118.1 de la Ley de Contratos del Sector Público. Un reparo de Intervención es una discrepancia técnica. El mismo reparo repetido durante tres años es una decisión política sostenida.</w:t>
      </w:r>
    </w:p>
    <w:p>
      <w:pPr>
        <w:spacing w:after="140" w:line="276"/>
      </w:pPr>
      <w:r>
        <w:rPr>
          <w:rFonts w:ascii="Calibri" w:cs="Calibri" w:eastAsia="Calibri" w:hAnsi="Calibri"/>
          <w:b/>
          <w:bCs/>
          <w:color w:val="000000"/>
          <w:sz w:val="21"/>
          <w:szCs w:val="21"/>
        </w:rPr>
        <w:t xml:space="preserve">El hallazgo está en la serie, y la serie no la ve nadie porque nadie tiene tiempo de reconstruirla a mano.</w:t>
      </w:r>
    </w:p>
    <w:p>
      <w:pPr>
        <w:pStyle w:val="Heading1"/>
        <w:spacing w:after="120" w:before="320"/>
      </w:pPr>
      <w:r>
        <w:rPr>
          <w:rFonts w:ascii="Calibri" w:cs="Calibri" w:eastAsia="Calibri" w:hAnsi="Calibri"/>
          <w:b/>
          <w:bCs/>
          <w:color w:val="16202B"/>
          <w:sz w:val="28"/>
          <w:szCs w:val="28"/>
        </w:rPr>
        <w:t xml:space="preserve">2. Qué hemos construido</w:t>
      </w:r>
    </w:p>
    <w:p>
      <w:pPr>
        <w:spacing w:after="140" w:line="276"/>
      </w:pPr>
      <w:r>
        <w:rPr>
          <w:rFonts w:ascii="Calibri" w:cs="Calibri" w:eastAsia="Calibri" w:hAnsi="Calibri"/>
          <w:color w:val="000000"/>
          <w:sz w:val="21"/>
          <w:szCs w:val="21"/>
        </w:rPr>
        <w:t xml:space="preserve">Una herramienta web que hace tres cosas:</w:t>
      </w:r>
    </w:p>
    <w:p>
      <w:pPr>
        <w:pStyle w:val="ListParagraph"/>
        <w:numPr>
          <w:ilvl w:val="0"/>
          <w:numId w:val="1"/>
        </w:numPr>
        <w:spacing w:after="80" w:line="276"/>
      </w:pPr>
      <w:r>
        <w:rPr>
          <w:rFonts w:ascii="Calibri" w:cs="Calibri" w:eastAsia="Calibri" w:hAnsi="Calibri"/>
          <w:sz w:val="21"/>
          <w:szCs w:val="21"/>
        </w:rPr>
        <w:t xml:space="preserve">Resume. Se le sueltan los decretos y devuelve una ficha técnica por cada uno: número, expediente, objeto, fecha, firmante, importe, aplicaciones presupuestarias, terceros y motivos del reparo. Neutra, sin interpretación, con los datos ausentes declarados expresamente como no constantes.</w:t>
      </w:r>
    </w:p>
    <w:p>
      <w:pPr>
        <w:pStyle w:val="ListParagraph"/>
        <w:numPr>
          <w:ilvl w:val="0"/>
          <w:numId w:val="1"/>
        </w:numPr>
        <w:spacing w:after="80" w:line="276"/>
      </w:pPr>
      <w:r>
        <w:rPr>
          <w:rFonts w:ascii="Calibri" w:cs="Calibri" w:eastAsia="Calibri" w:hAnsi="Calibri"/>
          <w:sz w:val="21"/>
          <w:szCs w:val="21"/>
        </w:rPr>
        <w:t xml:space="preserve">Señala. En documento aparte y etiquetado como criterio editorial, indica qué merece una pregunta: con la norma en que se apoya, la pregunta ya formulada para el pleno, la réplica previsible del equipo de gobierno y una propuesta alternativa en positivo.</w:t>
      </w:r>
    </w:p>
    <w:p>
      <w:pPr>
        <w:pStyle w:val="ListParagraph"/>
        <w:numPr>
          <w:ilvl w:val="0"/>
          <w:numId w:val="1"/>
        </w:numPr>
        <w:spacing w:after="80" w:line="276"/>
      </w:pPr>
      <w:r>
        <w:rPr>
          <w:rFonts w:ascii="Calibri" w:cs="Calibri" w:eastAsia="Calibri" w:hAnsi="Calibri"/>
          <w:sz w:val="21"/>
          <w:szCs w:val="21"/>
        </w:rPr>
        <w:t xml:space="preserve">Acumula. Guarda las fichas en un registro local y detecta lo que no se ve documento a documento: proveedores recurrentes, motivos de reparo que se repiten, posibles fraccionamientos de contrato y saltos en la numeración de la serie.</w:t>
      </w:r>
    </w:p>
    <w:p>
      <w:pPr>
        <w:pStyle w:val="Heading1"/>
        <w:spacing w:after="120" w:before="320"/>
      </w:pPr>
      <w:r>
        <w:rPr>
          <w:rFonts w:ascii="Calibri" w:cs="Calibri" w:eastAsia="Calibri" w:hAnsi="Calibri"/>
          <w:b/>
          <w:bCs/>
          <w:color w:val="16202B"/>
          <w:sz w:val="28"/>
          <w:szCs w:val="28"/>
        </w:rPr>
        <w:t xml:space="preserve">3. La decisión técnica que lo condiciona todo</w:t>
      </w:r>
    </w:p>
    <w:p>
      <w:pPr>
        <w:spacing w:after="140" w:line="276"/>
      </w:pPr>
      <w:r>
        <w:rPr>
          <w:rFonts w:ascii="Calibri" w:cs="Calibri" w:eastAsia="Calibri" w:hAnsi="Calibri"/>
          <w:color w:val="000000"/>
          <w:sz w:val="21"/>
          <w:szCs w:val="21"/>
        </w:rPr>
        <w:t xml:space="preserve">Los decretos municipales contienen datos personales reales de vecinos. No es una hipótesis: en un solo decreto de ordenación de pagos del Ayuntamiento de Santa Fe aparecen nombres completos de personas perceptoras de ayudas de atención social básica, del programa extraordinario de urgencia y del programa provincial de intervención familiar, cada una con su número de expediente. Son documentos públicos, pero eso no convierte en aceptable subirlos a un servidor de terceros.</w:t>
      </w:r>
    </w:p>
    <w:p>
      <w:pPr>
        <w:spacing w:after="140" w:line="276"/>
      </w:pPr>
      <w:r>
        <w:rPr>
          <w:rFonts w:ascii="Calibri" w:cs="Calibri" w:eastAsia="Calibri" w:hAnsi="Calibri"/>
          <w:b/>
          <w:bCs/>
          <w:color w:val="000000"/>
          <w:sz w:val="21"/>
          <w:szCs w:val="21"/>
        </w:rPr>
        <w:t xml:space="preserve">Por eso la herramienta no tiene servidor. Todo el procesamiento —lectura del PDF, extracción, anonimización, clasificación y alertas— ocurre dentro del navegador de quien la usa. No hay cuentas, no hay base de datos remota, no hay copia. Los documentos no salen del equipo.</w:t>
      </w:r>
    </w:p>
    <w:p>
      <w:pPr>
        <w:spacing w:after="140" w:line="276"/>
      </w:pPr>
      <w:r>
        <w:rPr>
          <w:rFonts w:ascii="Calibri" w:cs="Calibri" w:eastAsia="Calibri" w:hAnsi="Calibri"/>
          <w:color w:val="000000"/>
          <w:sz w:val="21"/>
          <w:szCs w:val="21"/>
        </w:rPr>
        <w:t xml:space="preserve">Esto tiene una consecuencia y conviene decirla sin adornos: una herramienta que no envía nada a ningún modelo de lenguaje no puede razonar. Detecta lo que se le ha enseñado a detectar y nada más. Esa limitación es real y es el precio de la garantía de privacidad. El documento de arquitectura detalla una segunda variante que sí incorpora razonamiento, enviando únicamente texto previamente anonimizado en el propio navegador.</w:t>
      </w:r>
    </w:p>
    <w:p>
      <w:pPr>
        <w:pStyle w:val="Heading1"/>
        <w:spacing w:after="120" w:before="320"/>
      </w:pPr>
      <w:r>
        <w:rPr>
          <w:rFonts w:ascii="Calibri" w:cs="Calibri" w:eastAsia="Calibri" w:hAnsi="Calibri"/>
          <w:b/>
          <w:bCs/>
          <w:color w:val="16202B"/>
          <w:sz w:val="28"/>
          <w:szCs w:val="28"/>
        </w:rPr>
        <w:t xml:space="preserve">4. Cómo se han construido las alertas</w:t>
      </w:r>
    </w:p>
    <w:p>
      <w:pPr>
        <w:spacing w:after="140" w:line="276"/>
      </w:pPr>
      <w:r>
        <w:rPr>
          <w:rFonts w:ascii="Calibri" w:cs="Calibri" w:eastAsia="Calibri" w:hAnsi="Calibri"/>
          <w:color w:val="000000"/>
          <w:sz w:val="21"/>
          <w:szCs w:val="21"/>
        </w:rPr>
        <w:t xml:space="preserve">No están inventadas. Salen de leer los decretos reales del Ayuntamiento y de identificar los motivos que el propio Interventor formula, con su literalidad:</w:t>
      </w:r>
    </w:p>
    <w:p>
      <w:pPr>
        <w:pStyle w:val="ListParagraph"/>
        <w:numPr>
          <w:ilvl w:val="0"/>
          <w:numId w:val="1"/>
        </w:numPr>
        <w:spacing w:after="80" w:line="276"/>
      </w:pPr>
      <w:r>
        <w:rPr>
          <w:rFonts w:ascii="Calibri" w:cs="Calibri" w:eastAsia="Calibri" w:hAnsi="Calibri"/>
          <w:sz w:val="21"/>
          <w:szCs w:val="21"/>
        </w:rPr>
        <w:t xml:space="preserve">Prestaciones de carácter recurrente tramitadas como contrato menor.</w:t>
      </w:r>
    </w:p>
    <w:p>
      <w:pPr>
        <w:pStyle w:val="ListParagraph"/>
        <w:numPr>
          <w:ilvl w:val="0"/>
          <w:numId w:val="1"/>
        </w:numPr>
        <w:spacing w:after="80" w:line="276"/>
      </w:pPr>
      <w:r>
        <w:rPr>
          <w:rFonts w:ascii="Calibri" w:cs="Calibri" w:eastAsia="Calibri" w:hAnsi="Calibri"/>
          <w:sz w:val="21"/>
          <w:szCs w:val="21"/>
        </w:rPr>
        <w:t xml:space="preserve">Ausencia de procedimiento de licitación y falta del informe justificativo exigido por el artículo 118.1 de la LCSP.</w:t>
      </w:r>
    </w:p>
    <w:p>
      <w:pPr>
        <w:pStyle w:val="ListParagraph"/>
        <w:numPr>
          <w:ilvl w:val="0"/>
          <w:numId w:val="1"/>
        </w:numPr>
        <w:spacing w:after="80" w:line="276"/>
      </w:pPr>
      <w:r>
        <w:rPr>
          <w:rFonts w:ascii="Calibri" w:cs="Calibri" w:eastAsia="Calibri" w:hAnsi="Calibri"/>
          <w:sz w:val="21"/>
          <w:szCs w:val="21"/>
        </w:rPr>
        <w:t xml:space="preserve">Incumplimiento de las instrucciones internas 1/2018 y 1/2019 del propio Ayuntamiento.</w:t>
      </w:r>
    </w:p>
    <w:p>
      <w:pPr>
        <w:pStyle w:val="ListParagraph"/>
        <w:numPr>
          <w:ilvl w:val="0"/>
          <w:numId w:val="1"/>
        </w:numPr>
        <w:spacing w:after="80" w:line="276"/>
      </w:pPr>
      <w:r>
        <w:rPr>
          <w:rFonts w:ascii="Calibri" w:cs="Calibri" w:eastAsia="Calibri" w:hAnsi="Calibri"/>
          <w:sz w:val="21"/>
          <w:szCs w:val="21"/>
        </w:rPr>
        <w:t xml:space="preserve">Advertencias ya formuladas en informes de Secretaría de 2015 y 2018 que siguen sin corregirse.</w:t>
      </w:r>
    </w:p>
    <w:p>
      <w:pPr>
        <w:pStyle w:val="ListParagraph"/>
        <w:numPr>
          <w:ilvl w:val="0"/>
          <w:numId w:val="1"/>
        </w:numPr>
        <w:spacing w:after="80" w:line="276"/>
      </w:pPr>
      <w:r>
        <w:rPr>
          <w:rFonts w:ascii="Calibri" w:cs="Calibri" w:eastAsia="Calibri" w:hAnsi="Calibri"/>
          <w:sz w:val="21"/>
          <w:szCs w:val="21"/>
        </w:rPr>
        <w:t xml:space="preserve">Irregularidades en la asignación de trabajo del personal, en los contratos laborales y en los complementos personales.</w:t>
      </w:r>
    </w:p>
    <w:p>
      <w:pPr>
        <w:pStyle w:val="ListParagraph"/>
        <w:numPr>
          <w:ilvl w:val="0"/>
          <w:numId w:val="1"/>
        </w:numPr>
        <w:spacing w:after="80" w:line="276"/>
      </w:pPr>
      <w:r>
        <w:rPr>
          <w:rFonts w:ascii="Calibri" w:cs="Calibri" w:eastAsia="Calibri" w:hAnsi="Calibri"/>
          <w:sz w:val="21"/>
          <w:szCs w:val="21"/>
        </w:rPr>
        <w:t xml:space="preserve">Asunción de gastos de servicios que no son competencia municipal.</w:t>
      </w:r>
    </w:p>
    <w:p>
      <w:pPr>
        <w:pStyle w:val="ListParagraph"/>
        <w:numPr>
          <w:ilvl w:val="0"/>
          <w:numId w:val="1"/>
        </w:numPr>
        <w:spacing w:after="80" w:line="276"/>
      </w:pPr>
      <w:r>
        <w:rPr>
          <w:rFonts w:ascii="Calibri" w:cs="Calibri" w:eastAsia="Calibri" w:hAnsi="Calibri"/>
          <w:sz w:val="21"/>
          <w:szCs w:val="21"/>
        </w:rPr>
        <w:t xml:space="preserve">Incumplimiento de la prelación legal de pagos, ausencia de plan de disposición de fondos y de plan de tesorería, periodo medio de pago incumplido y devengo de intereses de demora.</w:t>
      </w:r>
    </w:p>
    <w:p>
      <w:pPr>
        <w:pStyle w:val="ListParagraph"/>
        <w:numPr>
          <w:ilvl w:val="0"/>
          <w:numId w:val="1"/>
        </w:numPr>
        <w:spacing w:after="80" w:line="276"/>
      </w:pPr>
      <w:r>
        <w:rPr>
          <w:rFonts w:ascii="Calibri" w:cs="Calibri" w:eastAsia="Calibri" w:hAnsi="Calibri"/>
          <w:sz w:val="21"/>
          <w:szCs w:val="21"/>
        </w:rPr>
        <w:t xml:space="preserve">Sentencias firmes con importes pendientes de contabilización.</w:t>
      </w:r>
    </w:p>
    <w:p>
      <w:pPr>
        <w:spacing w:after="140" w:line="276"/>
      </w:pPr>
      <w:r>
        <w:rPr>
          <w:rFonts w:ascii="Calibri" w:cs="Calibri" w:eastAsia="Calibri" w:hAnsi="Calibri"/>
          <w:b/>
          <w:bCs/>
          <w:color w:val="000000"/>
          <w:sz w:val="21"/>
          <w:szCs w:val="21"/>
        </w:rPr>
        <w:t xml:space="preserve">Cada alerta lleva la norma que la sostiene. La firmeza viene del dato, no del tono.</w:t>
      </w:r>
    </w:p>
    <w:p>
      <w:pPr>
        <w:pStyle w:val="Heading1"/>
        <w:spacing w:after="120" w:before="320"/>
      </w:pPr>
      <w:r>
        <w:rPr>
          <w:rFonts w:ascii="Calibri" w:cs="Calibri" w:eastAsia="Calibri" w:hAnsi="Calibri"/>
          <w:b/>
          <w:bCs/>
          <w:color w:val="16202B"/>
          <w:sz w:val="28"/>
          <w:szCs w:val="28"/>
        </w:rPr>
        <w:t xml:space="preserve">5. La advertencia que hay que leer dos veces</w:t>
      </w:r>
    </w:p>
    <w:p>
      <w:pPr>
        <w:spacing w:after="140" w:line="276"/>
      </w:pPr>
      <w:r>
        <w:rPr>
          <w:rFonts w:ascii="Calibri" w:cs="Calibri" w:eastAsia="Calibri" w:hAnsi="Calibri"/>
          <w:color w:val="000000"/>
          <w:sz w:val="21"/>
          <w:szCs w:val="21"/>
        </w:rPr>
        <w:t xml:space="preserve">Al calibrar la herramienta con los decretos reales apareció esto:</w:t>
      </w:r>
    </w:p>
    <w:p>
      <w:pPr>
        <w:pBdr>
          <w:left w:val="single" w:color="9B2C2C" w:sz="18" w:space="12"/>
        </w:pBdr>
        <w:spacing w:after="160" w:before="140" w:line="276"/>
        <w:ind w:left="400"/>
      </w:pPr>
      <w:r>
        <w:rPr>
          <w:rFonts w:ascii="Calibri" w:cs="Calibri" w:eastAsia="Calibri" w:hAnsi="Calibri"/>
          <w:i/>
          <w:iCs/>
          <w:color w:val="4A2020"/>
          <w:sz w:val="21"/>
          <w:szCs w:val="21"/>
        </w:rPr>
        <w:t xml:space="preserve">El reparo de la nómina de enero de 2023 lo firma la Alcaldesa. El de noviembre de 2023 lo firma el Alcalde. El texto del reparo es idéntico, palabra por palabra: los mismos cinco puntos del Interventor, la misma defensa de la Junta de Gobierno basada en una RPT en elaboración, el mismo levantamiento por el artículo 217.</w:t>
      </w:r>
    </w:p>
    <w:p>
      <w:pPr>
        <w:spacing w:after="140" w:line="276"/>
      </w:pPr>
      <w:r>
        <w:rPr>
          <w:rFonts w:ascii="Calibri" w:cs="Calibri" w:eastAsia="Calibri" w:hAnsi="Calibri"/>
          <w:color w:val="000000"/>
          <w:sz w:val="21"/>
          <w:szCs w:val="21"/>
        </w:rPr>
        <w:t xml:space="preserve">Es decir: una parte sustancial de las irregularidades que el Interventor viene señalando no son de este gobierno, son del Ayuntamiento, y se producen bajo administraciones de distinto color. Lo mismo ocurre con la prórroga presupuestaria y con buena parte de la contratación recurrente.</w:t>
      </w:r>
    </w:p>
    <w:p>
      <w:pPr>
        <w:spacing w:after="140" w:line="276"/>
      </w:pPr>
      <w:r>
        <w:rPr>
          <w:rFonts w:ascii="Calibri" w:cs="Calibri" w:eastAsia="Calibri" w:hAnsi="Calibri"/>
          <w:color w:val="000000"/>
          <w:sz w:val="21"/>
          <w:szCs w:val="21"/>
        </w:rPr>
        <w:t xml:space="preserve">Una herramienta que se limitara a marcar banderas rojas sería, en este contexto, un arma cargada apuntando hacia dentro. Por eso el sistema:</w:t>
      </w:r>
    </w:p>
    <w:p>
      <w:pPr>
        <w:pStyle w:val="ListParagraph"/>
        <w:numPr>
          <w:ilvl w:val="0"/>
          <w:numId w:val="1"/>
        </w:numPr>
        <w:spacing w:after="80" w:line="276"/>
      </w:pPr>
      <w:r>
        <w:rPr>
          <w:rFonts w:ascii="Calibri" w:cs="Calibri" w:eastAsia="Calibri" w:hAnsi="Calibri"/>
          <w:sz w:val="21"/>
          <w:szCs w:val="21"/>
        </w:rPr>
        <w:t xml:space="preserve">Atribuye cada decreto a su firmante y a su mandato antes de evaluar nada. Es un campo de primera clase, no una nota al pie.</w:t>
      </w:r>
    </w:p>
    <w:p>
      <w:pPr>
        <w:pStyle w:val="ListParagraph"/>
        <w:numPr>
          <w:ilvl w:val="0"/>
          <w:numId w:val="1"/>
        </w:numPr>
        <w:spacing w:after="80" w:line="276"/>
      </w:pPr>
      <w:r>
        <w:rPr>
          <w:rFonts w:ascii="Calibri" w:cs="Calibri" w:eastAsia="Calibri" w:hAnsi="Calibri"/>
          <w:sz w:val="21"/>
          <w:szCs w:val="21"/>
        </w:rPr>
        <w:t xml:space="preserve">Marca como «doble filo» toda alerta que se active también con decretos de gobiernos anteriores, con aviso explícito en pantalla y en el documento exportado.</w:t>
      </w:r>
    </w:p>
    <w:p>
      <w:pPr>
        <w:pStyle w:val="ListParagraph"/>
        <w:numPr>
          <w:ilvl w:val="0"/>
          <w:numId w:val="1"/>
        </w:numPr>
        <w:spacing w:after="80" w:line="276"/>
      </w:pPr>
      <w:r>
        <w:rPr>
          <w:rFonts w:ascii="Calibri" w:cs="Calibri" w:eastAsia="Calibri" w:hAnsi="Calibri"/>
          <w:sz w:val="21"/>
          <w:szCs w:val="21"/>
        </w:rPr>
        <w:t xml:space="preserve">Detecta expresamente la continuidad estructural entre mandatos y, cuando la encuentra, lo dice sin ambages: no uses esto como ataque.</w:t>
      </w:r>
    </w:p>
    <w:p>
      <w:pPr>
        <w:pStyle w:val="ListParagraph"/>
        <w:numPr>
          <w:ilvl w:val="0"/>
          <w:numId w:val="1"/>
        </w:numPr>
        <w:spacing w:after="80" w:line="276"/>
      </w:pPr>
      <w:r>
        <w:rPr>
          <w:rFonts w:ascii="Calibri" w:cs="Calibri" w:eastAsia="Calibri" w:hAnsi="Calibri"/>
          <w:sz w:val="21"/>
          <w:szCs w:val="21"/>
        </w:rPr>
        <w:t xml:space="preserve">Registra el argumento de la herencia recibida cuando aparece en el propio decreto, porque es la réplica que se va a recibir y conviene tenerla anticipada.</w:t>
      </w:r>
    </w:p>
    <w:p>
      <w:pPr>
        <w:spacing w:after="140" w:line="276"/>
      </w:pPr>
      <w:r>
        <w:rPr>
          <w:rFonts w:ascii="Calibri" w:cs="Calibri" w:eastAsia="Calibri" w:hAnsi="Calibri"/>
          <w:color w:val="000000"/>
          <w:sz w:val="21"/>
          <w:szCs w:val="21"/>
        </w:rPr>
        <w:t xml:space="preserve">Esto no debilita la fiscalización: la hace utilizable. Un problema estructural planteado como problema estructural, con propuesta de solución encima de la mesa, sitúa a quien lo plantea por encima del reproche partidista. Planteado como reproche, se devuelve en veinte segundos.</w:t>
      </w:r>
    </w:p>
    <w:p>
      <w:pPr>
        <w:pStyle w:val="Heading1"/>
        <w:spacing w:after="120" w:before="320"/>
      </w:pPr>
      <w:r>
        <w:rPr>
          <w:rFonts w:ascii="Calibri" w:cs="Calibri" w:eastAsia="Calibri" w:hAnsi="Calibri"/>
          <w:b/>
          <w:bCs/>
          <w:color w:val="16202B"/>
          <w:sz w:val="28"/>
          <w:szCs w:val="28"/>
        </w:rPr>
        <w:t xml:space="preserve">6. Segundo hallazgo: el mandato 2019–2023 tuvo dos alcaldías, no una</w:t>
      </w:r>
    </w:p>
    <w:p>
      <w:pPr>
        <w:spacing w:after="140" w:line="276"/>
      </w:pPr>
      <w:r>
        <w:rPr>
          <w:rFonts w:ascii="Calibri" w:cs="Calibri" w:eastAsia="Calibri" w:hAnsi="Calibri"/>
          <w:color w:val="000000"/>
          <w:sz w:val="21"/>
          <w:szCs w:val="21"/>
        </w:rPr>
        <w:t xml:space="preserve">Calibrando el extractor de facturas contra decretos reales de 2022 apareció algo que la primera versión de esta herramienta tenía mal: un decreto de julio de 2022 lo firma «Manuel Alberto Gil Corral, Alcalde», no Patricia Carrasco Flores.</w:t>
      </w:r>
    </w:p>
    <w:p>
      <w:pPr>
        <w:spacing w:after="140" w:line="276"/>
      </w:pPr>
      <w:r>
        <w:rPr>
          <w:rFonts w:ascii="Calibri" w:cs="Calibri" w:eastAsia="Calibri" w:hAnsi="Calibri"/>
          <w:color w:val="000000"/>
          <w:sz w:val="21"/>
          <w:szCs w:val="21"/>
        </w:rPr>
        <w:t xml:space="preserve">Verificado por prensa (El Independiente de Granada, La Voz de Granada, 20 de enero de 2023): Gil Corral fue alcalde desde la constitución de la corporación en 2019 y renunció el 19 de enero de 2023, tras cumplir su compromiso de ejercer solo dos legislaturas. Carrasco —entonces segunda teniente de alcalde y concejala de Hacienda— tomó posesión al día siguiente, el 20 de enero de 2023, en un relevo interno del propio PSOE. No fue una moción de censura: fue un traspaso pactado dentro del grupo.</w:t>
      </w:r>
    </w:p>
    <w:p>
      <w:pPr>
        <w:spacing w:after="140" w:line="276"/>
      </w:pPr>
      <w:r>
        <w:rPr>
          <w:rFonts w:ascii="Calibri" w:cs="Calibri" w:eastAsia="Calibri" w:hAnsi="Calibri"/>
          <w:b/>
          <w:bCs/>
          <w:color w:val="000000"/>
          <w:sz w:val="21"/>
          <w:szCs w:val="21"/>
        </w:rPr>
        <w:t xml:space="preserve">La consecuencia práctica: de los casi cuatro años del mandato 2019–2023, Gil Corral firmó unos tres años y medio, y Carrasco Flores solo los últimos cinco meses.</w:t>
      </w:r>
    </w:p>
    <w:p>
      <w:pPr>
        <w:spacing w:after="140" w:line="276"/>
      </w:pPr>
      <w:r>
        <w:rPr>
          <w:rFonts w:ascii="Calibri" w:cs="Calibri" w:eastAsia="Calibri" w:hAnsi="Calibri"/>
          <w:color w:val="000000"/>
          <w:sz w:val="21"/>
          <w:szCs w:val="21"/>
        </w:rPr>
        <w:t xml:space="preserve">Una versión de la herramienta que tratara todo ese mandato como «Carrasco Flores» habría atribuido mal la inmensa mayoría de esos decretos. Como el mecanismo de doble filo depende enteramente de saber quién firmó qué, un error de atribución ahí no es un detalle estético: es justo el fallo que ese mecanismo de seguridad existe para evitar. La tabla de mandatos ahora admite varias alcaldías por mandato, cada una con su propio rango de fechas; la atribución se resuelve primero por alcaldía —quién firmaba ese día— y el mandato se deriva de ahí, nunca al revés.</w:t>
      </w:r>
    </w:p>
    <w:p>
      <w:pPr>
        <w:pStyle w:val="Heading1"/>
        <w:spacing w:after="120" w:before="320"/>
      </w:pPr>
      <w:r>
        <w:rPr>
          <w:rFonts w:ascii="Calibri" w:cs="Calibri" w:eastAsia="Calibri" w:hAnsi="Calibri"/>
          <w:b/>
          <w:bCs/>
          <w:color w:val="16202B"/>
          <w:sz w:val="28"/>
          <w:szCs w:val="28"/>
        </w:rPr>
        <w:t xml:space="preserve">7. Verificación con decretos reales: qué se ha corregido</w:t>
      </w:r>
    </w:p>
    <w:p>
      <w:pPr>
        <w:spacing w:after="140" w:line="276"/>
      </w:pPr>
      <w:r>
        <w:rPr>
          <w:rFonts w:ascii="Calibri" w:cs="Calibri" w:eastAsia="Calibri" w:hAnsi="Calibri"/>
          <w:color w:val="000000"/>
          <w:sz w:val="21"/>
          <w:szCs w:val="21"/>
        </w:rPr>
        <w:t xml:space="preserve">Esta revisión se ha hecho expresamente contra una muestra más amplia y más diversa de decretos reales —incluyendo decretos de «ordenación de pagos» de 2022 con un formato de tabla que la primera versión no leía en absoluto— y ha corregido, entre otras cosas:</w:t>
      </w:r>
    </w:p>
    <w:p>
      <w:pPr>
        <w:pStyle w:val="ListParagraph"/>
        <w:numPr>
          <w:ilvl w:val="0"/>
          <w:numId w:val="1"/>
        </w:numPr>
        <w:spacing w:after="80" w:line="276"/>
      </w:pPr>
      <w:r>
        <w:rPr>
          <w:rFonts w:ascii="Calibri" w:cs="Calibri" w:eastAsia="Calibri" w:hAnsi="Calibri"/>
          <w:sz w:val="21"/>
          <w:szCs w:val="21"/>
        </w:rPr>
        <w:t xml:space="preserve">Un cuarto formato de tabla («Nº Operación / Fase / Importe / Saldo») que dejaba esos decretos sin una sola factura extraída.</w:t>
      </w:r>
    </w:p>
    <w:p>
      <w:pPr>
        <w:pStyle w:val="ListParagraph"/>
        <w:numPr>
          <w:ilvl w:val="0"/>
          <w:numId w:val="1"/>
        </w:numPr>
        <w:spacing w:after="80" w:line="276"/>
      </w:pPr>
      <w:r>
        <w:rPr>
          <w:rFonts w:ascii="Calibri" w:cs="Calibri" w:eastAsia="Calibri" w:hAnsi="Calibri"/>
          <w:sz w:val="21"/>
          <w:szCs w:val="21"/>
        </w:rPr>
        <w:t xml:space="preserve">Cuatro categorías de línea que no son «proveedor»: ayudas sociales, devoluciones de fianzas e ICIO, remesas tributarias obligatorias (IRPF, Seguridad Social) y dietas o kilometraje de cargos y personal. Sin distinguirlas, una devolución de fianza a un vecino se habría contado como una compra a un proveedor.</w:t>
      </w:r>
    </w:p>
    <w:p>
      <w:pPr>
        <w:pStyle w:val="ListParagraph"/>
        <w:numPr>
          <w:ilvl w:val="0"/>
          <w:numId w:val="1"/>
        </w:numPr>
        <w:spacing w:after="80" w:line="276"/>
      </w:pPr>
      <w:r>
        <w:rPr>
          <w:rFonts w:ascii="Calibri" w:cs="Calibri" w:eastAsia="Calibri" w:hAnsi="Calibri"/>
          <w:sz w:val="21"/>
          <w:szCs w:val="21"/>
        </w:rPr>
        <w:t xml:space="preserve">Una alcaldía sin proteger: Manuel Alberto Gil Corral no estaba en la lista de cargos públicos, así que su propio nombre se anonimizaba en los decretos que él mismo firmaba.</w:t>
      </w:r>
    </w:p>
    <w:p>
      <w:pPr>
        <w:pStyle w:val="ListParagraph"/>
        <w:numPr>
          <w:ilvl w:val="0"/>
          <w:numId w:val="1"/>
        </w:numPr>
        <w:spacing w:after="80" w:line="276"/>
      </w:pPr>
      <w:r>
        <w:rPr>
          <w:rFonts w:ascii="Calibri" w:cs="Calibri" w:eastAsia="Calibri" w:hAnsi="Calibri"/>
          <w:sz w:val="21"/>
          <w:szCs w:val="21"/>
        </w:rPr>
        <w:t xml:space="preserve">La distinción entre «ordenación de pagos» y «aprobación de gasto», dos procedimientos legalmente distintos que un primer intento de corrección había aplastado en uno solo.</w:t>
      </w:r>
    </w:p>
    <w:p>
      <w:pPr>
        <w:spacing w:after="140" w:line="276"/>
      </w:pPr>
      <w:r>
        <w:rPr>
          <w:rFonts w:ascii="Calibri" w:cs="Calibri" w:eastAsia="Calibri" w:hAnsi="Calibri"/>
          <w:color w:val="000000"/>
          <w:sz w:val="21"/>
          <w:szCs w:val="21"/>
        </w:rPr>
        <w:t xml:space="preserve">La versión actual está verificada contra nueve decretos reales, de tres alcaldías y cuatro formatos de tabla distintos, con 46 comprobaciones automáticas en verde.</w:t>
      </w:r>
    </w:p>
    <w:p>
      <w:pPr>
        <w:pStyle w:val="Heading1"/>
        <w:spacing w:after="120" w:before="320"/>
      </w:pPr>
      <w:r>
        <w:rPr>
          <w:rFonts w:ascii="Calibri" w:cs="Calibri" w:eastAsia="Calibri" w:hAnsi="Calibri"/>
          <w:b/>
          <w:bCs/>
          <w:color w:val="16202B"/>
          <w:sz w:val="28"/>
          <w:szCs w:val="28"/>
        </w:rPr>
        <w:t xml:space="preserve">8. Lo que la herramienta no hace</w:t>
      </w:r>
    </w:p>
    <w:p>
      <w:pPr>
        <w:spacing w:after="140" w:line="276"/>
      </w:pPr>
      <w:r>
        <w:rPr>
          <w:rFonts w:ascii="Calibri" w:cs="Calibri" w:eastAsia="Calibri" w:hAnsi="Calibri"/>
          <w:color w:val="000000"/>
          <w:sz w:val="21"/>
          <w:szCs w:val="21"/>
        </w:rPr>
        <w:t xml:space="preserve">Conviene ser explícito, porque la tentación de confiar de más es real.</w:t>
      </w:r>
    </w:p>
    <w:p>
      <w:pPr>
        <w:pStyle w:val="ListParagraph"/>
        <w:numPr>
          <w:ilvl w:val="0"/>
          <w:numId w:val="1"/>
        </w:numPr>
        <w:spacing w:after="80" w:line="276"/>
      </w:pPr>
      <w:r>
        <w:rPr>
          <w:rFonts w:ascii="Calibri" w:cs="Calibri" w:eastAsia="Calibri" w:hAnsi="Calibri"/>
          <w:sz w:val="21"/>
          <w:szCs w:val="21"/>
        </w:rPr>
        <w:t xml:space="preserve">No garantiza la anonimización. El filtro funciona sobre patrones del lenguaje administrativo español. Falla con nombres poco frecuentes y no puede nada contra la identificación indirecta: en un municipio de veinte mil habitantes, «el titular del expediente de urgencia social del tercer trimestre» identifica a alguien aunque no aparezca su nombre. Hay que revisar antes de compartir. Siempre.</w:t>
      </w:r>
    </w:p>
    <w:p>
      <w:pPr>
        <w:pStyle w:val="ListParagraph"/>
        <w:numPr>
          <w:ilvl w:val="0"/>
          <w:numId w:val="1"/>
        </w:numPr>
        <w:spacing w:after="80" w:line="276"/>
      </w:pPr>
      <w:r>
        <w:rPr>
          <w:rFonts w:ascii="Calibri" w:cs="Calibri" w:eastAsia="Calibri" w:hAnsi="Calibri"/>
          <w:sz w:val="21"/>
          <w:szCs w:val="21"/>
        </w:rPr>
        <w:t xml:space="preserve">No lee PDF escaneados. Si el documento es una imagen sin capa de texto, lo dice y no lo procesa.</w:t>
      </w:r>
    </w:p>
    <w:p>
      <w:pPr>
        <w:pStyle w:val="ListParagraph"/>
        <w:numPr>
          <w:ilvl w:val="0"/>
          <w:numId w:val="1"/>
        </w:numPr>
        <w:spacing w:after="80" w:line="276"/>
      </w:pPr>
      <w:r>
        <w:rPr>
          <w:rFonts w:ascii="Calibri" w:cs="Calibri" w:eastAsia="Calibri" w:hAnsi="Calibri"/>
          <w:sz w:val="21"/>
          <w:szCs w:val="21"/>
        </w:rPr>
        <w:t xml:space="preserve">No emite conclusiones. Las alertas son puntos que merecen una pregunta. La diferencia entre «aquí hay una irregularidad» y «esto merece una pregunta en el pleno» es la diferencia entre una acusación y una labor de fiscalización.</w:t>
      </w:r>
    </w:p>
    <w:p>
      <w:pPr>
        <w:pStyle w:val="ListParagraph"/>
        <w:numPr>
          <w:ilvl w:val="0"/>
          <w:numId w:val="1"/>
        </w:numPr>
        <w:spacing w:after="80" w:line="276"/>
      </w:pPr>
      <w:r>
        <w:rPr>
          <w:rFonts w:ascii="Calibri" w:cs="Calibri" w:eastAsia="Calibri" w:hAnsi="Calibri"/>
          <w:sz w:val="21"/>
          <w:szCs w:val="21"/>
        </w:rPr>
        <w:t xml:space="preserve">No sustituye la lectura. La herramienta dice dónde mirar; no exime de mirar.</w:t>
      </w:r>
    </w:p>
    <w:p>
      <w:pPr>
        <w:pStyle w:val="ListParagraph"/>
        <w:numPr>
          <w:ilvl w:val="0"/>
          <w:numId w:val="1"/>
        </w:numPr>
        <w:spacing w:after="80" w:line="276"/>
      </w:pPr>
      <w:r>
        <w:rPr>
          <w:rFonts w:ascii="Calibri" w:cs="Calibri" w:eastAsia="Calibri" w:hAnsi="Calibri"/>
          <w:sz w:val="21"/>
          <w:szCs w:val="21"/>
        </w:rPr>
        <w:t xml:space="preserve">No es un producto. Convertirla en un servicio público para concejales de cualquier municipio exigiría mantenimiento indefinido, soporte y asumir responsabilidad sobre datos de terceros ayuntamientos. Esa decisión no corresponde a una agrupación local.</w:t>
      </w:r>
    </w:p>
    <w:p>
      <w:pPr>
        <w:pStyle w:val="Heading1"/>
        <w:spacing w:after="120" w:before="320"/>
      </w:pPr>
      <w:r>
        <w:rPr>
          <w:rFonts w:ascii="Calibri" w:cs="Calibri" w:eastAsia="Calibri" w:hAnsi="Calibri"/>
          <w:b/>
          <w:bCs/>
          <w:color w:val="16202B"/>
          <w:sz w:val="28"/>
          <w:szCs w:val="28"/>
        </w:rPr>
        <w:t xml:space="preserve">7. Qué aporta al trabajo del grupo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6500"/>
      </w:tblGrid>
      <w:tr>
        <w:tc>
          <w:tcPr>
            <w:tcW w:type="dxa" w:w="1900"/>
            <w:shd w:fill="EDF1EF" w:val="clear"/>
            <w:tcMar>
              <w:top w:type="dxa" w:w="80"/>
              <w:left w:type="dxa" w:w="120"/>
              <w:bottom w:type="dxa" w:w="80"/>
              <w:right w:type="dxa" w:w="120"/>
            </w:tcMar>
          </w:tcPr>
          <w:p>
            <w:pPr>
              <w:spacing w:after="0"/>
            </w:pPr>
            <w:r>
              <w:rPr>
                <w:rFonts w:ascii="Calibri" w:cs="Calibri" w:eastAsia="Calibri" w:hAnsi="Calibri"/>
                <w:b/>
                <w:bCs/>
                <w:color w:val="2F5D50"/>
                <w:sz w:val="19"/>
                <w:szCs w:val="19"/>
              </w:rPr>
              <w:t xml:space="preserve">Aporta</w:t>
            </w:r>
          </w:p>
        </w:tc>
        <w:tc>
          <w:tcPr>
            <w:tcW w:type="dxa" w:w="6500"/>
            <w:shd w:fill="EDF1EF" w:val="clear"/>
            <w:tcMar>
              <w:top w:type="dxa" w:w="80"/>
              <w:left w:type="dxa" w:w="120"/>
              <w:bottom w:type="dxa" w:w="80"/>
              <w:right w:type="dxa" w:w="120"/>
            </w:tcMar>
          </w:tcPr>
          <w:p>
            <w:pPr>
              <w:spacing w:after="0"/>
            </w:pPr>
            <w:r>
              <w:rPr>
                <w:rFonts w:ascii="Calibri" w:cs="Calibri" w:eastAsia="Calibri" w:hAnsi="Calibri"/>
                <w:b/>
                <w:bCs/>
                <w:color w:val="2F5D50"/>
                <w:sz w:val="19"/>
                <w:szCs w:val="19"/>
              </w:rPr>
              <w:t xml:space="preserve">En qué se traduce</w:t>
            </w:r>
          </w:p>
        </w:tc>
      </w:tr>
      <w:tr>
        <w:tc>
          <w:tcPr>
            <w:tcW w:type="dxa" w:w="19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Tiempo</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Una remesa de sesenta decretos pasa de una semana de lectura a una tarde de revisión dirigida.</w:t>
            </w:r>
          </w:p>
        </w:tc>
      </w:tr>
      <w:tr>
        <w:tc>
          <w:tcPr>
            <w:tcW w:type="dxa" w:w="19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Memoria</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El registro convierte tres años de decretos en una serie consultable: permite decir «esto lleva veintitrés meses ocurriendo» en lugar de «esto me suena».</w:t>
            </w:r>
          </w:p>
        </w:tc>
      </w:tr>
      <w:tr>
        <w:tc>
          <w:tcPr>
            <w:tcW w:type="dxa" w:w="19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Rigor</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Cada alerta arrastra su fundamento normativo. Ninguna crítica sale sin norma detrás y sin propuesta delante.</w:t>
            </w:r>
          </w:p>
        </w:tc>
      </w:tr>
      <w:tr>
        <w:tc>
          <w:tcPr>
            <w:tcW w:type="dxa" w:w="19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Seguridad</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00000"/>
                <w:sz w:val="19"/>
                <w:szCs w:val="19"/>
              </w:rPr>
              <w:t xml:space="preserve">Frente a la práctica de reenviar PDF con datos de vecinos por correo o mensajería, es una mejora objetiva del tratamiento de datos personales.</w:t>
            </w:r>
          </w:p>
        </w:tc>
      </w:tr>
    </w:tbl>
    <w:p>
      <w:pPr>
        <w:pStyle w:val="Heading1"/>
        <w:spacing w:after="120" w:before="320"/>
      </w:pPr>
      <w:r>
        <w:rPr>
          <w:rFonts w:ascii="Calibri" w:cs="Calibri" w:eastAsia="Calibri" w:hAnsi="Calibri"/>
          <w:b/>
          <w:bCs/>
          <w:color w:val="16202B"/>
          <w:sz w:val="28"/>
          <w:szCs w:val="28"/>
        </w:rPr>
        <w:t xml:space="preserve">10. Estado y siguientes pasos</w:t>
      </w:r>
    </w:p>
    <w:p>
      <w:pPr>
        <w:spacing w:after="140" w:line="276"/>
      </w:pPr>
      <w:r>
        <w:rPr>
          <w:rFonts w:ascii="Calibri" w:cs="Calibri" w:eastAsia="Calibri" w:hAnsi="Calibri"/>
          <w:color w:val="000000"/>
          <w:sz w:val="21"/>
          <w:szCs w:val="21"/>
        </w:rPr>
        <w:t xml:space="preserve">La versión mínima está construida y verificada contra decretos reales: extrae correctamente expediente, importe, fecha, firmante y mandato, distingue los siete tipos de decreto, detecta quince motivos de reparo distintos y seis patrones de serie.</w:t>
      </w:r>
    </w:p>
    <w:p>
      <w:pPr>
        <w:spacing w:after="140" w:line="276"/>
      </w:pPr>
      <w:r>
        <w:rPr>
          <w:rFonts w:ascii="Calibri" w:cs="Calibri" w:eastAsia="Calibri" w:hAnsi="Calibri"/>
          <w:color w:val="000000"/>
          <w:sz w:val="21"/>
          <w:szCs w:val="21"/>
        </w:rPr>
        <w:t xml:space="preserve">Queda por hacer, por orden:</w:t>
      </w:r>
    </w:p>
    <w:p>
      <w:pPr>
        <w:pStyle w:val="ListParagraph"/>
        <w:numPr>
          <w:ilvl w:val="0"/>
          <w:numId w:val="1"/>
        </w:numPr>
        <w:spacing w:after="80" w:line="276"/>
      </w:pPr>
      <w:r>
        <w:rPr>
          <w:rFonts w:ascii="Calibri" w:cs="Calibri" w:eastAsia="Calibri" w:hAnsi="Calibri"/>
          <w:sz w:val="21"/>
          <w:szCs w:val="21"/>
        </w:rPr>
        <w:t xml:space="preserve">Cargar la serie completa disponible y revisar a mano una muestra para medir la tasa real de acierto de la extracción.</w:t>
      </w:r>
    </w:p>
    <w:p>
      <w:pPr>
        <w:pStyle w:val="ListParagraph"/>
        <w:numPr>
          <w:ilvl w:val="0"/>
          <w:numId w:val="1"/>
        </w:numPr>
        <w:spacing w:after="80" w:line="276"/>
      </w:pPr>
      <w:r>
        <w:rPr>
          <w:rFonts w:ascii="Calibri" w:cs="Calibri" w:eastAsia="Calibri" w:hAnsi="Calibri"/>
          <w:sz w:val="21"/>
          <w:szCs w:val="21"/>
        </w:rPr>
        <w:t xml:space="preserve">Ajustar el catálogo de alertas con el criterio del grupo: quitar las que generen ruido, añadir las que falten.</w:t>
      </w:r>
    </w:p>
    <w:p>
      <w:pPr>
        <w:pStyle w:val="ListParagraph"/>
        <w:numPr>
          <w:ilvl w:val="0"/>
          <w:numId w:val="1"/>
        </w:numPr>
        <w:spacing w:after="80" w:line="276"/>
      </w:pPr>
      <w:r>
        <w:rPr>
          <w:rFonts w:ascii="Calibri" w:cs="Calibri" w:eastAsia="Calibri" w:hAnsi="Calibri"/>
          <w:sz w:val="21"/>
          <w:szCs w:val="21"/>
        </w:rPr>
        <w:t xml:space="preserve">Decidir si se despliega en una dirección web para el resto del grupo o se queda como herramienta de uso individual.</w:t>
      </w:r>
    </w:p>
    <w:p>
      <w:pPr>
        <w:pStyle w:val="ListParagraph"/>
        <w:numPr>
          <w:ilvl w:val="0"/>
          <w:numId w:val="1"/>
        </w:numPr>
        <w:spacing w:after="80" w:line="276"/>
      </w:pPr>
      <w:r>
        <w:rPr>
          <w:rFonts w:ascii="Calibri" w:cs="Calibri" w:eastAsia="Calibri" w:hAnsi="Calibri"/>
          <w:sz w:val="21"/>
          <w:szCs w:val="21"/>
        </w:rPr>
        <w:t xml:space="preserve">Solo después, y solo si el uso lo justifica, valorar la variante con capacidad de razonamiento descrita en el documento de arquitectura.</w:t>
      </w:r>
    </w:p>
    <w:p>
      <w:pPr>
        <w:pStyle w:val="Heading1"/>
        <w:spacing w:after="120" w:before="320"/>
      </w:pPr>
      <w:r>
        <w:rPr>
          <w:rFonts w:ascii="Calibri" w:cs="Calibri" w:eastAsia="Calibri" w:hAnsi="Calibri"/>
          <w:b/>
          <w:bCs/>
          <w:color w:val="16202B"/>
          <w:sz w:val="28"/>
          <w:szCs w:val="28"/>
        </w:rPr>
        <w:t xml:space="preserve">Anexo: segunda ronda de validación</w:t>
      </w:r>
    </w:p>
    <w:p>
      <w:pPr>
        <w:spacing w:after="140" w:line="276"/>
      </w:pPr>
      <w:r>
        <w:rPr>
          <w:rFonts w:ascii="Calibri" w:cs="Calibri" w:eastAsia="Calibri" w:hAnsi="Calibri"/>
          <w:color w:val="000000"/>
          <w:sz w:val="21"/>
          <w:szCs w:val="21"/>
        </w:rPr>
        <w:t xml:space="preserve">Tras cerrar la primera versión se amplió la muestra con tipos de decreto aún no probados —pólizas de seguro, una pensión vitalicia, el informe anual del Interventor al Pleno— buscando expresamente lo que se hubiera quedado sin cubrir.</w:t>
      </w:r>
    </w:p>
    <w:p>
      <w:pPr>
        <w:pStyle w:val="ListParagraph"/>
        <w:numPr>
          <w:ilvl w:val="0"/>
          <w:numId w:val="1"/>
        </w:numPr>
        <w:spacing w:after="80" w:line="276"/>
      </w:pPr>
      <w:r>
        <w:rPr>
          <w:rFonts w:ascii="Calibri" w:cs="Calibri" w:eastAsia="Calibri" w:hAnsi="Calibri"/>
          <w:sz w:val="21"/>
          <w:szCs w:val="21"/>
        </w:rPr>
        <w:t xml:space="preserve">Una propuesta con varios puntos numerados en un mismo «RESUELVO» (tres pólizas de la misma aseguradora): el extractor solo leía el primero, y de paso calculaba mal el importe total del decreto tomando el primer punto por el conjunto. Corregido.</w:t>
      </w:r>
    </w:p>
    <w:p>
      <w:pPr>
        <w:pStyle w:val="ListParagraph"/>
        <w:numPr>
          <w:ilvl w:val="0"/>
          <w:numId w:val="1"/>
        </w:numPr>
        <w:spacing w:after="80" w:line="276"/>
      </w:pPr>
      <w:r>
        <w:rPr>
          <w:rFonts w:ascii="Calibri" w:cs="Calibri" w:eastAsia="Calibri" w:hAnsi="Calibri"/>
          <w:sz w:val="21"/>
          <w:szCs w:val="21"/>
        </w:rPr>
        <w:t xml:space="preserve">Una pensión vitalicia que el propio Interventor identifica como fuera de la competencia municipal, pagada desde un acuerdo de 1997. Nueva alerta con norma, pregunta y propuesta (P06).</w:t>
      </w:r>
    </w:p>
    <w:p>
      <w:pPr>
        <w:pStyle w:val="ListParagraph"/>
        <w:numPr>
          <w:ilvl w:val="0"/>
          <w:numId w:val="1"/>
        </w:numPr>
        <w:spacing w:after="80" w:line="276"/>
      </w:pPr>
      <w:r>
        <w:rPr>
          <w:rFonts w:ascii="Calibri" w:cs="Calibri" w:eastAsia="Calibri" w:hAnsi="Calibri"/>
          <w:sz w:val="21"/>
          <w:szCs w:val="21"/>
        </w:rPr>
        <w:t xml:space="preserve">El informe anual de reparos del Interventor confirmó por escrito media docena de irregularidades estructurales —personal fuera de plantilla, contratación temporal por encima de lo excepcional— que ya venían apareciendo decreto a decreto. Añadidas como alertas (P07, P08) al estar confirmadas por la propia Intervención.</w:t>
      </w:r>
    </w:p>
    <w:p>
      <w:pPr>
        <w:pStyle w:val="ListParagraph"/>
        <w:numPr>
          <w:ilvl w:val="0"/>
          <w:numId w:val="1"/>
        </w:numPr>
        <w:spacing w:after="80" w:line="276"/>
      </w:pPr>
      <w:r>
        <w:rPr>
          <w:rFonts w:ascii="Calibri" w:cs="Calibri" w:eastAsia="Calibri" w:hAnsi="Calibri"/>
          <w:sz w:val="21"/>
          <w:szCs w:val="21"/>
        </w:rPr>
        <w:t xml:space="preserve">El informe agregado del art. 218 no es un decreto: resume un periodo completo y su fecha en el texto es el inicio de ese periodo, no la fecha del informe. Se reconoce como categoría aparte y se marca para revisar a mano.</w:t>
      </w:r>
    </w:p>
    <w:p>
      <w:pPr>
        <w:pStyle w:val="ListParagraph"/>
        <w:numPr>
          <w:ilvl w:val="0"/>
          <w:numId w:val="1"/>
        </w:numPr>
        <w:spacing w:after="80" w:line="276"/>
      </w:pPr>
      <w:r>
        <w:rPr>
          <w:rFonts w:ascii="Calibri" w:cs="Calibri" w:eastAsia="Calibri" w:hAnsi="Calibri"/>
          <w:sz w:val="21"/>
          <w:szCs w:val="21"/>
        </w:rPr>
        <w:t xml:space="preserve">Una concejala que eleva el informe del art. 218 al Pleno no se ha podido identificar con certeza suficiente para protegerla como cargo público: las fuentes encontradas la sitúan como no adscrita hace más de una década. Queda pendiente de confirmación en vez de asumir una afiliación.</w:t>
      </w:r>
    </w:p>
    <w:p>
      <w:pPr>
        <w:spacing w:after="140" w:line="276"/>
      </w:pPr>
      <w:r>
        <w:rPr>
          <w:rFonts w:ascii="Calibri" w:cs="Calibri" w:eastAsia="Calibri" w:hAnsi="Calibri"/>
          <w:b/>
          <w:bCs/>
          <w:color w:val="000000"/>
          <w:sz w:val="21"/>
          <w:szCs w:val="21"/>
        </w:rPr>
        <w:t xml:space="preserve">Estado tras esta ronda: 74 comprobaciones automáticas en verde, contra once decretos reales de tres alcaldías, cinco formatos de propuesta de gasto y treinta y ocho alertas distintas.</w:t>
      </w:r>
    </w:p>
    <w:p>
      <w:pPr>
        <w:pBdr>
          <w:top w:val="single" w:color="D5D1C6" w:sz="8" w:space="12"/>
        </w:pBdr>
        <w:spacing w:after="0" w:before="420"/>
        <w:jc w:val="center"/>
      </w:pPr>
      <w:r>
        <w:rPr>
          <w:rFonts w:ascii="Calibri" w:cs="Calibri" w:eastAsia="Calibri" w:hAnsi="Calibri"/>
          <w:i/>
          <w:iCs/>
          <w:color w:val="4A5763"/>
          <w:sz w:val="20"/>
          <w:szCs w:val="20"/>
        </w:rPr>
        <w:t xml:space="preserve">Las alertas no son conclusiones ni acusaciones. Son puntos que merecen una pregunta.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2026-08-27T00:03:47.755Z</dcterms:created>
  <dcterms:modified xsi:type="dcterms:W3CDTF">2026-08-27T00:03:47.759Z</dcterms:modified>
</cp:coreProperties>
</file>

<file path=docProps/custom.xml><?xml version="1.0" encoding="utf-8"?>
<Properties xmlns="http://schemas.openxmlformats.org/officeDocument/2006/custom-properties" xmlns:vt="http://schemas.openxmlformats.org/officeDocument/2006/docPropsVTypes"/>
</file>