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A3C0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Análisis de los Resultados de la GEIH 2023: Condiciones de Vida, Ingresos y Mercado Laboral en Colombia</w:t>
      </w:r>
    </w:p>
    <w:p w14:paraId="7BA5E26D" w14:textId="77777777" w:rsidR="0095011A" w:rsidRPr="0095011A" w:rsidRDefault="0095011A" w:rsidP="0095011A">
      <w:r w:rsidRPr="0095011A">
        <w:t>El presente análisis se basa en los resultados procesados de la Gran Encuesta Integrada de Hogares (GEIH) 2023, abarcando una muestra de 268,786 hogares colombianos. A continuación, se presenta un diagnóstico integral de las condiciones de vida, acceso a servicios públicos, ingresos y dinámica del mercado laboral.</w:t>
      </w:r>
    </w:p>
    <w:p w14:paraId="7795DF27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1. Características y condiciones de la vivienda</w:t>
      </w:r>
    </w:p>
    <w:p w14:paraId="4B9EE496" w14:textId="77777777" w:rsidR="0095011A" w:rsidRPr="0095011A" w:rsidRDefault="0095011A" w:rsidP="0095011A">
      <w:r w:rsidRPr="0095011A">
        <w:t>Los datos revelan una clara preeminencia de la casa como tipología de vivienda predominante, seguida por el apartamento, mientras que los cuartos y otras modalidades representan una proporción menor pero significativa en zonas urbanas marginales o rurales.</w:t>
      </w:r>
    </w:p>
    <w:p w14:paraId="29B42D6E" w14:textId="77777777" w:rsidR="0095011A" w:rsidRPr="0095011A" w:rsidRDefault="0095011A" w:rsidP="0095011A">
      <w:r w:rsidRPr="0095011A">
        <w:t>En cuanto a los materiales de construcción, se observa que:</w:t>
      </w:r>
    </w:p>
    <w:p w14:paraId="003F8DC3" w14:textId="77777777" w:rsidR="0095011A" w:rsidRPr="0095011A" w:rsidRDefault="0095011A" w:rsidP="0095011A">
      <w:pPr>
        <w:numPr>
          <w:ilvl w:val="0"/>
          <w:numId w:val="1"/>
        </w:numPr>
      </w:pPr>
      <w:r w:rsidRPr="0095011A">
        <w:rPr>
          <w:b/>
          <w:bCs/>
        </w:rPr>
        <w:t>Paredes</w:t>
      </w:r>
      <w:r w:rsidRPr="0095011A">
        <w:t>: Predominan el bloque y ladrillo, lo que indica una relativamente buena calidad estructural en la mayoría de los hogares.</w:t>
      </w:r>
    </w:p>
    <w:p w14:paraId="212E192E" w14:textId="77777777" w:rsidR="0095011A" w:rsidRPr="0095011A" w:rsidRDefault="0095011A" w:rsidP="0095011A">
      <w:pPr>
        <w:numPr>
          <w:ilvl w:val="0"/>
          <w:numId w:val="1"/>
        </w:numPr>
      </w:pPr>
      <w:r w:rsidRPr="0095011A">
        <w:rPr>
          <w:b/>
          <w:bCs/>
        </w:rPr>
        <w:t>Pisos</w:t>
      </w:r>
      <w:r w:rsidRPr="0095011A">
        <w:t>: Existe una diversidad importante: madera burda, cemento, baldosas y, en menor medida, tierra o bambú. La presencia de pisos de tierra o madera burda sugiere que aún persisten condiciones de precariedad en ciertas regiones o estratos bajos.</w:t>
      </w:r>
    </w:p>
    <w:p w14:paraId="0088BB0E" w14:textId="77777777" w:rsidR="0095011A" w:rsidRPr="0095011A" w:rsidRDefault="0095011A" w:rsidP="0095011A">
      <w:r w:rsidRPr="0095011A">
        <w:t>Estos hallazgos reflejan una brecha en la calidad de la infraestructura de la vivienda, asociada a la ubicación geográfica y al nivel socioeconómico.</w:t>
      </w:r>
    </w:p>
    <w:p w14:paraId="02DB6482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2. Acceso a servicios públicos</w:t>
      </w:r>
    </w:p>
    <w:p w14:paraId="35AB898F" w14:textId="77777777" w:rsidR="0095011A" w:rsidRPr="0095011A" w:rsidRDefault="0095011A" w:rsidP="0095011A">
      <w:r w:rsidRPr="0095011A">
        <w:t>El acceso a servicios públicos muestra avances importantes, aunque con diferencias notables:</w:t>
      </w:r>
    </w:p>
    <w:p w14:paraId="10C9093C" w14:textId="77777777" w:rsidR="0095011A" w:rsidRPr="0095011A" w:rsidRDefault="0095011A" w:rsidP="0095011A">
      <w:pPr>
        <w:numPr>
          <w:ilvl w:val="0"/>
          <w:numId w:val="2"/>
        </w:numPr>
      </w:pPr>
      <w:r w:rsidRPr="0095011A">
        <w:rPr>
          <w:b/>
          <w:bCs/>
        </w:rPr>
        <w:t>Energía eléctrica</w:t>
      </w:r>
      <w:r w:rsidRPr="0095011A">
        <w:t>: Alcanza el </w:t>
      </w:r>
      <w:r w:rsidRPr="0095011A">
        <w:rPr>
          <w:b/>
          <w:bCs/>
        </w:rPr>
        <w:t>90%</w:t>
      </w:r>
      <w:r w:rsidRPr="0095011A">
        <w:t> de los hogares, siendo el servicio con mayor cobertura.</w:t>
      </w:r>
    </w:p>
    <w:p w14:paraId="0B74002B" w14:textId="77777777" w:rsidR="0095011A" w:rsidRPr="0095011A" w:rsidRDefault="0095011A" w:rsidP="0095011A">
      <w:pPr>
        <w:numPr>
          <w:ilvl w:val="0"/>
          <w:numId w:val="2"/>
        </w:numPr>
      </w:pPr>
      <w:r w:rsidRPr="0095011A">
        <w:rPr>
          <w:b/>
          <w:bCs/>
        </w:rPr>
        <w:t>Acueducto y recolección de basuras</w:t>
      </w:r>
      <w:r w:rsidRPr="0095011A">
        <w:t>: Ambos cerca del </w:t>
      </w:r>
      <w:r w:rsidRPr="0095011A">
        <w:rPr>
          <w:b/>
          <w:bCs/>
        </w:rPr>
        <w:t>82%</w:t>
      </w:r>
      <w:r w:rsidRPr="0095011A">
        <w:t>, indicando una cobertura amplia pero no universal.</w:t>
      </w:r>
    </w:p>
    <w:p w14:paraId="7C371C07" w14:textId="77777777" w:rsidR="0095011A" w:rsidRPr="0095011A" w:rsidRDefault="0095011A" w:rsidP="0095011A">
      <w:pPr>
        <w:numPr>
          <w:ilvl w:val="0"/>
          <w:numId w:val="2"/>
        </w:numPr>
      </w:pPr>
      <w:r w:rsidRPr="0095011A">
        <w:rPr>
          <w:b/>
          <w:bCs/>
        </w:rPr>
        <w:t>Alcantarillado</w:t>
      </w:r>
      <w:r w:rsidRPr="0095011A">
        <w:t>: Alcanza el </w:t>
      </w:r>
      <w:r w:rsidRPr="0095011A">
        <w:rPr>
          <w:b/>
          <w:bCs/>
        </w:rPr>
        <w:t>72%</w:t>
      </w:r>
      <w:r w:rsidRPr="0095011A">
        <w:t>, evidenciando una brecha importante en saneamiento básico.</w:t>
      </w:r>
    </w:p>
    <w:p w14:paraId="693B3166" w14:textId="77777777" w:rsidR="0095011A" w:rsidRPr="0095011A" w:rsidRDefault="0095011A" w:rsidP="0095011A">
      <w:pPr>
        <w:numPr>
          <w:ilvl w:val="0"/>
          <w:numId w:val="2"/>
        </w:numPr>
      </w:pPr>
      <w:r w:rsidRPr="0095011A">
        <w:rPr>
          <w:b/>
          <w:bCs/>
        </w:rPr>
        <w:t>Gas natural</w:t>
      </w:r>
      <w:r w:rsidRPr="0095011A">
        <w:t>: Solo el </w:t>
      </w:r>
      <w:r w:rsidRPr="0095011A">
        <w:rPr>
          <w:b/>
          <w:bCs/>
        </w:rPr>
        <w:t>63.5%</w:t>
      </w:r>
      <w:r w:rsidRPr="0095011A">
        <w:t> de los hogares tiene acceso, lo que sugiere una dependencia de combustibles alternativos (leña, gas propano) en una proporción significativa de la población.</w:t>
      </w:r>
    </w:p>
    <w:p w14:paraId="1EE315CF" w14:textId="77777777" w:rsidR="0095011A" w:rsidRPr="0095011A" w:rsidRDefault="0095011A" w:rsidP="0095011A">
      <w:r w:rsidRPr="0095011A">
        <w:t>A pesar de los avances en cobertura eléctrica, el rezago en alcantarillado y gas natural afecta la calidad de vida, la salubridad y el medio ambiente.</w:t>
      </w:r>
    </w:p>
    <w:p w14:paraId="0D27455B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3. Ingresos y desigualdad</w:t>
      </w:r>
    </w:p>
    <w:p w14:paraId="369C59AC" w14:textId="77777777" w:rsidR="0095011A" w:rsidRPr="0095011A" w:rsidRDefault="0095011A" w:rsidP="0095011A">
      <w:r w:rsidRPr="0095011A">
        <w:t>La variable </w:t>
      </w:r>
      <w:r w:rsidRPr="0095011A">
        <w:rPr>
          <w:b/>
          <w:bCs/>
        </w:rPr>
        <w:t>ingreso per cápita</w:t>
      </w:r>
      <w:r w:rsidRPr="0095011A">
        <w:t> presenta una </w:t>
      </w:r>
      <w:r w:rsidRPr="0095011A">
        <w:rPr>
          <w:b/>
          <w:bCs/>
        </w:rPr>
        <w:t>distribución fuertemente asimétrica</w:t>
      </w:r>
      <w:r w:rsidRPr="0095011A">
        <w:t> (sesgo positivo), típica de economías con alta desigualdad:</w:t>
      </w:r>
    </w:p>
    <w:p w14:paraId="2728FC5E" w14:textId="77777777" w:rsidR="0095011A" w:rsidRPr="0095011A" w:rsidRDefault="0095011A" w:rsidP="0095011A">
      <w:pPr>
        <w:numPr>
          <w:ilvl w:val="0"/>
          <w:numId w:val="3"/>
        </w:numPr>
      </w:pPr>
      <w:r w:rsidRPr="0095011A">
        <w:rPr>
          <w:b/>
          <w:bCs/>
        </w:rPr>
        <w:lastRenderedPageBreak/>
        <w:t>Media</w:t>
      </w:r>
      <w:r w:rsidRPr="0095011A">
        <w:t>: $432,103 pesos.</w:t>
      </w:r>
    </w:p>
    <w:p w14:paraId="6A6676AA" w14:textId="77777777" w:rsidR="0095011A" w:rsidRPr="0095011A" w:rsidRDefault="0095011A" w:rsidP="0095011A">
      <w:pPr>
        <w:numPr>
          <w:ilvl w:val="0"/>
          <w:numId w:val="3"/>
        </w:numPr>
      </w:pPr>
      <w:r w:rsidRPr="0095011A">
        <w:rPr>
          <w:b/>
          <w:bCs/>
        </w:rPr>
        <w:t>Mediana</w:t>
      </w:r>
      <w:r w:rsidRPr="0095011A">
        <w:t>: $0 (el 50% de los hogares reporta ingreso per cápita igual a cero, lo cual es coherente con la alta informalidad y desempleo).</w:t>
      </w:r>
    </w:p>
    <w:p w14:paraId="77E353C3" w14:textId="77777777" w:rsidR="0095011A" w:rsidRPr="0095011A" w:rsidRDefault="0095011A" w:rsidP="0095011A">
      <w:pPr>
        <w:numPr>
          <w:ilvl w:val="0"/>
          <w:numId w:val="3"/>
        </w:numPr>
      </w:pPr>
      <w:r w:rsidRPr="0095011A">
        <w:rPr>
          <w:b/>
          <w:bCs/>
        </w:rPr>
        <w:t>Máximo</w:t>
      </w:r>
      <w:r w:rsidRPr="0095011A">
        <w:t>: $100,000,000 (casos atípicos de altos ingresos).</w:t>
      </w:r>
    </w:p>
    <w:p w14:paraId="67115147" w14:textId="77777777" w:rsidR="0095011A" w:rsidRPr="0095011A" w:rsidRDefault="0095011A" w:rsidP="0095011A">
      <w:r w:rsidRPr="0095011A">
        <w:t>Esta distribución se confirma visualmente en los gráficos de densidad (escala normal y logarítmica): la mayoría de los hogares se concentra en ingresos muy bajos, mientras una minoría acumula los ingresos más altos. El coeficiente de Gini implícito sería muy elevado, reflejando una marcada </w:t>
      </w:r>
      <w:r w:rsidRPr="0095011A">
        <w:rPr>
          <w:b/>
          <w:bCs/>
        </w:rPr>
        <w:t>desigualdad en la distribución del ingreso</w:t>
      </w:r>
      <w:r w:rsidRPr="0095011A">
        <w:t>.</w:t>
      </w:r>
    </w:p>
    <w:p w14:paraId="196C57CB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4. Situación laboral de los hogares</w:t>
      </w:r>
    </w:p>
    <w:p w14:paraId="6C70CFA6" w14:textId="77777777" w:rsidR="0095011A" w:rsidRPr="0095011A" w:rsidRDefault="0095011A" w:rsidP="0095011A">
      <w:r w:rsidRPr="0095011A">
        <w:t>El análisis laboral por hogar arroja los siguientes resultados:</w:t>
      </w:r>
    </w:p>
    <w:p w14:paraId="3EDB0964" w14:textId="77777777" w:rsidR="0095011A" w:rsidRPr="0095011A" w:rsidRDefault="0095011A" w:rsidP="0095011A">
      <w:pPr>
        <w:numPr>
          <w:ilvl w:val="0"/>
          <w:numId w:val="4"/>
        </w:numPr>
      </w:pPr>
      <w:r w:rsidRPr="0095011A">
        <w:rPr>
          <w:b/>
          <w:bCs/>
        </w:rPr>
        <w:t>Promedio de ocupados por hogar</w:t>
      </w:r>
      <w:r w:rsidRPr="0095011A">
        <w:t>: 1.22 personas.</w:t>
      </w:r>
    </w:p>
    <w:p w14:paraId="7404255B" w14:textId="77777777" w:rsidR="0095011A" w:rsidRPr="0095011A" w:rsidRDefault="0095011A" w:rsidP="0095011A">
      <w:pPr>
        <w:numPr>
          <w:ilvl w:val="0"/>
          <w:numId w:val="4"/>
        </w:numPr>
      </w:pPr>
      <w:r w:rsidRPr="0095011A">
        <w:rPr>
          <w:b/>
          <w:bCs/>
        </w:rPr>
        <w:t>Promedio de desocupados</w:t>
      </w:r>
      <w:r w:rsidRPr="0095011A">
        <w:t>: 0.24.</w:t>
      </w:r>
    </w:p>
    <w:p w14:paraId="5E1A00B4" w14:textId="77777777" w:rsidR="0095011A" w:rsidRPr="0095011A" w:rsidRDefault="0095011A" w:rsidP="0095011A">
      <w:pPr>
        <w:numPr>
          <w:ilvl w:val="0"/>
          <w:numId w:val="4"/>
        </w:numPr>
      </w:pPr>
      <w:r w:rsidRPr="0095011A">
        <w:rPr>
          <w:b/>
          <w:bCs/>
        </w:rPr>
        <w:t>Promedio de inactivos</w:t>
      </w:r>
      <w:r w:rsidRPr="0095011A">
        <w:t>: 0.84.</w:t>
      </w:r>
    </w:p>
    <w:p w14:paraId="2699E1EB" w14:textId="77777777" w:rsidR="0095011A" w:rsidRPr="0095011A" w:rsidRDefault="0095011A" w:rsidP="0095011A">
      <w:pPr>
        <w:numPr>
          <w:ilvl w:val="0"/>
          <w:numId w:val="4"/>
        </w:numPr>
      </w:pPr>
      <w:r w:rsidRPr="0095011A">
        <w:rPr>
          <w:b/>
          <w:bCs/>
        </w:rPr>
        <w:t>Tasa de desempleo promedio en el hogar</w:t>
      </w:r>
      <w:r w:rsidRPr="0095011A">
        <w:t>: 8.5% (con alta variabilidad: desviación estándar de 18.8%).</w:t>
      </w:r>
    </w:p>
    <w:p w14:paraId="787CB6C1" w14:textId="77777777" w:rsidR="0095011A" w:rsidRPr="0095011A" w:rsidRDefault="0095011A" w:rsidP="0095011A">
      <w:r w:rsidRPr="0095011A">
        <w:t>Aproximadamente el </w:t>
      </w:r>
      <w:r w:rsidRPr="0095011A">
        <w:rPr>
          <w:b/>
          <w:bCs/>
        </w:rPr>
        <w:t>20.4% de los hogares</w:t>
      </w:r>
      <w:r w:rsidRPr="0095011A">
        <w:t> tiene al menos un miembro desempleado. Los hogares con mayor número de ocupados (2 o más) tienden a ubicarse en rangos de ingreso per cápita medio-altos, mientras que aquellos sin ocupados o con un solo ocupado concentran los ingresos más bajos.</w:t>
      </w:r>
    </w:p>
    <w:p w14:paraId="637C07C4" w14:textId="77777777" w:rsidR="0095011A" w:rsidRPr="0095011A" w:rsidRDefault="0095011A" w:rsidP="0095011A">
      <w:r w:rsidRPr="0095011A">
        <w:t>La </w:t>
      </w:r>
      <w:r w:rsidRPr="0095011A">
        <w:rPr>
          <w:b/>
          <w:bCs/>
        </w:rPr>
        <w:t>matriz de correlaciones</w:t>
      </w:r>
      <w:r w:rsidRPr="0095011A">
        <w:t> muestra relaciones interesantes:</w:t>
      </w:r>
    </w:p>
    <w:p w14:paraId="2842DB92" w14:textId="77777777" w:rsidR="0095011A" w:rsidRPr="0095011A" w:rsidRDefault="0095011A" w:rsidP="0095011A">
      <w:pPr>
        <w:numPr>
          <w:ilvl w:val="0"/>
          <w:numId w:val="5"/>
        </w:numPr>
      </w:pPr>
      <w:r w:rsidRPr="0095011A">
        <w:rPr>
          <w:b/>
          <w:bCs/>
        </w:rPr>
        <w:t>Ingreso per cápita</w:t>
      </w:r>
      <w:r w:rsidRPr="0095011A">
        <w:t> está positivamente correlacionado con num_personas (0.31) y num_ocupados (0.51), pero </w:t>
      </w:r>
      <w:r w:rsidRPr="0095011A">
        <w:rPr>
          <w:b/>
          <w:bCs/>
        </w:rPr>
        <w:t>negativamente</w:t>
      </w:r>
      <w:r w:rsidRPr="0095011A">
        <w:t> con tasa_desempleo_hogar (-0.10).</w:t>
      </w:r>
    </w:p>
    <w:p w14:paraId="27EE4310" w14:textId="77777777" w:rsidR="0095011A" w:rsidRPr="0095011A" w:rsidRDefault="0095011A" w:rsidP="0095011A">
      <w:pPr>
        <w:numPr>
          <w:ilvl w:val="0"/>
          <w:numId w:val="5"/>
        </w:numPr>
      </w:pPr>
      <w:r w:rsidRPr="0095011A">
        <w:rPr>
          <w:b/>
          <w:bCs/>
        </w:rPr>
        <w:t>Tasa de desempleo del hogar</w:t>
      </w:r>
      <w:r w:rsidRPr="0095011A">
        <w:t> tiene una correlación muy alta (0.92) con num_desocupados, como es esperable.</w:t>
      </w:r>
    </w:p>
    <w:p w14:paraId="7A8F7A2D" w14:textId="77777777" w:rsidR="0095011A" w:rsidRPr="0095011A" w:rsidRDefault="0095011A" w:rsidP="0095011A">
      <w:pPr>
        <w:numPr>
          <w:ilvl w:val="0"/>
          <w:numId w:val="5"/>
        </w:numPr>
      </w:pPr>
      <w:r w:rsidRPr="0095011A">
        <w:rPr>
          <w:b/>
          <w:bCs/>
        </w:rPr>
        <w:t>Acceso a servicios</w:t>
      </w:r>
      <w:r w:rsidRPr="0095011A">
        <w:t> se correlaciona positivamente con ingreso per cápita (0.52) y negativamente con tasa de desempleo (-0.20), indicando que los hogares con mejores servicios también tienen mejores condiciones laborales y mayores ingresos.</w:t>
      </w:r>
    </w:p>
    <w:p w14:paraId="0BDEF2B2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5. Educación e ingresos</w:t>
      </w:r>
    </w:p>
    <w:p w14:paraId="031157A2" w14:textId="77777777" w:rsidR="0095011A" w:rsidRPr="0095011A" w:rsidRDefault="0095011A" w:rsidP="0095011A">
      <w:r w:rsidRPr="0095011A">
        <w:t>El análisis por nivel educativo revela una clara </w:t>
      </w:r>
      <w:r w:rsidRPr="0095011A">
        <w:rPr>
          <w:b/>
          <w:bCs/>
        </w:rPr>
        <w:t>relación positiva entre educación e ingreso</w:t>
      </w:r>
      <w:r w:rsidRPr="0095011A">
        <w:t>:</w:t>
      </w:r>
    </w:p>
    <w:p w14:paraId="4B5B8179" w14:textId="77777777" w:rsidR="0095011A" w:rsidRPr="0095011A" w:rsidRDefault="0095011A" w:rsidP="0095011A">
      <w:pPr>
        <w:numPr>
          <w:ilvl w:val="0"/>
          <w:numId w:val="6"/>
        </w:numPr>
      </w:pPr>
      <w:r w:rsidRPr="0095011A">
        <w:rPr>
          <w:b/>
          <w:bCs/>
        </w:rPr>
        <w:t>Posgrado</w:t>
      </w:r>
      <w:r w:rsidRPr="0095011A">
        <w:t>: Ingreso medio más alto (0.75 en la escala del gráfico, aunque los valores exactos no se muestran).</w:t>
      </w:r>
    </w:p>
    <w:p w14:paraId="1082CB77" w14:textId="77777777" w:rsidR="0095011A" w:rsidRPr="0095011A" w:rsidRDefault="0095011A" w:rsidP="0095011A">
      <w:pPr>
        <w:numPr>
          <w:ilvl w:val="0"/>
          <w:numId w:val="6"/>
        </w:numPr>
      </w:pPr>
      <w:r w:rsidRPr="0095011A">
        <w:rPr>
          <w:b/>
          <w:bCs/>
        </w:rPr>
        <w:t>Superior universitaria y no universitaria</w:t>
      </w:r>
      <w:r w:rsidRPr="0095011A">
        <w:t>: Ingresos medios similares (0.60).</w:t>
      </w:r>
    </w:p>
    <w:p w14:paraId="04C449CF" w14:textId="77777777" w:rsidR="0095011A" w:rsidRPr="0095011A" w:rsidRDefault="0095011A" w:rsidP="0095011A">
      <w:pPr>
        <w:numPr>
          <w:ilvl w:val="0"/>
          <w:numId w:val="6"/>
        </w:numPr>
      </w:pPr>
      <w:r w:rsidRPr="0095011A">
        <w:rPr>
          <w:b/>
          <w:bCs/>
        </w:rPr>
        <w:t>Media técnica y académica</w:t>
      </w:r>
      <w:r w:rsidRPr="0095011A">
        <w:t>: Ingresos medios de 0.58 y 0.48 respectivamente.</w:t>
      </w:r>
    </w:p>
    <w:p w14:paraId="795038CD" w14:textId="77777777" w:rsidR="0095011A" w:rsidRPr="0095011A" w:rsidRDefault="0095011A" w:rsidP="0095011A">
      <w:pPr>
        <w:numPr>
          <w:ilvl w:val="0"/>
          <w:numId w:val="6"/>
        </w:numPr>
      </w:pPr>
      <w:r w:rsidRPr="0095011A">
        <w:rPr>
          <w:b/>
          <w:bCs/>
        </w:rPr>
        <w:lastRenderedPageBreak/>
        <w:t>Secundaria</w:t>
      </w:r>
      <w:r w:rsidRPr="0095011A">
        <w:t>: 0.45.</w:t>
      </w:r>
    </w:p>
    <w:p w14:paraId="15A00FEE" w14:textId="77777777" w:rsidR="0095011A" w:rsidRPr="0095011A" w:rsidRDefault="0095011A" w:rsidP="0095011A">
      <w:pPr>
        <w:numPr>
          <w:ilvl w:val="0"/>
          <w:numId w:val="6"/>
        </w:numPr>
      </w:pPr>
      <w:r w:rsidRPr="0095011A">
        <w:rPr>
          <w:b/>
          <w:bCs/>
        </w:rPr>
        <w:t>Primaria</w:t>
      </w:r>
      <w:r w:rsidRPr="0095011A">
        <w:t>: 0.40.</w:t>
      </w:r>
    </w:p>
    <w:p w14:paraId="388FCFE3" w14:textId="77777777" w:rsidR="0095011A" w:rsidRPr="0095011A" w:rsidRDefault="0095011A" w:rsidP="0095011A">
      <w:pPr>
        <w:numPr>
          <w:ilvl w:val="0"/>
          <w:numId w:val="6"/>
        </w:numPr>
      </w:pPr>
      <w:r w:rsidRPr="0095011A">
        <w:rPr>
          <w:b/>
          <w:bCs/>
        </w:rPr>
        <w:t>Preescolar o ninguno</w:t>
      </w:r>
      <w:r w:rsidRPr="0095011A">
        <w:t>: 0.38.</w:t>
      </w:r>
    </w:p>
    <w:p w14:paraId="00271AAD" w14:textId="77777777" w:rsidR="0095011A" w:rsidRPr="0095011A" w:rsidRDefault="0095011A" w:rsidP="0095011A">
      <w:r w:rsidRPr="0095011A">
        <w:t>La </w:t>
      </w:r>
      <w:r w:rsidRPr="0095011A">
        <w:rPr>
          <w:b/>
          <w:bCs/>
        </w:rPr>
        <w:t>tasa de desempleo en el hogar</w:t>
      </w:r>
      <w:r w:rsidRPr="0095011A">
        <w:t> también disminuye conforme aumenta el nivel educativo del jefe de hogar, aunque las diferencias son menos marcadas que en ingresos.</w:t>
      </w:r>
    </w:p>
    <w:p w14:paraId="7736FED7" w14:textId="77777777" w:rsidR="0095011A" w:rsidRPr="0095011A" w:rsidRDefault="0095011A" w:rsidP="0095011A">
      <w:r w:rsidRPr="0095011A">
        <w:t>Estos hallazgos confirman que la </w:t>
      </w:r>
      <w:r w:rsidRPr="0095011A">
        <w:rPr>
          <w:b/>
          <w:bCs/>
        </w:rPr>
        <w:t>educación sigue siendo el principal canal de movilidad social</w:t>
      </w:r>
      <w:r w:rsidRPr="0095011A">
        <w:t> en Colombia, aunque la brecha entre niveles superiores y posgrados no es tan amplia como la existente entre educación básica y superior.</w:t>
      </w:r>
    </w:p>
    <w:p w14:paraId="6402B9DB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6. Valores nulos y calidad de los datos</w:t>
      </w:r>
    </w:p>
    <w:p w14:paraId="57A0E1AC" w14:textId="77777777" w:rsidR="0095011A" w:rsidRPr="0095011A" w:rsidRDefault="0095011A" w:rsidP="0095011A">
      <w:r w:rsidRPr="0095011A">
        <w:t>Se identificaron valores nulos principalmente en las variables relacionadas con </w:t>
      </w:r>
      <w:r w:rsidRPr="0095011A">
        <w:rPr>
          <w:b/>
          <w:bCs/>
        </w:rPr>
        <w:t>ingresos laborales (P4000, P4010, P4020)</w:t>
      </w:r>
      <w:r w:rsidRPr="0095011A">
        <w:t> y características físicas de la vivienda (material_paredes, tipo_vivienda, material_pisos), con alrededor de 25,000–26,500 registros faltantes cada una.</w:t>
      </w:r>
    </w:p>
    <w:p w14:paraId="51FE5887" w14:textId="77777777" w:rsidR="0095011A" w:rsidRPr="0095011A" w:rsidRDefault="0095011A" w:rsidP="0095011A">
      <w:r w:rsidRPr="0095011A">
        <w:t>Esto es comprensible, ya que:</w:t>
      </w:r>
    </w:p>
    <w:p w14:paraId="2597131A" w14:textId="77777777" w:rsidR="0095011A" w:rsidRPr="0095011A" w:rsidRDefault="0095011A" w:rsidP="0095011A">
      <w:pPr>
        <w:numPr>
          <w:ilvl w:val="0"/>
          <w:numId w:val="7"/>
        </w:numPr>
      </w:pPr>
      <w:r w:rsidRPr="0095011A">
        <w:t>Los ingresos pueden no reportarse por informalidad, desempleo o rechazo a declarar.</w:t>
      </w:r>
    </w:p>
    <w:p w14:paraId="2FC4A10A" w14:textId="77777777" w:rsidR="0095011A" w:rsidRPr="0095011A" w:rsidRDefault="0095011A" w:rsidP="0095011A">
      <w:pPr>
        <w:numPr>
          <w:ilvl w:val="0"/>
          <w:numId w:val="7"/>
        </w:numPr>
      </w:pPr>
      <w:r w:rsidRPr="0095011A">
        <w:t>Las características de la vivienda pueden tener no respuesta en algunos formularios.</w:t>
      </w:r>
    </w:p>
    <w:p w14:paraId="2562D93F" w14:textId="77777777" w:rsidR="0095011A" w:rsidRPr="0095011A" w:rsidRDefault="0095011A" w:rsidP="0095011A">
      <w:r w:rsidRPr="0095011A">
        <w:t>Se recomienda en futuros análisis </w:t>
      </w:r>
      <w:r w:rsidRPr="0095011A">
        <w:rPr>
          <w:b/>
          <w:bCs/>
        </w:rPr>
        <w:t>imputar valores</w:t>
      </w:r>
      <w:r w:rsidRPr="0095011A">
        <w:t> para ingresos (por ejemplo, mediante modelos basados en educación, ocupación y región) y tratar los nulos en variables físicas como una categoría separada.</w:t>
      </w:r>
    </w:p>
    <w:p w14:paraId="7A3A94D4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7. Conclusiones y recomendaciones de política</w:t>
      </w:r>
    </w:p>
    <w:p w14:paraId="346C8B78" w14:textId="77777777" w:rsidR="0095011A" w:rsidRPr="0095011A" w:rsidRDefault="0095011A" w:rsidP="0095011A">
      <w:pPr>
        <w:rPr>
          <w:b/>
          <w:bCs/>
        </w:rPr>
      </w:pPr>
      <w:r w:rsidRPr="0095011A">
        <w:rPr>
          <w:b/>
          <w:bCs/>
        </w:rPr>
        <w:t>Hallazgos principales:</w:t>
      </w:r>
    </w:p>
    <w:p w14:paraId="432F3736" w14:textId="77777777" w:rsidR="0095011A" w:rsidRPr="0095011A" w:rsidRDefault="0095011A" w:rsidP="0095011A">
      <w:pPr>
        <w:numPr>
          <w:ilvl w:val="0"/>
          <w:numId w:val="8"/>
        </w:numPr>
      </w:pPr>
      <w:r w:rsidRPr="0095011A">
        <w:rPr>
          <w:b/>
          <w:bCs/>
        </w:rPr>
        <w:t>Persisten brechas en servicios públicos</w:t>
      </w:r>
      <w:r w:rsidRPr="0095011A">
        <w:t>: especialmente en alcantarillado y gas natural.</w:t>
      </w:r>
    </w:p>
    <w:p w14:paraId="0565EA70" w14:textId="77777777" w:rsidR="0095011A" w:rsidRPr="0095011A" w:rsidRDefault="0095011A" w:rsidP="0095011A">
      <w:pPr>
        <w:numPr>
          <w:ilvl w:val="0"/>
          <w:numId w:val="8"/>
        </w:numPr>
      </w:pPr>
      <w:r w:rsidRPr="0095011A">
        <w:rPr>
          <w:b/>
          <w:bCs/>
        </w:rPr>
        <w:t>Alta desigualdad del ingreso</w:t>
      </w:r>
      <w:r w:rsidRPr="0095011A">
        <w:t>: la mediana es cero, lo que indica que la mitad de los hogares vive en condiciones de pobreza o informalidad extrema.</w:t>
      </w:r>
    </w:p>
    <w:p w14:paraId="31DF79AB" w14:textId="77777777" w:rsidR="0095011A" w:rsidRPr="0095011A" w:rsidRDefault="0095011A" w:rsidP="0095011A">
      <w:pPr>
        <w:numPr>
          <w:ilvl w:val="0"/>
          <w:numId w:val="8"/>
        </w:numPr>
      </w:pPr>
      <w:r w:rsidRPr="0095011A">
        <w:rPr>
          <w:b/>
          <w:bCs/>
        </w:rPr>
        <w:t>El desempleo es un fenómeno concentrado en el hogar</w:t>
      </w:r>
      <w:r w:rsidRPr="0095011A">
        <w:t>: 1 de cada 5 hogares tiene al menos un desempleado.</w:t>
      </w:r>
    </w:p>
    <w:p w14:paraId="654B6AB0" w14:textId="77777777" w:rsidR="0095011A" w:rsidRPr="0095011A" w:rsidRDefault="0095011A" w:rsidP="0095011A">
      <w:pPr>
        <w:numPr>
          <w:ilvl w:val="0"/>
          <w:numId w:val="8"/>
        </w:numPr>
      </w:pPr>
      <w:r w:rsidRPr="0095011A">
        <w:rPr>
          <w:b/>
          <w:bCs/>
        </w:rPr>
        <w:t>La educación superior mejora significativamente los ingresos</w:t>
      </w:r>
      <w:r w:rsidRPr="0095011A">
        <w:t>, pero no garantiza pleno empleo.</w:t>
      </w:r>
    </w:p>
    <w:p w14:paraId="1948CC6A" w14:textId="77777777" w:rsidR="0095011A" w:rsidRPr="0095011A" w:rsidRDefault="0095011A" w:rsidP="0095011A">
      <w:pPr>
        <w:numPr>
          <w:ilvl w:val="0"/>
          <w:numId w:val="8"/>
        </w:numPr>
      </w:pPr>
      <w:r w:rsidRPr="0095011A">
        <w:rPr>
          <w:b/>
          <w:bCs/>
        </w:rPr>
        <w:t>El acceso a servicios públicos está correlacionado con mejores condiciones laborales</w:t>
      </w:r>
      <w:r w:rsidRPr="0095011A">
        <w:t>, lo que sugiere una trampa de pobreza multidimensional.</w:t>
      </w:r>
    </w:p>
    <w:p w14:paraId="3762BF68" w14:textId="77777777" w:rsidR="00B12DA3" w:rsidRDefault="00B12DA3"/>
    <w:sectPr w:rsidR="00B12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A21"/>
    <w:multiLevelType w:val="multilevel"/>
    <w:tmpl w:val="3230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31C"/>
    <w:multiLevelType w:val="multilevel"/>
    <w:tmpl w:val="937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2049D"/>
    <w:multiLevelType w:val="multilevel"/>
    <w:tmpl w:val="6F2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B0C3B"/>
    <w:multiLevelType w:val="multilevel"/>
    <w:tmpl w:val="D8AE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C1E80"/>
    <w:multiLevelType w:val="multilevel"/>
    <w:tmpl w:val="75A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D4BE1"/>
    <w:multiLevelType w:val="multilevel"/>
    <w:tmpl w:val="5A5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46580"/>
    <w:multiLevelType w:val="multilevel"/>
    <w:tmpl w:val="6022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BC43E7"/>
    <w:multiLevelType w:val="multilevel"/>
    <w:tmpl w:val="76CA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29392">
    <w:abstractNumId w:val="0"/>
  </w:num>
  <w:num w:numId="2" w16cid:durableId="2081976520">
    <w:abstractNumId w:val="1"/>
  </w:num>
  <w:num w:numId="3" w16cid:durableId="762533685">
    <w:abstractNumId w:val="7"/>
  </w:num>
  <w:num w:numId="4" w16cid:durableId="2044668481">
    <w:abstractNumId w:val="4"/>
  </w:num>
  <w:num w:numId="5" w16cid:durableId="459305068">
    <w:abstractNumId w:val="3"/>
  </w:num>
  <w:num w:numId="6" w16cid:durableId="1666668891">
    <w:abstractNumId w:val="2"/>
  </w:num>
  <w:num w:numId="7" w16cid:durableId="1113213799">
    <w:abstractNumId w:val="5"/>
  </w:num>
  <w:num w:numId="8" w16cid:durableId="519898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1A"/>
    <w:rsid w:val="00182677"/>
    <w:rsid w:val="00204B16"/>
    <w:rsid w:val="0095011A"/>
    <w:rsid w:val="00B1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BFA3"/>
  <w15:chartTrackingRefBased/>
  <w15:docId w15:val="{5BBF6394-CB8C-4C0A-83D0-A8F61231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1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1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1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1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1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1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1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942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Ruiz Parra</dc:creator>
  <cp:keywords/>
  <dc:description/>
  <cp:lastModifiedBy>David Felipe Ruiz Parra</cp:lastModifiedBy>
  <cp:revision>2</cp:revision>
  <dcterms:created xsi:type="dcterms:W3CDTF">2026-04-08T04:57:00Z</dcterms:created>
  <dcterms:modified xsi:type="dcterms:W3CDTF">2026-04-08T04:58:00Z</dcterms:modified>
</cp:coreProperties>
</file>