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Historians — Playtest &amp; High-Score Assignment</w:t>
      </w:r>
    </w:p>
    <w:p>
      <w:pPr>
        <w:pStyle w:val="Subtitle"/>
      </w:pPr>
      <w:r>
        <w:t xml:space="preserve">Deck: Early American History Study Guide</w:t>
      </w:r>
    </w:p>
    <w:p>
      <w:pPr>
        <w:pStyle w:val="Heading1"/>
      </w:pPr>
      <w:r>
        <w:t xml:space="preserve">Overview</w:t>
      </w:r>
    </w:p>
    <w:p>
      <w:pPr>
        <w:spacing w:after="120" w:line="276"/>
      </w:pPr>
      <w:r>
        <w:t xml:space="preserve">The Historians is a browser-based card game in which you build a career as an academic historian. You draw on a shared archive of primary-source evidence, assemble that evidence into arguments, publish articles and books, and earn prestige. For this assignment you will play the game using the Early American History Study Guide deck, push for the highest score you can, and (optionally) tell us what you thought of it.</w:t>
      </w:r>
    </w:p>
    <w:p>
      <w:pPr>
        <w:spacing w:after="120" w:line="276"/>
      </w:pPr>
      <w:r>
        <w:t xml:space="preserve">A companion handout, "The Historians — How to Play," walks you through the controls and the rules for both solo and multiplayer.</w:t>
      </w:r>
    </w:p>
    <w:p>
      <w:pPr>
        <w:pStyle w:val="Heading1"/>
      </w:pPr>
      <w:r>
        <w:t xml:space="preserve">Learning Goals</w:t>
      </w:r>
    </w:p>
    <w:p>
      <w:pPr>
        <w:spacing w:after="120" w:line="276"/>
      </w:pPr>
      <w:r>
        <w:t xml:space="preserve">By completing this assignment you will:</w:t>
      </w:r>
    </w:p>
    <w:p>
      <w:pPr>
        <w:pStyle w:val="ListParagraph"/>
        <w:numPr>
          <w:ilvl w:val="0"/>
          <w:numId w:val="2"/>
        </w:numPr>
        <w:spacing w:after="60" w:line="276"/>
      </w:pPr>
      <w:r>
        <w:t xml:space="preserve">Engage directly with primary sources from early American history and judge how they fit together.</w:t>
      </w:r>
    </w:p>
    <w:p>
      <w:pPr>
        <w:pStyle w:val="ListParagraph"/>
        <w:numPr>
          <w:ilvl w:val="0"/>
          <w:numId w:val="2"/>
        </w:numPr>
        <w:spacing w:after="60" w:line="276"/>
      </w:pPr>
      <w:r>
        <w:t xml:space="preserve">Practice the core move of historical thinking — marshalling evidence in support of a clear thesis (conclusion).</w:t>
      </w:r>
    </w:p>
    <w:p>
      <w:pPr>
        <w:pStyle w:val="ListParagraph"/>
        <w:numPr>
          <w:ilvl w:val="0"/>
          <w:numId w:val="2"/>
        </w:numPr>
        <w:spacing w:after="60" w:line="276"/>
      </w:pPr>
      <w:r>
        <w:t xml:space="preserve">Experience the rhythm of scholarly work: research, drafting, publication, and peer review.</w:t>
      </w:r>
    </w:p>
    <w:p>
      <w:pPr>
        <w:pStyle w:val="ListParagraph"/>
        <w:numPr>
          <w:ilvl w:val="0"/>
          <w:numId w:val="2"/>
        </w:numPr>
        <w:spacing w:after="60" w:line="276"/>
      </w:pPr>
      <w:r>
        <w:t xml:space="preserve">Reflect on your own learning and give structured feedback on the experience.</w:t>
      </w:r>
    </w:p>
    <w:p>
      <w:pPr>
        <w:pStyle w:val="Heading1"/>
      </w:pPr>
      <w:r>
        <w:t xml:space="preserve">What To Do</w:t>
      </w:r>
    </w:p>
    <w:p>
      <w:pPr>
        <w:pStyle w:val="ListParagraph"/>
        <w:numPr>
          <w:ilvl w:val="0"/>
          <w:numId w:val="3"/>
        </w:numPr>
        <w:spacing w:after="60" w:line="276"/>
      </w:pPr>
      <w:r>
        <w:rPr>
          <w:b/>
          <w:bCs/>
        </w:rPr>
        <w:t xml:space="preserve">Get access. </w:t>
      </w:r>
      <w:r>
        <w:t xml:space="preserve">Go to thehistorians.org and create an account using the invite code your instructor provides, then sign in. (Save your username — you will need it visible in your screenshot.)</w:t>
      </w:r>
    </w:p>
    <w:p>
      <w:pPr>
        <w:pStyle w:val="ListParagraph"/>
        <w:numPr>
          <w:ilvl w:val="0"/>
          <w:numId w:val="3"/>
        </w:numPr>
        <w:spacing w:after="60" w:line="276"/>
      </w:pPr>
      <w:r>
        <w:rPr>
          <w:b/>
          <w:bCs/>
        </w:rPr>
        <w:t xml:space="preserve">Choose the deck. </w:t>
      </w:r>
      <w:r>
        <w:t xml:space="preserve">On the home screen, select the "Early American History Study Guide" deck from the deck dropdown.</w:t>
      </w:r>
    </w:p>
    <w:p>
      <w:pPr>
        <w:pStyle w:val="ListParagraph"/>
        <w:numPr>
          <w:ilvl w:val="0"/>
          <w:numId w:val="3"/>
        </w:numPr>
        <w:spacing w:after="60" w:line="276"/>
      </w:pPr>
      <w:r>
        <w:rPr>
          <w:b/>
          <w:bCs/>
        </w:rPr>
        <w:t xml:space="preserve">Play the game. </w:t>
      </w:r>
      <w:r>
        <w:t xml:space="preserve">Play through a full career. You may play on your own (Solo) or, if you can find a classmate to play with, as a Multiplayer game (see "Play With a Classmate" below). Use the in-game tutorial hints and the "How to Play" handout if you get stuck, and aim for the highest prestige you can.</w:t>
      </w:r>
    </w:p>
    <w:p>
      <w:pPr>
        <w:pStyle w:val="ListParagraph"/>
        <w:numPr>
          <w:ilvl w:val="0"/>
          <w:numId w:val="3"/>
        </w:numPr>
        <w:spacing w:after="60" w:line="276"/>
      </w:pPr>
      <w:r>
        <w:rPr>
          <w:b/>
          <w:bCs/>
        </w:rPr>
        <w:t xml:space="preserve">Capture your score. </w:t>
      </w:r>
      <w:r>
        <w:t xml:space="preserve">When your career ends, your Final Prestige is shown on the results screen, and your score is recorded in the Hall of Scholars leaderboard. Take a screenshot that clearly shows BOTH your score and your username.</w:t>
      </w:r>
    </w:p>
    <w:p>
      <w:pPr>
        <w:pStyle w:val="Heading1"/>
      </w:pPr>
      <w:r>
        <w:t xml:space="preserve">Play With a Classmate (Optional)</w:t>
      </w:r>
    </w:p>
    <w:p>
      <w:pPr>
        <w:spacing w:after="120" w:line="276"/>
      </w:pPr>
      <w:r>
        <w:t xml:space="preserve">You are welcome to experience the multiplayer mode instead of — or in addition to — a solo game. Multiplayer needs 2 to 5 players, so you will need to coordinate with classmates.</w:t>
      </w:r>
    </w:p>
    <w:p>
      <w:pPr>
        <w:pStyle w:val="ListParagraph"/>
        <w:numPr>
          <w:ilvl w:val="0"/>
          <w:numId w:val="2"/>
        </w:numPr>
        <w:spacing w:after="60" w:line="276"/>
      </w:pPr>
      <w:r>
        <w:rPr>
          <w:b/>
          <w:bCs/>
        </w:rPr>
        <w:t xml:space="preserve">Find a partner on D2L. </w:t>
      </w:r>
      <w:r>
        <w:t xml:space="preserve">Use the D2L discussion forum to find one or more classmates to play with and agree on a time to meet online.</w:t>
      </w:r>
    </w:p>
    <w:p>
      <w:pPr>
        <w:pStyle w:val="ListParagraph"/>
        <w:numPr>
          <w:ilvl w:val="0"/>
          <w:numId w:val="2"/>
        </w:numPr>
        <w:spacing w:after="60" w:line="276"/>
      </w:pPr>
      <w:r>
        <w:rPr>
          <w:b/>
          <w:bCs/>
        </w:rPr>
        <w:t xml:space="preserve">Use the same deck. </w:t>
      </w:r>
      <w:r>
        <w:t xml:space="preserve">Whoever hosts should create the game with the Early American History Study Guide deck. The others join the open game from the multiplayer panel on the home screen.</w:t>
      </w:r>
    </w:p>
    <w:p>
      <w:pPr>
        <w:pStyle w:val="ListParagraph"/>
        <w:numPr>
          <w:ilvl w:val="0"/>
          <w:numId w:val="2"/>
        </w:numPr>
        <w:spacing w:after="60" w:line="276"/>
      </w:pPr>
      <w:r>
        <w:rPr>
          <w:b/>
          <w:bCs/>
        </w:rPr>
        <w:t xml:space="preserve">Pick a length. </w:t>
      </w:r>
      <w:r>
        <w:t xml:space="preserve">A Short (8-year) game is the quickest way to experience peer review, conferences, and the end-of-game awards together.</w:t>
      </w:r>
    </w:p>
    <w:p>
      <w:pPr>
        <w:pStyle w:val="ListParagraph"/>
        <w:numPr>
          <w:ilvl w:val="0"/>
          <w:numId w:val="2"/>
        </w:numPr>
        <w:spacing w:after="60" w:line="276"/>
      </w:pPr>
      <w:r>
        <w:rPr>
          <w:b/>
          <w:bCs/>
        </w:rPr>
        <w:t xml:space="preserve">Same deliverable. </w:t>
      </w:r>
      <w:r>
        <w:t xml:space="preserve">A multiplayer game still produces a final score with your username, recorded on the multiplayer leaderboard for the length you played — screenshot it the same way.</w:t>
      </w:r>
    </w:p>
    <w:p>
      <w:pPr>
        <w:spacing w:after="120" w:line="276"/>
      </w:pPr>
      <w:r>
        <w:rPr>
          <w:b/>
          <w:bCs/>
        </w:rPr>
        <w:t xml:space="preserve">Either mode satisfies the assignment. </w:t>
      </w:r>
      <w:r>
        <w:t xml:space="preserve">A solo game is always enough; multiplayer is an option for those who want the full experience.</w:t>
      </w:r>
    </w:p>
    <w:p>
      <w:pPr>
        <w:pStyle w:val="Heading1"/>
      </w:pPr>
      <w:r>
        <w:t xml:space="preserve">Required Deliverable</w:t>
      </w:r>
    </w:p>
    <w:p>
      <w:pPr>
        <w:spacing w:after="120" w:line="276"/>
      </w:pPr>
      <w:r>
        <w:rPr>
          <w:b/>
          <w:bCs/>
        </w:rPr>
        <w:t xml:space="preserve">A single image (screenshot) of your high score with your username clearly visible.</w:t>
      </w:r>
    </w:p>
    <w:p>
      <w:pPr>
        <w:spacing w:after="120" w:line="276"/>
      </w:pPr>
      <w:r>
        <w:t xml:space="preserve">Either of these is acceptable, as long as your username and your prestige score are both legible:</w:t>
      </w:r>
    </w:p>
    <w:p>
      <w:pPr>
        <w:pStyle w:val="ListParagraph"/>
        <w:numPr>
          <w:ilvl w:val="0"/>
          <w:numId w:val="4"/>
        </w:numPr>
        <w:spacing w:after="60" w:line="276"/>
      </w:pPr>
      <w:r>
        <w:t xml:space="preserve">Your end-of-game "Final Prestige" results screen, or</w:t>
      </w:r>
    </w:p>
    <w:p>
      <w:pPr>
        <w:pStyle w:val="ListParagraph"/>
        <w:numPr>
          <w:ilvl w:val="0"/>
          <w:numId w:val="4"/>
        </w:numPr>
        <w:spacing w:after="60" w:line="276"/>
      </w:pPr>
      <w:r>
        <w:t xml:space="preserve">Your entry on the Hall of Scholars leaderboard, filtered to the Early American History Study Guide deck.</w:t>
      </w:r>
    </w:p>
    <w:p>
      <w:pPr>
        <w:pStyle w:val="Heading1"/>
      </w:pPr>
      <w:r>
        <w:t xml:space="preserve">Extra Credit (+10 points)</w:t>
      </w:r>
    </w:p>
    <w:p>
      <w:pPr>
        <w:spacing w:after="120" w:line="276"/>
      </w:pPr>
      <w:r>
        <w:t xml:space="preserve">After your game ends, click the "Playtest Report" button on the results screen. This opens a short survey (seven quick rating questions and three short-answer boxes). Fill it out honestly and submit it.</w:t>
      </w:r>
    </w:p>
    <w:p>
      <w:pPr>
        <w:spacing w:after="120" w:line="276"/>
      </w:pPr>
      <w:r>
        <w:rPr>
          <w:b/>
          <w:bCs/>
        </w:rPr>
        <w:t xml:space="preserve">To earn the extra credit, also submit a screenshot showing that you completed and submitted the survey</w:t>
      </w:r>
      <w:r>
        <w:t xml:space="preserve"> (the confirmation/"thank you" message after you press submit).</w:t>
      </w:r>
    </w:p>
    <w:p>
      <w:pPr>
        <w:pStyle w:val="Heading1"/>
      </w:pPr>
      <w:r>
        <w:t xml:space="preserve">How To Submit</w:t>
      </w:r>
    </w:p>
    <w:p>
      <w:pPr>
        <w:spacing w:after="120" w:line="276"/>
      </w:pPr>
      <w:r>
        <w:t xml:space="preserve">Submit your screenshot(s) here: ____________________________ (your instructor will specify the location — e.g., the course LMS dropbox).</w:t>
      </w:r>
    </w:p>
    <w:p>
      <w:pPr>
        <w:pStyle w:val="ListParagraph"/>
        <w:numPr>
          <w:ilvl w:val="0"/>
          <w:numId w:val="2"/>
        </w:numPr>
        <w:spacing w:after="60" w:line="276"/>
      </w:pPr>
      <w:r>
        <w:t xml:space="preserve">Required: the high-score image (username + score visible).</w:t>
      </w:r>
    </w:p>
    <w:p>
      <w:pPr>
        <w:pStyle w:val="ListParagraph"/>
        <w:numPr>
          <w:ilvl w:val="0"/>
          <w:numId w:val="2"/>
        </w:numPr>
        <w:spacing w:after="60" w:line="276"/>
      </w:pPr>
      <w:r>
        <w:t xml:space="preserve">Optional, for +10: the survey-completion screenshot.</w:t>
      </w:r>
    </w:p>
    <w:p>
      <w:pPr>
        <w:spacing w:after="120" w:line="276"/>
      </w:pPr>
      <w:r>
        <w:rPr>
          <w:b/>
          <w:bCs/>
        </w:rPr>
        <w:t xml:space="preserve">Due date: </w:t>
      </w:r>
      <w:r>
        <w:t xml:space="preserve">____________________________</w:t>
      </w:r>
    </w:p>
    <w:p>
      <w:pPr>
        <w:pStyle w:val="Heading1"/>
      </w:pPr>
      <w: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9CDD2" w:sz="1"/>
              <w:left w:val="single" w:color="C9CDD2" w:sz="1"/>
              <w:bottom w:val="single" w:color="C9CDD2" w:sz="1"/>
              <w:right w:val="single" w:color="C9CDD2" w:sz="1"/>
            </w:tcBorders>
            <w:shd w:fill="1F3A4D" w:val="clear"/>
            <w:tcMar>
              <w:top w:type="dxa" w:w="60"/>
              <w:left w:type="dxa" w:w="110"/>
              <w:bottom w:type="dxa" w:w="60"/>
              <w:right w:type="dxa" w:w="110"/>
            </w:tcMar>
          </w:tcPr>
          <w:p>
            <w:r>
              <w:rPr>
                <w:b/>
                <w:bCs/>
                <w:color w:val="FFFFFF"/>
                <w:sz w:val="20"/>
                <w:szCs w:val="20"/>
              </w:rPr>
              <w:t xml:space="preserve">Item</w:t>
            </w:r>
          </w:p>
        </w:tc>
        <w:tc>
          <w:tcPr>
            <w:tcW w:type="dxa" w:w="1500"/>
            <w:tcBorders>
              <w:top w:val="single" w:color="C9CDD2" w:sz="1"/>
              <w:left w:val="single" w:color="C9CDD2" w:sz="1"/>
              <w:bottom w:val="single" w:color="C9CDD2" w:sz="1"/>
              <w:right w:val="single" w:color="C9CDD2" w:sz="1"/>
            </w:tcBorders>
            <w:shd w:fill="1F3A4D" w:val="clear"/>
            <w:tcMar>
              <w:top w:type="dxa" w:w="60"/>
              <w:left w:type="dxa" w:w="110"/>
              <w:bottom w:type="dxa" w:w="60"/>
              <w:right w:type="dxa" w:w="110"/>
            </w:tcMar>
          </w:tcPr>
          <w:p>
            <w:r>
              <w:rPr>
                <w:b/>
                <w:bCs/>
                <w:color w:val="FFFFFF"/>
                <w:sz w:val="20"/>
                <w:szCs w:val="20"/>
              </w:rPr>
              <w:t xml:space="preserve">Points</w:t>
            </w:r>
          </w:p>
        </w:tc>
        <w:tc>
          <w:tcPr>
            <w:tcW w:type="dxa" w:w="5260"/>
            <w:tcBorders>
              <w:top w:val="single" w:color="C9CDD2" w:sz="1"/>
              <w:left w:val="single" w:color="C9CDD2" w:sz="1"/>
              <w:bottom w:val="single" w:color="C9CDD2" w:sz="1"/>
              <w:right w:val="single" w:color="C9CDD2" w:sz="1"/>
            </w:tcBorders>
            <w:shd w:fill="1F3A4D" w:val="clear"/>
            <w:tcMar>
              <w:top w:type="dxa" w:w="60"/>
              <w:left w:type="dxa" w:w="110"/>
              <w:bottom w:type="dxa" w:w="60"/>
              <w:right w:type="dxa" w:w="110"/>
            </w:tcMar>
          </w:tcPr>
          <w:p>
            <w:r>
              <w:rPr>
                <w:b/>
                <w:bCs/>
                <w:color w:val="FFFFFF"/>
                <w:sz w:val="20"/>
                <w:szCs w:val="20"/>
              </w:rPr>
              <w:t xml:space="preserve">Requirement</w:t>
            </w:r>
          </w:p>
        </w:tc>
      </w:tr>
      <w:tr>
        <w:tc>
          <w:tcPr>
            <w:tcW w:type="dxa" w:w="2600"/>
            <w:tcBorders>
              <w:top w:val="single" w:color="C9CDD2" w:sz="1"/>
              <w:left w:val="single" w:color="C9CDD2" w:sz="1"/>
              <w:bottom w:val="single" w:color="C9CDD2" w:sz="1"/>
              <w:right w:val="single" w:color="C9CDD2" w:sz="1"/>
            </w:tcBorders>
            <w:shd w:fill="FFFFFF" w:val="clear"/>
            <w:tcMar>
              <w:top w:type="dxa" w:w="60"/>
              <w:left w:type="dxa" w:w="110"/>
              <w:bottom w:type="dxa" w:w="60"/>
              <w:right w:type="dxa" w:w="110"/>
            </w:tcMar>
          </w:tcPr>
          <w:p>
            <w:r>
              <w:rPr>
                <w:sz w:val="20"/>
                <w:szCs w:val="20"/>
              </w:rPr>
              <w:t xml:space="preserve">High-score screenshot</w:t>
            </w:r>
          </w:p>
        </w:tc>
        <w:tc>
          <w:tcPr>
            <w:tcW w:type="dxa" w:w="1500"/>
            <w:tcBorders>
              <w:top w:val="single" w:color="C9CDD2" w:sz="1"/>
              <w:left w:val="single" w:color="C9CDD2" w:sz="1"/>
              <w:bottom w:val="single" w:color="C9CDD2" w:sz="1"/>
              <w:right w:val="single" w:color="C9CDD2" w:sz="1"/>
            </w:tcBorders>
            <w:shd w:fill="FFFFFF" w:val="clear"/>
            <w:tcMar>
              <w:top w:type="dxa" w:w="60"/>
              <w:left w:type="dxa" w:w="110"/>
              <w:bottom w:type="dxa" w:w="60"/>
              <w:right w:type="dxa" w:w="110"/>
            </w:tcMar>
          </w:tcPr>
          <w:p>
            <w:r>
              <w:rPr>
                <w:sz w:val="20"/>
                <w:szCs w:val="20"/>
              </w:rPr>
              <w:t xml:space="preserve">Base credit</w:t>
            </w:r>
          </w:p>
        </w:tc>
        <w:tc>
          <w:tcPr>
            <w:tcW w:type="dxa" w:w="5260"/>
            <w:tcBorders>
              <w:top w:val="single" w:color="C9CDD2" w:sz="1"/>
              <w:left w:val="single" w:color="C9CDD2" w:sz="1"/>
              <w:bottom w:val="single" w:color="C9CDD2" w:sz="1"/>
              <w:right w:val="single" w:color="C9CDD2" w:sz="1"/>
            </w:tcBorders>
            <w:shd w:fill="FFFFFF" w:val="clear"/>
            <w:tcMar>
              <w:top w:type="dxa" w:w="60"/>
              <w:left w:type="dxa" w:w="110"/>
              <w:bottom w:type="dxa" w:w="60"/>
              <w:right w:type="dxa" w:w="110"/>
            </w:tcMar>
          </w:tcPr>
          <w:p>
            <w:r>
              <w:rPr>
                <w:sz w:val="20"/>
                <w:szCs w:val="20"/>
              </w:rPr>
              <w:t xml:space="preserve">A legible image showing your username and your prestige score on the Early American History Study Guide deck.</w:t>
            </w:r>
          </w:p>
        </w:tc>
      </w:tr>
      <w:tr>
        <w:tc>
          <w:tcPr>
            <w:tcW w:type="dxa" w:w="2600"/>
            <w:tcBorders>
              <w:top w:val="single" w:color="C9CDD2" w:sz="1"/>
              <w:left w:val="single" w:color="C9CDD2" w:sz="1"/>
              <w:bottom w:val="single" w:color="C9CDD2" w:sz="1"/>
              <w:right w:val="single" w:color="C9CDD2" w:sz="1"/>
            </w:tcBorders>
            <w:shd w:fill="F2EFE6" w:val="clear"/>
            <w:tcMar>
              <w:top w:type="dxa" w:w="60"/>
              <w:left w:type="dxa" w:w="110"/>
              <w:bottom w:type="dxa" w:w="60"/>
              <w:right w:type="dxa" w:w="110"/>
            </w:tcMar>
          </w:tcPr>
          <w:p>
            <w:r>
              <w:rPr>
                <w:sz w:val="20"/>
                <w:szCs w:val="20"/>
              </w:rPr>
              <w:t xml:space="preserve">Playtest survey (extra credit)</w:t>
            </w:r>
          </w:p>
        </w:tc>
        <w:tc>
          <w:tcPr>
            <w:tcW w:type="dxa" w:w="1500"/>
            <w:tcBorders>
              <w:top w:val="single" w:color="C9CDD2" w:sz="1"/>
              <w:left w:val="single" w:color="C9CDD2" w:sz="1"/>
              <w:bottom w:val="single" w:color="C9CDD2" w:sz="1"/>
              <w:right w:val="single" w:color="C9CDD2" w:sz="1"/>
            </w:tcBorders>
            <w:shd w:fill="F2EFE6" w:val="clear"/>
            <w:tcMar>
              <w:top w:type="dxa" w:w="60"/>
              <w:left w:type="dxa" w:w="110"/>
              <w:bottom w:type="dxa" w:w="60"/>
              <w:right w:type="dxa" w:w="110"/>
            </w:tcMar>
          </w:tcPr>
          <w:p>
            <w:r>
              <w:rPr>
                <w:sz w:val="20"/>
                <w:szCs w:val="20"/>
              </w:rPr>
              <w:t xml:space="preserve">+10</w:t>
            </w:r>
          </w:p>
        </w:tc>
        <w:tc>
          <w:tcPr>
            <w:tcW w:type="dxa" w:w="5260"/>
            <w:tcBorders>
              <w:top w:val="single" w:color="C9CDD2" w:sz="1"/>
              <w:left w:val="single" w:color="C9CDD2" w:sz="1"/>
              <w:bottom w:val="single" w:color="C9CDD2" w:sz="1"/>
              <w:right w:val="single" w:color="C9CDD2" w:sz="1"/>
            </w:tcBorders>
            <w:shd w:fill="F2EFE6" w:val="clear"/>
            <w:tcMar>
              <w:top w:type="dxa" w:w="60"/>
              <w:left w:type="dxa" w:w="110"/>
              <w:bottom w:type="dxa" w:w="60"/>
              <w:right w:type="dxa" w:w="110"/>
            </w:tcMar>
          </w:tcPr>
          <w:p>
            <w:r>
              <w:rPr>
                <w:sz w:val="20"/>
                <w:szCs w:val="20"/>
              </w:rPr>
              <w:t xml:space="preserve">Survey completed and submitted in-game, with a screenshot of the confirmation.</w:t>
            </w:r>
          </w:p>
        </w:tc>
      </w:tr>
    </w:tbl>
    <w:p>
      <w:r>
        <w:t xml:space="preserve"/>
      </w:r>
    </w:p>
    <w:p>
      <w:pPr>
        <w:pStyle w:val="Heading1"/>
      </w:pPr>
      <w:r>
        <w:t xml:space="preserve">Tips</w:t>
      </w:r>
    </w:p>
    <w:p>
      <w:pPr>
        <w:pStyle w:val="ListParagraph"/>
        <w:numPr>
          <w:ilvl w:val="0"/>
          <w:numId w:val="2"/>
        </w:numPr>
        <w:spacing w:after="60" w:line="276"/>
      </w:pPr>
      <w:r>
        <w:rPr>
          <w:b/>
          <w:bCs/>
        </w:rPr>
        <w:t xml:space="preserve">Turn on "Significance." </w:t>
      </w:r>
      <w:r>
        <w:t xml:space="preserve">In the game header, click the Significance button, then click a card to open it and read the historical-significance note behind each source — a quick way to learn the history (and to judge which evidence fits your argument).</w:t>
      </w:r>
    </w:p>
    <w:p>
      <w:pPr>
        <w:pStyle w:val="ListParagraph"/>
        <w:numPr>
          <w:ilvl w:val="0"/>
          <w:numId w:val="2"/>
        </w:numPr>
        <w:spacing w:after="60" w:line="276"/>
      </w:pPr>
      <w:r>
        <w:t xml:space="preserve">Read the cards. The evidence only counts toward a thesis when it shares a tag (theme) with the conclusion — and grouping evidence that shares the same author, place, date, or source type can double your prestige.</w:t>
      </w:r>
    </w:p>
    <w:p>
      <w:pPr>
        <w:pStyle w:val="ListParagraph"/>
        <w:numPr>
          <w:ilvl w:val="0"/>
          <w:numId w:val="2"/>
        </w:numPr>
        <w:spacing w:after="60" w:line="276"/>
      </w:pPr>
      <w:r>
        <w:t xml:space="preserve">Publish early to get hired (an article by year 3) and keep your career alive (a book by year 6).</w:t>
      </w:r>
    </w:p>
    <w:p>
      <w:pPr>
        <w:pStyle w:val="ListParagraph"/>
        <w:numPr>
          <w:ilvl w:val="0"/>
          <w:numId w:val="2"/>
        </w:numPr>
        <w:spacing w:after="60" w:line="276"/>
      </w:pPr>
      <w:r>
        <w:rPr>
          <w:b/>
          <w:bCs/>
        </w:rPr>
        <w:t xml:space="preserve">Keep a study guide. </w:t>
      </w:r>
      <w:r>
        <w:t xml:space="preserve">When your game ends, click "View / Print My Works" on the results screen (in multiplayer, the Final Standings screen) to open your published articles and books as a printable document. Each one lists its thesis and a table of all its evidence with the historical-significance notes — save it as a PDF and you have a ready-made review sheet for the deck’s material.</w:t>
      </w:r>
    </w:p>
    <w:p>
      <w:pPr>
        <w:pStyle w:val="ListParagraph"/>
        <w:numPr>
          <w:ilvl w:val="0"/>
          <w:numId w:val="2"/>
        </w:numPr>
        <w:spacing w:after="60" w:line="276"/>
      </w:pPr>
      <w:r>
        <w:t xml:space="preserve">Turn on tutorial hints from the header if you want step-by-step guidance, and open "How to Play" any time for a quick reference.</w:t>
      </w:r>
    </w:p>
    <w:p>
      <w:pPr>
        <w:spacing w:after="120" w:line="276"/>
      </w:pPr>
      <w:r>
        <w:rPr>
          <w:b/>
          <w:bCs/>
        </w:rPr>
        <w:t xml:space="preserve">Need help getting in? </w:t>
      </w:r>
      <w:r>
        <w:t xml:space="preserve">If you do not have an invite code, contact your instructor.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A4D"/>
      <w:sz w:val="44"/>
      <w:szCs w:val="44"/>
    </w:rPr>
  </w:style>
  <w:style w:type="paragraph" w:styleId="Subtitle">
    <w:name w:val="Subtitle"/>
    <w:basedOn w:val="Normal"/>
    <w:next w:val="Normal"/>
    <w:pPr>
      <w:spacing w:after="240"/>
    </w:pPr>
    <w:rPr>
      <w:i/>
      <w:iCs/>
      <w:color w:val="5A6B73"/>
      <w:sz w:val="24"/>
      <w:szCs w:val="24"/>
    </w:rPr>
  </w:style>
  <w:style w:type="paragraph" w:styleId="Heading1">
    <w:name w:val="Heading 1"/>
    <w:basedOn w:val="Normal"/>
    <w:next w:val="Normal"/>
    <w:qFormat/>
    <w:pPr>
      <w:pBdr>
        <w:bottom w:val="single" w:color="C8A23A" w:sz="6" w:space="4"/>
      </w:pBdr>
      <w:spacing w:after="120" w:before="280"/>
      <w:outlineLvl w:val="0"/>
    </w:pPr>
    <w:rPr>
      <w:rFonts w:ascii="Arial" w:cs="Arial" w:eastAsia="Arial" w:hAnsi="Arial"/>
      <w:b/>
      <w:bCs/>
      <w:color w:val="1F3A4D"/>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26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2E52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2026-06-22T03:00:14.994Z</dcterms:created>
  <dcterms:modified xsi:type="dcterms:W3CDTF">2026-06-22T03:00:14.995Z</dcterms:modified>
</cp:coreProperties>
</file>

<file path=docProps/custom.xml><?xml version="1.0" encoding="utf-8"?>
<Properties xmlns="http://schemas.openxmlformats.org/officeDocument/2006/custom-properties" xmlns:vt="http://schemas.openxmlformats.org/officeDocument/2006/docPropsVTypes"/>
</file>