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576B" w:rsidRPr="003B618A" w:rsidRDefault="004616A7">
      <w:pPr>
        <w:spacing w:before="1800" w:after="200"/>
        <w:jc w:val="center"/>
        <w:rPr>
          <w:rFonts w:ascii="Times New Roman" w:hAnsi="Times New Roman" w:cs="Times New Roman"/>
        </w:rPr>
      </w:pPr>
      <w:r w:rsidRPr="003B618A">
        <w:rPr>
          <w:rFonts w:ascii="Times New Roman" w:hAnsi="Times New Roman" w:cs="Times New Roman"/>
          <w:b/>
          <w:bCs/>
          <w:color w:val="1F3864"/>
          <w:sz w:val="52"/>
          <w:szCs w:val="52"/>
        </w:rPr>
        <w:t>SISTEMA DE GESTIÓN DE CITAS MÉDICAS</w:t>
      </w:r>
    </w:p>
    <w:p w:rsidR="0045576B" w:rsidRPr="003B618A" w:rsidRDefault="004616A7">
      <w:pPr>
        <w:spacing w:after="200"/>
        <w:jc w:val="center"/>
        <w:rPr>
          <w:rFonts w:ascii="Times New Roman" w:hAnsi="Times New Roman" w:cs="Times New Roman"/>
        </w:rPr>
      </w:pPr>
      <w:r w:rsidRPr="003B618A">
        <w:rPr>
          <w:rFonts w:ascii="Times New Roman" w:hAnsi="Times New Roman" w:cs="Times New Roman"/>
          <w:b/>
          <w:bCs/>
          <w:color w:val="2E75B6"/>
          <w:sz w:val="44"/>
          <w:szCs w:val="44"/>
        </w:rPr>
        <w:t>EN CENTROS DE SALUD RURALES</w:t>
      </w:r>
    </w:p>
    <w:p w:rsidR="0045576B" w:rsidRPr="003B618A" w:rsidRDefault="004616A7">
      <w:pPr>
        <w:pBdr>
          <w:top w:val="single" w:sz="6" w:space="0" w:color="2E75B6"/>
          <w:bottom w:val="single" w:sz="6" w:space="1" w:color="2E75B6"/>
        </w:pBdr>
        <w:spacing w:before="200" w:after="120"/>
        <w:jc w:val="center"/>
        <w:rPr>
          <w:rFonts w:ascii="Times New Roman" w:hAnsi="Times New Roman" w:cs="Times New Roman"/>
        </w:rPr>
      </w:pPr>
      <w:r w:rsidRPr="003B618A">
        <w:rPr>
          <w:rFonts w:ascii="Times New Roman" w:hAnsi="Times New Roman" w:cs="Times New Roman"/>
          <w:b/>
          <w:bCs/>
          <w:color w:val="1F3864"/>
          <w:sz w:val="28"/>
          <w:szCs w:val="28"/>
        </w:rPr>
        <w:t>Propuesta de Proyecto de Software con Impacto Social</w:t>
      </w:r>
    </w:p>
    <w:p w:rsidR="0045576B" w:rsidRPr="003B618A" w:rsidRDefault="0045576B">
      <w:pPr>
        <w:spacing w:before="60" w:after="60"/>
        <w:rPr>
          <w:rFonts w:ascii="Times New Roman" w:hAnsi="Times New Roman" w:cs="Times New Roman"/>
        </w:rPr>
      </w:pPr>
    </w:p>
    <w:p w:rsidR="004616A7" w:rsidRPr="003B618A" w:rsidRDefault="004616A7" w:rsidP="003B618A">
      <w:pPr>
        <w:spacing w:before="60" w:after="60"/>
        <w:jc w:val="center"/>
        <w:rPr>
          <w:rFonts w:ascii="Times New Roman" w:hAnsi="Times New Roman" w:cs="Times New Roman"/>
        </w:rPr>
      </w:pPr>
    </w:p>
    <w:p w:rsidR="003B618A" w:rsidRPr="003B618A" w:rsidRDefault="003B618A" w:rsidP="003B618A">
      <w:pPr>
        <w:spacing w:before="60" w:after="60"/>
        <w:jc w:val="center"/>
        <w:rPr>
          <w:rFonts w:ascii="Times New Roman" w:hAnsi="Times New Roman" w:cs="Times New Roman"/>
        </w:rPr>
      </w:pPr>
    </w:p>
    <w:p w:rsidR="003B618A" w:rsidRPr="003B618A" w:rsidRDefault="003B618A" w:rsidP="003B618A">
      <w:pPr>
        <w:spacing w:before="60" w:after="60"/>
        <w:jc w:val="center"/>
        <w:rPr>
          <w:rFonts w:ascii="Times New Roman" w:hAnsi="Times New Roman" w:cs="Times New Roman"/>
        </w:rPr>
      </w:pPr>
    </w:p>
    <w:p w:rsidR="004616A7" w:rsidRPr="003B618A" w:rsidRDefault="004616A7" w:rsidP="004616A7">
      <w:pPr>
        <w:spacing w:before="60" w:after="60"/>
        <w:jc w:val="center"/>
        <w:rPr>
          <w:rFonts w:ascii="Times New Roman" w:hAnsi="Times New Roman" w:cs="Times New Roman"/>
        </w:rPr>
      </w:pPr>
      <w:r w:rsidRPr="003B618A">
        <w:rPr>
          <w:rFonts w:ascii="Times New Roman" w:hAnsi="Times New Roman" w:cs="Times New Roman"/>
        </w:rPr>
        <w:t xml:space="preserve">Estudiantes: </w:t>
      </w:r>
    </w:p>
    <w:p w:rsidR="003B618A" w:rsidRPr="003B618A" w:rsidRDefault="003B618A" w:rsidP="004616A7">
      <w:pPr>
        <w:spacing w:before="60" w:after="60"/>
        <w:jc w:val="center"/>
        <w:rPr>
          <w:rFonts w:ascii="Times New Roman" w:hAnsi="Times New Roman" w:cs="Times New Roman"/>
        </w:rPr>
      </w:pPr>
    </w:p>
    <w:p w:rsidR="0045576B" w:rsidRPr="003B618A" w:rsidRDefault="004616A7" w:rsidP="004616A7">
      <w:pPr>
        <w:spacing w:before="60" w:after="60"/>
        <w:jc w:val="center"/>
        <w:rPr>
          <w:rFonts w:ascii="Times New Roman" w:hAnsi="Times New Roman" w:cs="Times New Roman"/>
        </w:rPr>
      </w:pPr>
      <w:r w:rsidRPr="003B618A">
        <w:rPr>
          <w:rFonts w:ascii="Times New Roman" w:hAnsi="Times New Roman" w:cs="Times New Roman"/>
        </w:rPr>
        <w:t>David Alejandro Salas Ibarra</w:t>
      </w:r>
    </w:p>
    <w:p w:rsidR="004616A7" w:rsidRPr="003B618A" w:rsidRDefault="004616A7" w:rsidP="004616A7">
      <w:pPr>
        <w:spacing w:before="60" w:after="60"/>
        <w:jc w:val="center"/>
        <w:rPr>
          <w:rFonts w:ascii="Times New Roman" w:hAnsi="Times New Roman" w:cs="Times New Roman"/>
        </w:rPr>
      </w:pPr>
      <w:r w:rsidRPr="003B618A">
        <w:rPr>
          <w:rFonts w:ascii="Times New Roman" w:hAnsi="Times New Roman" w:cs="Times New Roman"/>
        </w:rPr>
        <w:t>Sebastián Dario David Marcillo</w:t>
      </w:r>
    </w:p>
    <w:p w:rsidR="003B618A" w:rsidRPr="003B618A" w:rsidRDefault="003B618A" w:rsidP="004616A7">
      <w:pPr>
        <w:spacing w:before="60" w:after="60"/>
        <w:jc w:val="center"/>
        <w:rPr>
          <w:rFonts w:ascii="Times New Roman" w:hAnsi="Times New Roman" w:cs="Times New Roman"/>
        </w:rPr>
      </w:pPr>
    </w:p>
    <w:p w:rsidR="003B618A" w:rsidRPr="003B618A" w:rsidRDefault="003B618A" w:rsidP="004616A7">
      <w:pPr>
        <w:spacing w:before="60" w:after="60"/>
        <w:jc w:val="center"/>
        <w:rPr>
          <w:rFonts w:ascii="Times New Roman" w:hAnsi="Times New Roman" w:cs="Times New Roman"/>
        </w:rPr>
      </w:pPr>
    </w:p>
    <w:p w:rsidR="004616A7" w:rsidRPr="003B618A" w:rsidRDefault="004616A7" w:rsidP="004616A7">
      <w:pPr>
        <w:spacing w:before="60" w:after="60"/>
        <w:jc w:val="center"/>
        <w:rPr>
          <w:rFonts w:ascii="Times New Roman" w:hAnsi="Times New Roman" w:cs="Times New Roman"/>
        </w:rPr>
      </w:pPr>
      <w:r w:rsidRPr="003B618A">
        <w:rPr>
          <w:rFonts w:ascii="Times New Roman" w:hAnsi="Times New Roman" w:cs="Times New Roman"/>
        </w:rPr>
        <w:t>Docente</w:t>
      </w:r>
      <w:r w:rsidR="003B618A" w:rsidRPr="003B618A">
        <w:rPr>
          <w:rFonts w:ascii="Times New Roman" w:hAnsi="Times New Roman" w:cs="Times New Roman"/>
        </w:rPr>
        <w:t>:</w:t>
      </w:r>
    </w:p>
    <w:p w:rsidR="003B618A" w:rsidRPr="003B618A" w:rsidRDefault="003B618A" w:rsidP="004616A7">
      <w:pPr>
        <w:spacing w:before="60" w:after="60"/>
        <w:jc w:val="center"/>
        <w:rPr>
          <w:rFonts w:ascii="Times New Roman" w:hAnsi="Times New Roman" w:cs="Times New Roman"/>
        </w:rPr>
      </w:pPr>
      <w:r w:rsidRPr="003B618A">
        <w:rPr>
          <w:rFonts w:ascii="Times New Roman" w:hAnsi="Times New Roman" w:cs="Times New Roman"/>
        </w:rPr>
        <w:t xml:space="preserve">Harol Eduardo Burbano </w:t>
      </w:r>
    </w:p>
    <w:p w:rsidR="004616A7" w:rsidRPr="003B618A" w:rsidRDefault="004616A7" w:rsidP="004616A7">
      <w:pPr>
        <w:spacing w:before="60" w:after="60"/>
        <w:jc w:val="center"/>
        <w:rPr>
          <w:rFonts w:ascii="Times New Roman" w:hAnsi="Times New Roman" w:cs="Times New Roman"/>
        </w:rPr>
      </w:pPr>
    </w:p>
    <w:p w:rsidR="004616A7" w:rsidRPr="003B618A" w:rsidRDefault="004616A7" w:rsidP="004616A7">
      <w:pPr>
        <w:spacing w:before="60" w:after="60"/>
        <w:rPr>
          <w:rFonts w:ascii="Times New Roman" w:hAnsi="Times New Roman" w:cs="Times New Roman"/>
        </w:rPr>
      </w:pPr>
    </w:p>
    <w:p w:rsidR="0045576B" w:rsidRPr="003B618A" w:rsidRDefault="0045576B">
      <w:pPr>
        <w:spacing w:before="60" w:after="600"/>
        <w:jc w:val="center"/>
        <w:rPr>
          <w:rFonts w:ascii="Times New Roman" w:hAnsi="Times New Roman" w:cs="Times New Roman"/>
        </w:rPr>
      </w:pPr>
    </w:p>
    <w:p w:rsidR="0045576B" w:rsidRPr="003B618A" w:rsidRDefault="004616A7">
      <w:pPr>
        <w:spacing w:before="800" w:after="100"/>
        <w:jc w:val="center"/>
        <w:rPr>
          <w:rFonts w:ascii="Times New Roman" w:hAnsi="Times New Roman" w:cs="Times New Roman"/>
        </w:rPr>
      </w:pPr>
      <w:r w:rsidRPr="003B618A">
        <w:rPr>
          <w:rFonts w:ascii="Times New Roman" w:hAnsi="Times New Roman" w:cs="Times New Roman"/>
          <w:b/>
          <w:bCs/>
          <w:color w:val="1F3864"/>
          <w:sz w:val="28"/>
          <w:szCs w:val="28"/>
        </w:rPr>
        <w:t>202</w:t>
      </w:r>
      <w:r w:rsidR="003B618A" w:rsidRPr="003B618A">
        <w:rPr>
          <w:rFonts w:ascii="Times New Roman" w:hAnsi="Times New Roman" w:cs="Times New Roman"/>
          <w:b/>
          <w:bCs/>
          <w:color w:val="1F3864"/>
          <w:sz w:val="28"/>
          <w:szCs w:val="28"/>
        </w:rPr>
        <w:t>6</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color w:val="FFFFFF" w:themeColor="background1"/>
        </w:rPr>
      </w:pPr>
      <w:r w:rsidRPr="003B618A">
        <w:rPr>
          <w:rFonts w:ascii="Times New Roman" w:hAnsi="Times New Roman" w:cs="Times New Roman"/>
          <w:color w:val="FFFFFF" w:themeColor="background1"/>
        </w:rPr>
        <w:lastRenderedPageBreak/>
        <w:t>1. ANTECEDENTES HISTÓRICOS Y CONTEXTO DEL SISTEMA DE SALUD RURAL EN NARIÑO</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1.1. Evolución histórica del sistema de salud rural en Nariño</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sistema de salud en Colombia ha experimentado transformaciones profundas desde la segunda mitad del siglo XX. En el departamento de Nariño, estas transformaciones han tenido un ritmo propio, marcado por las condiciones geográficas, la dispersión poblacional, la diversidad étnica y la histórica ausencia institucional en zonas rurales y periféricas.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Contexto normativo nacional</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La evolución normativa del sistema de salud colombiano ha incidido directamente en la prestación de servicios en territorios como Nariño: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Ley 10/1990: Reorganización del sistema nacional de salud, municipalización de servicios y primeros lineamientos para la atención primaria.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Ley 100/1993: Creación del Sistema General de Seguridad Social en Salud (SGSSS), con separación entre aseguramiento (EPS) y prestación (IPS/ESE). Aunque amplió cobertura, su diseño fue predominantemente urbano.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Decreto 1757/1994: Estableció normas de participación social en el sistema de salud, incluyendo a comunidades rurales e indígenas.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Ley 715/2001: Distribución de competencias y recursos entre nación y territorios, reforzando el rol de los municipios en salud pública.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Ley 1438/2011: Reformó el SGSSS con énfasis en atención primaria en salud (APS), equipos básicos de salud y fortalecimiento de redes integradas de servicios.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Plan Decenal de Salud Pública 2012-2021: Incluyó metas específicas para reducir inequidades en zonas rurales y dispersas.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Resolución COVID-19 / Transformación digital: La pandemia aceleró iniciativas de telemedicina y digitalización, evidenciando la brecha tecnológica rural.</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Contexto específico de Nariño</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Nariño presenta características que hacen especialmente compleja la prestación de servicios de salud: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138 municipios, de los cuales más del 80% son predominantemente rurales o rurales dispersos según clasificación del DANE.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Presencia de 65 resguardos indígenas (principalmente Pastos, </w:t>
      </w:r>
      <w:proofErr w:type="spellStart"/>
      <w:r w:rsidRPr="003B618A">
        <w:rPr>
          <w:rFonts w:ascii="Times New Roman" w:hAnsi="Times New Roman" w:cs="Times New Roman"/>
        </w:rPr>
        <w:t>Awa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Eperara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Siapidara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Quillasinga</w:t>
      </w:r>
      <w:proofErr w:type="spellEnd"/>
      <w:r w:rsidRPr="003B618A">
        <w:rPr>
          <w:rFonts w:ascii="Times New Roman" w:hAnsi="Times New Roman" w:cs="Times New Roman"/>
        </w:rPr>
        <w:t>) y numerosas comunidades afrodescendientes, especialmente en Tumaco, Barbacoas y el Pacífico nariñense.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Concentración del 23% de la población en zonas con difícil acceso vial, según el Plan Departamental de Desarrollo 2020-2023.</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Conflicto armado y presencia de grupos ilegales que dificultan la movilidad de personal de salud y de pacientes, especialmente en Tumaco, Policarpa y Samaniego.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Infraestructura de salud fragmentada: coexisten hospitales de primer y segundo nivel (ESE), puestos de salud municipales, promotores rurales de salud y médicos tradicionales.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lastRenderedPageBreak/>
        <w:t>Cronología de hitos relevantes</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45576B" w:rsidRPr="003B618A">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Año</w:t>
            </w:r>
          </w:p>
        </w:tc>
        <w:tc>
          <w:tcPr>
            <w:tcW w:w="7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Hito</w:t>
            </w:r>
          </w:p>
        </w:tc>
      </w:tr>
      <w:tr w:rsidR="0045576B" w:rsidRPr="003B618A">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1993</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Ley 100: afiliación masiva al SGSSS, pero sin infraestructura rural adaptada.</w:t>
            </w:r>
          </w:p>
        </w:tc>
      </w:tr>
      <w:tr w:rsidR="0045576B" w:rsidRPr="003B618A">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2001</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Descentralización: municipios asumen responsabilidad en prestación de servicios básicos de salud.</w:t>
            </w:r>
          </w:p>
        </w:tc>
      </w:tr>
      <w:tr w:rsidR="0045576B" w:rsidRPr="003B618A">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2011</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Ley 1438: énfasis en Atención Primaria en Salud (APS) y equipos básicos comunitarios.</w:t>
            </w:r>
          </w:p>
        </w:tc>
      </w:tr>
      <w:tr w:rsidR="0045576B" w:rsidRPr="003B618A">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2016</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Acuerdo de Paz y Planes de Desarrollo con Enfoque Territorial (PDET) incluyen salud rural como eje estratégico.</w:t>
            </w:r>
          </w:p>
        </w:tc>
      </w:tr>
      <w:tr w:rsidR="0045576B" w:rsidRPr="003B618A">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2020-21</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Pandemia COVID-19: se amplía telemedicina, pero se evidencia la brecha digital en zonas rurales de Nariño.</w:t>
            </w:r>
          </w:p>
        </w:tc>
      </w:tr>
      <w:tr w:rsidR="0045576B" w:rsidRPr="003B618A">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2022-25</w:t>
            </w:r>
          </w:p>
        </w:tc>
        <w:tc>
          <w:tcPr>
            <w:tcW w:w="7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Política de digitalización del MSPS: impulso a expediente clínico electrónico, pero sin adopción efectiva en municipios pequeños.</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1.2. Diagnóstico del sistema actual de gestión de citas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Los centros de salud rurales del departamento de Nariño —en particular los ubicados en municipios como Samaniego, La Llanada, Tumaco rural, El Tambo, Sandoná y sectores periurbanos de Pasto— operan en la actualidad mediante sistemas de gestión de citas médicas que se caracterizan por su carácter informal, manual y escasamente sistematizado.</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Método predominante: asignación manual en papel</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En la mayoría de estos centros de salud, el proceso de asignación de citas funciona de la siguiente manera: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El paciente se presenta físicamente en el centro de salud, generalmente desde horas de la madrugada, para obtener un turno en una lista de cuaderno.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El personal administrativo —muchas veces una sola persona— lleva el registro en cuadernos físicos o, en el mejor de los casos, en hojas de cálculo básicas sin conectividad compartida.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No existe un sistema de confirmación previa ni de recordatorio. La comunicación se realiza en el momento de la asignación o mediante llamadas telefónicas informales.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información del paciente (historial, antecedentes, alergias) no está sistematizada ni accesible digitalmente, lo que obliga al personal a buscar carpetas físicas o depender de la memoria del propio paciente.</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Problemas estructurales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5576B" w:rsidRPr="003B618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Problema</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Descripción y consecuencias</w:t>
            </w:r>
          </w:p>
        </w:tc>
      </w:tr>
      <w:tr w:rsidR="0045576B" w:rsidRPr="003B618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Filas desde la madrugada</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Pacientes que viajan varios kilómetros desde sus veredas deben llegar antes de las 4-5 a.m. para garantizar un cupo. Esto implica costos de transporte nocturno, riesgos de seguridad y agotamiento.</w:t>
            </w:r>
          </w:p>
        </w:tc>
      </w:tr>
      <w:tr w:rsidR="0045576B" w:rsidRPr="003B618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Pérdida de turnos por desinformación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Al no existir recordatorio ni confirmación, muchos pacientes pierden su cita sin saberlo o no se enteran de cambios de horario del médico.</w:t>
            </w:r>
          </w:p>
        </w:tc>
      </w:tr>
      <w:tr w:rsidR="0045576B" w:rsidRPr="003B618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Doble asignación de citas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Errores humanos en los cuadernos generan que dos pacientes sean asignados al mismo horario, causando conflictos y pérdida de tiempo.</w:t>
            </w:r>
          </w:p>
        </w:tc>
      </w:tr>
      <w:tr w:rsidR="0045576B" w:rsidRPr="003B618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lastRenderedPageBreak/>
              <w:t>Alto ausentismo</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Se estima que el ausentismo en centros rurales puede superar el 30%, desperdiciando cupos escasos y afectando la eficiencia operativa.</w:t>
            </w:r>
          </w:p>
        </w:tc>
      </w:tr>
      <w:tr w:rsidR="0045576B" w:rsidRPr="003B618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Sin historial digital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La ausencia de registros electrónicos impide dar continuidad a tratamientos, identificar pacientes crónicos o emitir alertas preventivas.</w:t>
            </w:r>
          </w:p>
        </w:tc>
      </w:tr>
      <w:tr w:rsidR="0045576B" w:rsidRPr="003B618A">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Sobrecarga administrativa</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El personal de salud destina horas significativas a tareas de registro, búsqueda de carpetas y gestión de conflictos por turnos.</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1.3. Análisis de experiencias similares en otros territorios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A nivel nacional e internacional, diversas iniciativas han abordado la digitalización de la atención primaria en contextos de baja conectividad y alta vulnerabilidad, ofreciendo lecciones valiosas para este proyecto:</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Experiencias nacionales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Sistema de Información para la Gestión Hospitalaria (SIHOS) – </w:t>
      </w:r>
      <w:proofErr w:type="spellStart"/>
      <w:r w:rsidRPr="003B618A">
        <w:rPr>
          <w:rFonts w:ascii="Times New Roman" w:hAnsi="Times New Roman" w:cs="Times New Roman"/>
        </w:rPr>
        <w:t>MinSalud</w:t>
      </w:r>
      <w:proofErr w:type="spellEnd"/>
      <w:r w:rsidRPr="003B618A">
        <w:rPr>
          <w:rFonts w:ascii="Times New Roman" w:hAnsi="Times New Roman" w:cs="Times New Roman"/>
        </w:rPr>
        <w:t xml:space="preserve"> Colombia: Plataforma nacional de referencia que, sin embargo, requiere conectividad permanente y ha tenido baja adopción en municipios pequeños de regiones como Nariño, Chocó y Amazonas.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Proyecto </w:t>
      </w:r>
      <w:proofErr w:type="spellStart"/>
      <w:r w:rsidRPr="003B618A">
        <w:rPr>
          <w:rFonts w:ascii="Times New Roman" w:hAnsi="Times New Roman" w:cs="Times New Roman"/>
        </w:rPr>
        <w:t>TeleSalud</w:t>
      </w:r>
      <w:proofErr w:type="spellEnd"/>
      <w:r w:rsidRPr="003B618A">
        <w:rPr>
          <w:rFonts w:ascii="Times New Roman" w:hAnsi="Times New Roman" w:cs="Times New Roman"/>
        </w:rPr>
        <w:t xml:space="preserve"> en el Pacífico – MinTIC y </w:t>
      </w:r>
      <w:proofErr w:type="spellStart"/>
      <w:r w:rsidRPr="003B618A">
        <w:rPr>
          <w:rFonts w:ascii="Times New Roman" w:hAnsi="Times New Roman" w:cs="Times New Roman"/>
        </w:rPr>
        <w:t>MinSalud</w:t>
      </w:r>
      <w:proofErr w:type="spellEnd"/>
      <w:r w:rsidRPr="003B618A">
        <w:rPr>
          <w:rFonts w:ascii="Times New Roman" w:hAnsi="Times New Roman" w:cs="Times New Roman"/>
        </w:rPr>
        <w:t xml:space="preserve"> (2019-2022): Implementación de </w:t>
      </w:r>
      <w:proofErr w:type="spellStart"/>
      <w:r w:rsidRPr="003B618A">
        <w:rPr>
          <w:rFonts w:ascii="Times New Roman" w:hAnsi="Times New Roman" w:cs="Times New Roman"/>
        </w:rPr>
        <w:t>kioskos</w:t>
      </w:r>
      <w:proofErr w:type="spellEnd"/>
      <w:r w:rsidRPr="003B618A">
        <w:rPr>
          <w:rFonts w:ascii="Times New Roman" w:hAnsi="Times New Roman" w:cs="Times New Roman"/>
        </w:rPr>
        <w:t xml:space="preserve"> de </w:t>
      </w:r>
      <w:proofErr w:type="spellStart"/>
      <w:r w:rsidRPr="003B618A">
        <w:rPr>
          <w:rFonts w:ascii="Times New Roman" w:hAnsi="Times New Roman" w:cs="Times New Roman"/>
        </w:rPr>
        <w:t>telesalud</w:t>
      </w:r>
      <w:proofErr w:type="spellEnd"/>
      <w:r w:rsidRPr="003B618A">
        <w:rPr>
          <w:rFonts w:ascii="Times New Roman" w:hAnsi="Times New Roman" w:cs="Times New Roman"/>
        </w:rPr>
        <w:t xml:space="preserve"> en zonas rurales, con resultados positivos en </w:t>
      </w:r>
      <w:proofErr w:type="gramStart"/>
      <w:r w:rsidRPr="003B618A">
        <w:rPr>
          <w:rFonts w:ascii="Times New Roman" w:hAnsi="Times New Roman" w:cs="Times New Roman"/>
        </w:rPr>
        <w:t>Tumaco</w:t>
      </w:r>
      <w:proofErr w:type="gramEnd"/>
      <w:r w:rsidRPr="003B618A">
        <w:rPr>
          <w:rFonts w:ascii="Times New Roman" w:hAnsi="Times New Roman" w:cs="Times New Roman"/>
        </w:rPr>
        <w:t xml:space="preserve"> pero limitados por problemas de sostenibilidad y capacitación.</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ESE Hospital Lorencita Villegas de Santos – Samaniego: Iniciativa local de digitalización parcial de agendas médicas con Excel compartido en red local, sin conectividad a internet. Demostró viabilidad del trabajo </w:t>
      </w:r>
      <w:proofErr w:type="gramStart"/>
      <w:r w:rsidRPr="003B618A">
        <w:rPr>
          <w:rFonts w:ascii="Times New Roman" w:hAnsi="Times New Roman" w:cs="Times New Roman"/>
        </w:rPr>
        <w:t>offline</w:t>
      </w:r>
      <w:proofErr w:type="gramEnd"/>
      <w:r w:rsidRPr="003B618A">
        <w:rPr>
          <w:rFonts w:ascii="Times New Roman" w:hAnsi="Times New Roman" w:cs="Times New Roman"/>
        </w:rPr>
        <w:t xml:space="preserve"> pero con limitaciones en escalabilidad.</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Experiencias internacionales relevantes</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rPr>
        <w:t>OpenMRS</w:t>
      </w:r>
      <w:proofErr w:type="spellEnd"/>
      <w:r w:rsidRPr="003B618A">
        <w:rPr>
          <w:rFonts w:ascii="Times New Roman" w:hAnsi="Times New Roman" w:cs="Times New Roman"/>
        </w:rPr>
        <w:t xml:space="preserve"> (Open Medical </w:t>
      </w:r>
      <w:proofErr w:type="spellStart"/>
      <w:r w:rsidRPr="003B618A">
        <w:rPr>
          <w:rFonts w:ascii="Times New Roman" w:hAnsi="Times New Roman" w:cs="Times New Roman"/>
        </w:rPr>
        <w:t>Record</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System</w:t>
      </w:r>
      <w:proofErr w:type="spellEnd"/>
      <w:r w:rsidRPr="003B618A">
        <w:rPr>
          <w:rFonts w:ascii="Times New Roman" w:hAnsi="Times New Roman" w:cs="Times New Roman"/>
        </w:rPr>
        <w:t>) – África y Asia: Sistema de código abierto diseñado para contextos de bajos recursos, con capacidad offline. Ha sido adaptado en países como Uganda, Kenia y Haití para gestión de citas y registros clínicos en zonas rurales.</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rPr>
        <w:t>iClinic</w:t>
      </w:r>
      <w:proofErr w:type="spellEnd"/>
      <w:r w:rsidRPr="003B618A">
        <w:rPr>
          <w:rFonts w:ascii="Times New Roman" w:hAnsi="Times New Roman" w:cs="Times New Roman"/>
        </w:rPr>
        <w:t xml:space="preserve"> Rural – Brasil (Sistema Único de </w:t>
      </w:r>
      <w:proofErr w:type="spellStart"/>
      <w:r w:rsidRPr="003B618A">
        <w:rPr>
          <w:rFonts w:ascii="Times New Roman" w:hAnsi="Times New Roman" w:cs="Times New Roman"/>
        </w:rPr>
        <w:t>Saúde</w:t>
      </w:r>
      <w:proofErr w:type="spellEnd"/>
      <w:r w:rsidRPr="003B618A">
        <w:rPr>
          <w:rFonts w:ascii="Times New Roman" w:hAnsi="Times New Roman" w:cs="Times New Roman"/>
        </w:rPr>
        <w:t xml:space="preserve">): Módulo de gestión de citas adaptado para Unidades Básicas de </w:t>
      </w:r>
      <w:proofErr w:type="spellStart"/>
      <w:r w:rsidRPr="003B618A">
        <w:rPr>
          <w:rFonts w:ascii="Times New Roman" w:hAnsi="Times New Roman" w:cs="Times New Roman"/>
        </w:rPr>
        <w:t>Saúde</w:t>
      </w:r>
      <w:proofErr w:type="spellEnd"/>
      <w:r w:rsidRPr="003B618A">
        <w:rPr>
          <w:rFonts w:ascii="Times New Roman" w:hAnsi="Times New Roman" w:cs="Times New Roman"/>
        </w:rPr>
        <w:t xml:space="preserve"> en zonas rurales del Nordeste, con sincronización asíncrona </w:t>
      </w:r>
      <w:proofErr w:type="spellStart"/>
      <w:r w:rsidRPr="003B618A">
        <w:rPr>
          <w:rFonts w:ascii="Times New Roman" w:hAnsi="Times New Roman" w:cs="Times New Roman"/>
        </w:rPr>
        <w:t>y</w:t>
      </w:r>
      <w:proofErr w:type="spellEnd"/>
      <w:r w:rsidRPr="003B618A">
        <w:rPr>
          <w:rFonts w:ascii="Times New Roman" w:hAnsi="Times New Roman" w:cs="Times New Roman"/>
        </w:rPr>
        <w:t xml:space="preserve"> interfaz simplificada para baja alfabetización digital.</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rPr>
        <w:t>RxHx</w:t>
      </w:r>
      <w:proofErr w:type="spellEnd"/>
      <w:r w:rsidRPr="003B618A">
        <w:rPr>
          <w:rFonts w:ascii="Times New Roman" w:hAnsi="Times New Roman" w:cs="Times New Roman"/>
        </w:rPr>
        <w:t xml:space="preserve"> – India rural: Aplicación de gestión clínica con modo offline para centros de salud comunitarios, con recordatorios por SMS y soporte multilingüe. Reducción del ausentismo del 35% en zonas piloto.</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Lecciones aprendidas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conectividad intermitente no es obstáculo si el sistema está diseñado para funcionar offline con sincronización posterior.</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simplicidad de la interfaz es más importante que las funcionalidades avanzadas en contextos de baja alfabetización digital.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Los recordatorios por SMS tienen mayor efectividad que las notificaciones por aplicaciones en zonas rurales.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capacitación continua y el acompañamiento técnico son factores críticos de éxito.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participación de la comunidad en el diseño aumenta la adopción y la sostenibilidad del sistema.</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2. ANÁLISIS DE SEGMENTACIÓN Y GRUPOS OBJETIVOS EN OTROS TERRITORIOS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2.1. Criterios de segmentación aplicados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Para el diseño de un sistema de gestión de citas médicas en contextos rurales, resulta fundamental comprender la diversidad de usuarios y territorios que serán beneficiarios. La segmentación permite adaptar el sistema a realidades específicas, evitando soluciones uniformes que ignoran las diferencias estructurales entre comunidades.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Dimensiones de segmentación consideradas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Geográfica: nivel de dispersión territorial, tiempo de desplazamiento al centro de salud, calidad de vías, altitud.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Demográfica: composición etaria, género, pertenencia étnica (indígena, afrodescendiente, campesino mestizo).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Socioeconómica: nivel de ingresos, tipo de vinculación al SGSSS (subsidiado/contributivo), acceso a dispositivos tecnológicos.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Tecnológica: disponibilidad de señal celular, tipo de teléfono (básico/smartphone), nivel de alfabetización digital.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Institucional: nivel de complejidad del centro de salud, número de médicos, personal administrativo disponible.</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2.2. Segmentación por municipio beneficiario</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500"/>
        <w:gridCol w:w="1500"/>
        <w:gridCol w:w="1660"/>
      </w:tblGrid>
      <w:tr w:rsidR="0045576B" w:rsidRPr="003B618A">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Municipio</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Tipo de área</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Población aprox.</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Señal celular</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 indígena/afro</w:t>
            </w:r>
          </w:p>
        </w:tc>
        <w:tc>
          <w:tcPr>
            <w:tcW w:w="1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Complejidad ESE</w:t>
            </w:r>
          </w:p>
        </w:tc>
      </w:tr>
      <w:tr w:rsidR="0045576B" w:rsidRPr="003B618A">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Samaniego</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Rural disperso</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~44.000</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Parcial (2G/3G)</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~35% (</w:t>
            </w:r>
            <w:proofErr w:type="spellStart"/>
            <w:r w:rsidRPr="003B618A">
              <w:rPr>
                <w:rFonts w:ascii="Times New Roman" w:hAnsi="Times New Roman" w:cs="Times New Roman"/>
                <w:color w:val="222222"/>
                <w:sz w:val="20"/>
                <w:szCs w:val="20"/>
              </w:rPr>
              <w:t>Awa</w:t>
            </w:r>
            <w:proofErr w:type="spellEnd"/>
            <w:r w:rsidRPr="003B618A">
              <w:rPr>
                <w:rFonts w:ascii="Times New Roman" w:hAnsi="Times New Roman" w:cs="Times New Roman"/>
                <w:color w:val="222222"/>
                <w:sz w:val="20"/>
                <w:szCs w:val="20"/>
              </w:rPr>
              <w:t>, Pasto)</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Baja-Media</w:t>
            </w:r>
          </w:p>
        </w:tc>
      </w:tr>
      <w:tr w:rsidR="0045576B" w:rsidRPr="003B618A">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La Llanada</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Rural disperso</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~7.000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Muy limitada (2G)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~20% (Pastos)</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Baja</w:t>
            </w:r>
          </w:p>
        </w:tc>
      </w:tr>
      <w:tr w:rsidR="0045576B" w:rsidRPr="003B618A">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Tumaco (rural)</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Rural vulnerable</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~200.000 total</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Intermitente</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 xml:space="preserve">~75% (afro, </w:t>
            </w:r>
            <w:proofErr w:type="spellStart"/>
            <w:r w:rsidRPr="003B618A">
              <w:rPr>
                <w:rFonts w:ascii="Times New Roman" w:hAnsi="Times New Roman" w:cs="Times New Roman"/>
                <w:color w:val="222222"/>
                <w:sz w:val="20"/>
                <w:szCs w:val="20"/>
              </w:rPr>
              <w:t>Awa</w:t>
            </w:r>
            <w:proofErr w:type="spellEnd"/>
            <w:r w:rsidRPr="003B618A">
              <w:rPr>
                <w:rFonts w:ascii="Times New Roman" w:hAnsi="Times New Roman" w:cs="Times New Roman"/>
                <w:color w:val="222222"/>
                <w:sz w:val="20"/>
                <w:szCs w:val="20"/>
              </w:rPr>
              <w:t>)</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Media</w:t>
            </w:r>
          </w:p>
        </w:tc>
      </w:tr>
      <w:tr w:rsidR="0045576B" w:rsidRPr="003B618A">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El Tambo</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Rural disperso</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~38.000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Parcial (2G/3G)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~40% (</w:t>
            </w:r>
            <w:proofErr w:type="spellStart"/>
            <w:r w:rsidRPr="003B618A">
              <w:rPr>
                <w:rFonts w:ascii="Times New Roman" w:hAnsi="Times New Roman" w:cs="Times New Roman"/>
                <w:color w:val="222222"/>
                <w:sz w:val="20"/>
                <w:szCs w:val="20"/>
              </w:rPr>
              <w:t>Quillasinga</w:t>
            </w:r>
            <w:proofErr w:type="spellEnd"/>
            <w:r w:rsidRPr="003B618A">
              <w:rPr>
                <w:rFonts w:ascii="Times New Roman" w:hAnsi="Times New Roman" w:cs="Times New Roman"/>
                <w:color w:val="222222"/>
                <w:sz w:val="20"/>
                <w:szCs w:val="20"/>
              </w:rPr>
              <w:t>)</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Baja</w:t>
            </w:r>
          </w:p>
        </w:tc>
      </w:tr>
      <w:tr w:rsidR="0045576B" w:rsidRPr="003B618A">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Sandoná</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proofErr w:type="spellStart"/>
            <w:r w:rsidRPr="003B618A">
              <w:rPr>
                <w:rFonts w:ascii="Times New Roman" w:hAnsi="Times New Roman" w:cs="Times New Roman"/>
                <w:color w:val="222222"/>
                <w:sz w:val="20"/>
                <w:szCs w:val="20"/>
              </w:rPr>
              <w:t>Semirural</w:t>
            </w:r>
            <w:proofErr w:type="spellEnd"/>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~25.000</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Media (3G/4G)</w:t>
            </w:r>
          </w:p>
        </w:tc>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~15% (Pastos)</w:t>
            </w:r>
          </w:p>
        </w:tc>
        <w:tc>
          <w:tcPr>
            <w:tcW w:w="16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Baja-Media</w:t>
            </w:r>
          </w:p>
        </w:tc>
      </w:tr>
      <w:tr w:rsidR="0045576B" w:rsidRPr="003B618A">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Pasto (rural)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Periurbano-rural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~430.000 total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Buena (4G)</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~10% (</w:t>
            </w:r>
            <w:proofErr w:type="spellStart"/>
            <w:r w:rsidRPr="003B618A">
              <w:rPr>
                <w:rFonts w:ascii="Times New Roman" w:hAnsi="Times New Roman" w:cs="Times New Roman"/>
                <w:color w:val="222222"/>
                <w:sz w:val="20"/>
                <w:szCs w:val="20"/>
              </w:rPr>
              <w:t>Quillasinga</w:t>
            </w:r>
            <w:proofErr w:type="spellEnd"/>
            <w:r w:rsidRPr="003B618A">
              <w:rPr>
                <w:rFonts w:ascii="Times New Roman" w:hAnsi="Times New Roman" w:cs="Times New Roman"/>
                <w:color w:val="222222"/>
                <w:sz w:val="20"/>
                <w:szCs w:val="20"/>
              </w:rPr>
              <w:t>)</w:t>
            </w:r>
          </w:p>
        </w:tc>
        <w:tc>
          <w:tcPr>
            <w:tcW w:w="16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Media-Alta</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2.3. Segmentación de usuarios del sistema</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lastRenderedPageBreak/>
        <w:t>El sistema de gestión de citas tendrá diferentes tipos de usuarios con necesidades y capacidades distintas. Esta segmentación es clave para el diseño de interfaces diferenciadas: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Segmento 1: Pacientes rurales (usuarios externos)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Adultos mayores (&gt;60 años): mayor prevalencia de enfermedades crónicas, menor alfabetización digital, preferencia por interacción presencial o telefónica.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Mujeres gestantes: alta prioridad en control prenatal, necesidad de recordatorios frecuentes, muchas con teléfono básico.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Madres con niños menores de 5 años: seguimiento de esquema de vacunación y controles de crecimiento, con acceso parcial a smartphones.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Adultos en edad productiva: mayor adaptabilidad tecnológica, pero con restricciones de tiempo por actividades agrícolas.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Comunidades indígenas: necesidad de enfoque diferencial, posible barrera lingüística, intermediación con promotores comunitarios.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Segmento 2: Personal de salud (usuarios internos)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Médicos rurales: requieren visualización clara de agenda, acceso a historial básico del paciente, mínimo tiempo en gestión administrativa.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Enfermeras y auxiliares: gestión de programas de salud pública (vacunación, control prenatal), control de cupos por programa.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Personal administrativo: usuarios principales del módulo de asignación, necesitan interfaz simple y fluida para gestión diaria.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Segmento 3: Gestores institucionales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Directores de ESE: acceso a reportes, indicadores de gestión, ausentismo, cumplimiento de metas.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Alcaldías y Secretarías de Salud: seguimiento de cobertura e indicadores para rendición de cuentas.</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3. ANÁLISIS SOCIOECONÓMICO Y CARACTERÍSTICAS DE LA COMUNIDAD</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3.1. Condiciones socioeconómicas de la población beneficiaria</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Las comunidades rurales de Nariño objeto de este proyecto presentan indicadores socioeconómicos que reflejan una situación de alta vulnerabilidad estructural. Comprender estas condiciones es fundamental para diseñar un sistema tecnológico que sea accesible, pertinente y sostenible.</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Indicadores clave de pobreza y vulnerabilidad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Indicador</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Datos relevantes para Nariño rural</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Índice de Pobreza Multidimensional (IPM)</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Nariño: 35.2% (promedio departamental). En municipios como La Llanada y El Tambo puede superar el 55% según DANE 2018.</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Necesidades Básicas Insatisfechas (NBI)</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Más del 60% en zonas rurales dispersas de Tumaco y El Tambo. Acceso limitado a agua potable, alcantarillado y electricidad.</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Ingreso mensual promedio rural</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Entre $400.000 y $800.000 COP en actividades agrícolas (café, cacao, plátano). Alta dependencia de cultivos de subsistencia.</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Acceso a servicios financieros</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Menos del 30% de adultos rurales tienen cuenta bancaria activa. Predomina el efectivo y la economía informal.</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Nivel educativo</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Tasa de alfabetización del 78% en zonas rurales (vs 94% urbano). Alto porcentaje sin primaria completa en adultos mayores.</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3.2. Acceso y uso de tecnologías de comunicación</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diseño del sistema debe partir de un diagnóstico realista sobre el acceso y uso de tecnología en las comunidades beneficiarias. Los datos disponibles para Nariño rural revelan una situación heterogénea: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Telefonía móvil y conectividad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Cobertura de señal 2G: presente en la mayoría de cabeceras municipales de los municipios seleccionados, pero con ausencia total en veredas y corregimientos alejados.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Cobertura 3G/4G: limitada a cabeceras municipales y algunas vías principales. Menos del 25% del territorio rural de Nariño tiene cobertura 4G según MinTIC 2023.</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Tipo de dispositivos: prevalencia de teléfonos básicos (</w:t>
      </w:r>
      <w:proofErr w:type="spellStart"/>
      <w:r w:rsidRPr="003B618A">
        <w:rPr>
          <w:rFonts w:ascii="Times New Roman" w:hAnsi="Times New Roman" w:cs="Times New Roman"/>
        </w:rPr>
        <w:t>feature</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phones</w:t>
      </w:r>
      <w:proofErr w:type="spellEnd"/>
      <w:r w:rsidRPr="003B618A">
        <w:rPr>
          <w:rFonts w:ascii="Times New Roman" w:hAnsi="Times New Roman" w:cs="Times New Roman"/>
        </w:rPr>
        <w:t>) con capacidad de SMS y llamadas, especialmente en adultos mayores y comunidades indígenas. Los smartphones son más comunes en adultos jóvenes y en Pasto rural.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Conexión a internet: menos del 15% de hogares rurales nariñenses tienen conexión fija o móvil de datos activa, según ECV DANE 2021.</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Implicaciones para el diseño tecnológico</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lastRenderedPageBreak/>
        <w:t>Estas condiciones imponen requisitos técnicos no negociables para el sistema:</w:t>
      </w: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El sistema debe funcionar de forma completamente offline en el centro de salud, sin depender de internet para su operación básica.</w:t>
      </w: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Los recordatorios a pacientes deben enviarse por SMS (compatible con teléfonos básicos), no por aplicaciones ni internet.</w:t>
      </w: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La interfaz debe ser extremadamente simple, con íconos intuitivos y texto mínimo, para usuarios con baja alfabetización digital.</w:t>
      </w: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La sincronización de datos entre centros de salud debe ocurrir cuando haya conectividad disponible, de forma asíncrona y automatizada.</w:t>
      </w: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El sistema debe funcionar en hardware de bajo costo (</w:t>
      </w:r>
      <w:proofErr w:type="spellStart"/>
      <w:r w:rsidRPr="003B618A">
        <w:rPr>
          <w:rFonts w:ascii="Times New Roman" w:hAnsi="Times New Roman" w:cs="Times New Roman"/>
        </w:rPr>
        <w:t>tablets</w:t>
      </w:r>
      <w:proofErr w:type="spellEnd"/>
      <w:r w:rsidRPr="003B618A">
        <w:rPr>
          <w:rFonts w:ascii="Times New Roman" w:hAnsi="Times New Roman" w:cs="Times New Roman"/>
        </w:rPr>
        <w:t xml:space="preserve"> básicas, computadores de escritorio con Windows 7+).</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3.3. Diversidad étnica y enfoque diferencial</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Nariño es uno de los departamentos con mayor diversidad étnica de Colombia. Esta realidad exige que el sistema incorpore un enfoque diferencial genuino, no meramente declarativo:</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Comunidades indígenas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Presencia de los pueblos Pastos, </w:t>
      </w:r>
      <w:proofErr w:type="spellStart"/>
      <w:r w:rsidRPr="003B618A">
        <w:rPr>
          <w:rFonts w:ascii="Times New Roman" w:hAnsi="Times New Roman" w:cs="Times New Roman"/>
        </w:rPr>
        <w:t>Awa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Quillasinga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Eperara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Siapidara</w:t>
      </w:r>
      <w:proofErr w:type="spellEnd"/>
      <w:r w:rsidRPr="003B618A">
        <w:rPr>
          <w:rFonts w:ascii="Times New Roman" w:hAnsi="Times New Roman" w:cs="Times New Roman"/>
        </w:rPr>
        <w:t xml:space="preserve"> y </w:t>
      </w:r>
      <w:proofErr w:type="spellStart"/>
      <w:r w:rsidRPr="003B618A">
        <w:rPr>
          <w:rFonts w:ascii="Times New Roman" w:hAnsi="Times New Roman" w:cs="Times New Roman"/>
        </w:rPr>
        <w:t>Cofán</w:t>
      </w:r>
      <w:proofErr w:type="spellEnd"/>
      <w:r w:rsidRPr="003B618A">
        <w:rPr>
          <w:rFonts w:ascii="Times New Roman" w:hAnsi="Times New Roman" w:cs="Times New Roman"/>
        </w:rPr>
        <w:t>, con territorios reconocidos en resguardos.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Sistemas propios de salud y medicina tradicional que deben ser reconocidos y complementados, no desplazados.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Posibles barreras lingüísticas en comunidades </w:t>
      </w:r>
      <w:proofErr w:type="spellStart"/>
      <w:r w:rsidRPr="003B618A">
        <w:rPr>
          <w:rFonts w:ascii="Times New Roman" w:hAnsi="Times New Roman" w:cs="Times New Roman"/>
        </w:rPr>
        <w:t>Awa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awapit</w:t>
      </w:r>
      <w:proofErr w:type="spellEnd"/>
      <w:r w:rsidRPr="003B618A">
        <w:rPr>
          <w:rFonts w:ascii="Times New Roman" w:hAnsi="Times New Roman" w:cs="Times New Roman"/>
        </w:rPr>
        <w:t xml:space="preserve">) y </w:t>
      </w:r>
      <w:proofErr w:type="spellStart"/>
      <w:r w:rsidRPr="003B618A">
        <w:rPr>
          <w:rFonts w:ascii="Times New Roman" w:hAnsi="Times New Roman" w:cs="Times New Roman"/>
        </w:rPr>
        <w:t>Eperara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Siapidara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sia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pedee</w:t>
      </w:r>
      <w:proofErr w:type="spellEnd"/>
      <w:r w:rsidRPr="003B618A">
        <w:rPr>
          <w:rFonts w:ascii="Times New Roman" w:hAnsi="Times New Roman" w:cs="Times New Roman"/>
        </w:rPr>
        <w:t>).</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Gobernadores de cabildo y promotores de salud indígena como intermediarios clave entre el sistema y la comunidad.</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Comunidades afrodescendientes (especialmente Tumaco)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Alta concentración en la costa Pacífica, con comunidades en consejos comunitarios reconocidos por la Ley 70/1993.</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Contexto de violencia estructural, desplazamiento forzado y crisis humanitaria que afecta el acceso a servicios de salud.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Necesidad de agentes comunitarios de salud que medien entre el sistema digital y la comunidad.</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4. ANÁLISIS DEL ENTORNO MACROECONÓMICO Y CARACTERÍSTICAS DE LA VIDA</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4.1. Entorno macroeconómico nacional y departamental</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contexto macroeconómico de Colombia y específicamente del departamento de Nariño define las condiciones de financiamiento, sostenibilidad e implementación del proyecto. Comprender este entorno permite anticipar restricciones y oportunidades.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Economía de Nariño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Nariño aporta aproximadamente el 1.7% del PIB nacional, siendo uno de los departamentos con menor participación económica del país.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economía rural se basa en agricultura (café, cacao, plátano, papa), minería artesanal, pesca artesanal en el Pacífico y actividades de economía informal.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El conflicto armado y los cultivos ilícitos generan distorsiones en la economía rural, con impacto directo en la movilidad, la seguridad y el acceso a servicios.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Las transferencias del Sistema General de Participaciones (SGP) representan más del 60% del presupuesto de los municipios pequeños como La Llanada, lo que limita su capacidad de inversión en tecnología.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Presupuesto sectorial en salud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El presupuesto de las ESE rurales de Nariño es históricamente insuficiente para inversión tecnológica. La mayoría destina más del 80% de sus recursos a nómina y funcionamiento.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Existen fuentes de financiamiento alternativas: recursos del Fondo de Tecnologías de la Información y las Comunicaciones (FONTIC), fondos de cooperación internacional (Unión Europea, USAID, AECID) y programas de innovación social del MinTIC y </w:t>
      </w:r>
      <w:proofErr w:type="spellStart"/>
      <w:r w:rsidRPr="003B618A">
        <w:rPr>
          <w:rFonts w:ascii="Times New Roman" w:hAnsi="Times New Roman" w:cs="Times New Roman"/>
        </w:rPr>
        <w:t>MinSalud</w:t>
      </w:r>
      <w:proofErr w:type="spellEnd"/>
      <w:r w:rsidRPr="003B618A">
        <w:rPr>
          <w:rFonts w:ascii="Times New Roman" w:hAnsi="Times New Roman" w:cs="Times New Roman"/>
        </w:rPr>
        <w:t>.</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Los PDET (Planes de Desarrollo con Enfoque Territorial) derivados del Acuerdo de Paz incluyen componentes de salud rural que pueden financiar iniciativas de este tipo en municipios como Tumaco, Samaniego y El Tambo.</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4.2. Tendencias tecnológicas relevantes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proyecto se inscribe en un contexto de transformación digital del sector salud que ofrece tanto oportunidades como desafíos: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Tendencias favorables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Reducción de costos de hardware: </w:t>
      </w:r>
      <w:proofErr w:type="spellStart"/>
      <w:r w:rsidRPr="003B618A">
        <w:rPr>
          <w:rFonts w:ascii="Times New Roman" w:hAnsi="Times New Roman" w:cs="Times New Roman"/>
        </w:rPr>
        <w:t>tablets</w:t>
      </w:r>
      <w:proofErr w:type="spellEnd"/>
      <w:r w:rsidRPr="003B618A">
        <w:rPr>
          <w:rFonts w:ascii="Times New Roman" w:hAnsi="Times New Roman" w:cs="Times New Roman"/>
        </w:rPr>
        <w:t xml:space="preserve"> y computadores de bajo costo cada vez más accesibles, facilitando la dotación de centros de salud rurales.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Madurez de tecnologías offline-</w:t>
      </w:r>
      <w:proofErr w:type="spellStart"/>
      <w:r w:rsidRPr="003B618A">
        <w:rPr>
          <w:rFonts w:ascii="Times New Roman" w:hAnsi="Times New Roman" w:cs="Times New Roman"/>
        </w:rPr>
        <w:t>first</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frameworks</w:t>
      </w:r>
      <w:proofErr w:type="spellEnd"/>
      <w:r w:rsidRPr="003B618A">
        <w:rPr>
          <w:rFonts w:ascii="Times New Roman" w:hAnsi="Times New Roman" w:cs="Times New Roman"/>
        </w:rPr>
        <w:t xml:space="preserve"> como </w:t>
      </w:r>
      <w:proofErr w:type="spellStart"/>
      <w:r w:rsidRPr="003B618A">
        <w:rPr>
          <w:rFonts w:ascii="Times New Roman" w:hAnsi="Times New Roman" w:cs="Times New Roman"/>
        </w:rPr>
        <w:t>PouchDB</w:t>
      </w:r>
      <w:proofErr w:type="spellEnd"/>
      <w:r w:rsidRPr="003B618A">
        <w:rPr>
          <w:rFonts w:ascii="Times New Roman" w:hAnsi="Times New Roman" w:cs="Times New Roman"/>
        </w:rPr>
        <w:t>, SQLite y PWA permiten construir sistemas robustos que funcionan sin conexión.</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Expansión de redes de telecomunicaciones: el proyecto Fibra Óptica Nacional y los programas Kioscos Vive Digital han mejorado la conectividad en algunas cabeceras municipales de Nariño.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lastRenderedPageBreak/>
        <w:t>Crecimiento del uso de SMS para salud pública: experiencias globales muestran que los recordatorios por SMS tienen tasas de apertura superiores al 90% en zonas rurales.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Tendencias de riesgo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Dependencia de operadores de telefonía para SMS: los costos pueden ser prohibitivos sin acuerdos institucionales con Claro, Movistar o Tigo.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Rotación de personal en ESE rurales: alta rotación del personal administrativo y médico puede comprometer la continuidad del sistema.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Ciberseguridad y protección de datos: la Ley 1581/2012 (habeas data) exige protocolos específicos para el manejo de datos clínicos sensibles.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4.3. Marco político y de política pública</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proyecto se alinea con múltiples marcos de política pública que le dan legitimidad y abre posibilidades de apoyo institucional: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Plan Nacional de Desarrollo 2022-2026 'Colombia Potencia Mundial de la Vida': incluye ejes de digitalización rural y fortalecimiento de la atención primaria en salud.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Política de Atención Primaria en Salud (APS) del </w:t>
      </w:r>
      <w:proofErr w:type="spellStart"/>
      <w:r w:rsidRPr="003B618A">
        <w:rPr>
          <w:rFonts w:ascii="Times New Roman" w:hAnsi="Times New Roman" w:cs="Times New Roman"/>
        </w:rPr>
        <w:t>MinSalud</w:t>
      </w:r>
      <w:proofErr w:type="spellEnd"/>
      <w:r w:rsidRPr="003B618A">
        <w:rPr>
          <w:rFonts w:ascii="Times New Roman" w:hAnsi="Times New Roman" w:cs="Times New Roman"/>
        </w:rPr>
        <w:t>: prioriza la resolución en el primer nivel de atención y la reducción de barreras de acceso.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Agenda de Transformación Digital Sectorial del </w:t>
      </w:r>
      <w:proofErr w:type="spellStart"/>
      <w:r w:rsidRPr="003B618A">
        <w:rPr>
          <w:rFonts w:ascii="Times New Roman" w:hAnsi="Times New Roman" w:cs="Times New Roman"/>
        </w:rPr>
        <w:t>MinSalud</w:t>
      </w:r>
      <w:proofErr w:type="spellEnd"/>
      <w:r w:rsidRPr="003B618A">
        <w:rPr>
          <w:rFonts w:ascii="Times New Roman" w:hAnsi="Times New Roman" w:cs="Times New Roman"/>
        </w:rPr>
        <w:t>: impulsa la adopción de historia clínica electrónica y telemedicina en zonas apartadas.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Objetivos de Desarrollo Sostenible (ODS 3): meta de cobertura universal en salud, con énfasis en poblaciones vulnerables y zonas rurales.</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5. ANÁLISIS DEL SISTEMA ACTUAL DE SOLUCIONES EXISTENTES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5.1. Mapeo de soluciones tecnológicas existentes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Antes de diseñar una nueva solución, es fundamental analizar críticamente las plataformas y sistemas que actualmente existen en el mercado o que han sido implementados en contextos similares. Este análisis permite identificar brechas, oportunidades de adaptación y riesgos de duplicación de esfuerzos.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Plataformas nacionales del sistema de salud colombiano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MIPRES (Mi Prescripción): sistema del </w:t>
      </w:r>
      <w:proofErr w:type="spellStart"/>
      <w:r w:rsidRPr="003B618A">
        <w:rPr>
          <w:rFonts w:ascii="Times New Roman" w:hAnsi="Times New Roman" w:cs="Times New Roman"/>
        </w:rPr>
        <w:t>MinSalud</w:t>
      </w:r>
      <w:proofErr w:type="spellEnd"/>
      <w:r w:rsidRPr="003B618A">
        <w:rPr>
          <w:rFonts w:ascii="Times New Roman" w:hAnsi="Times New Roman" w:cs="Times New Roman"/>
        </w:rPr>
        <w:t xml:space="preserve"> para prescripción de medicamentos y servicios complementarios. No gestiona citas de atención primaria.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SIVIGILA: sistema de vigilancia epidemiológica. No tiene módulo de gestión de citas ni historial clínico de paciente individual.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RIAS (Rutas Integrales de Atención en Salud): marco normativo de atención, sin soporte tecnológico propio para la gestión de citas en primer nivel.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Plataformas de EPS (Medimás, Nueva EPS, Coosalud, etc.): cada EPS tiene su propio sistema de agendamiento, generalmente accesible solo vía internet, con interfaces no adaptadas a la ruralidad.</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Soluciones de código abierto internacionales</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rPr>
        <w:t>OpenMRS</w:t>
      </w:r>
      <w:proofErr w:type="spellEnd"/>
      <w:r w:rsidRPr="003B618A">
        <w:rPr>
          <w:rFonts w:ascii="Times New Roman" w:hAnsi="Times New Roman" w:cs="Times New Roman"/>
        </w:rPr>
        <w:t xml:space="preserve">: sistema de registro médico electrónico open </w:t>
      </w:r>
      <w:proofErr w:type="spellStart"/>
      <w:r w:rsidRPr="003B618A">
        <w:rPr>
          <w:rFonts w:ascii="Times New Roman" w:hAnsi="Times New Roman" w:cs="Times New Roman"/>
        </w:rPr>
        <w:t>source</w:t>
      </w:r>
      <w:proofErr w:type="spellEnd"/>
      <w:r w:rsidRPr="003B618A">
        <w:rPr>
          <w:rFonts w:ascii="Times New Roman" w:hAnsi="Times New Roman" w:cs="Times New Roman"/>
        </w:rPr>
        <w:t xml:space="preserve"> con comunidad activa. Robusto pero complejo para usuarios sin formación técnica. Requiere adaptación significativa para el contexto colombiano.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DHIS2: plataforma de información en salud pública usada en más de 70 países. Enfocada en estadísticas y reportes epidemiológicos, no en gestión de citas individuales.</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rPr>
        <w:t>OpenClinic</w:t>
      </w:r>
      <w:proofErr w:type="spellEnd"/>
      <w:r w:rsidRPr="003B618A">
        <w:rPr>
          <w:rFonts w:ascii="Times New Roman" w:hAnsi="Times New Roman" w:cs="Times New Roman"/>
        </w:rPr>
        <w:t xml:space="preserve"> GA: sistema de información hospitalaria open </w:t>
      </w:r>
      <w:proofErr w:type="spellStart"/>
      <w:r w:rsidRPr="003B618A">
        <w:rPr>
          <w:rFonts w:ascii="Times New Roman" w:hAnsi="Times New Roman" w:cs="Times New Roman"/>
        </w:rPr>
        <w:t>source</w:t>
      </w:r>
      <w:proofErr w:type="spellEnd"/>
      <w:r w:rsidRPr="003B618A">
        <w:rPr>
          <w:rFonts w:ascii="Times New Roman" w:hAnsi="Times New Roman" w:cs="Times New Roman"/>
        </w:rPr>
        <w:t>. Más orientado a hospitales de segundo y tercer nivel.</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Soluciones comerciales disponibles en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000"/>
        <w:gridCol w:w="2360"/>
      </w:tblGrid>
      <w:tr w:rsidR="0045576B" w:rsidRPr="003B618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Solución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Funcionalidades</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Limitación rural</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Costo aproximado</w:t>
            </w:r>
          </w:p>
        </w:tc>
      </w:tr>
      <w:tr w:rsidR="0045576B" w:rsidRPr="003B618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proofErr w:type="spellStart"/>
            <w:r w:rsidRPr="003B618A">
              <w:rPr>
                <w:rFonts w:ascii="Times New Roman" w:hAnsi="Times New Roman" w:cs="Times New Roman"/>
                <w:b/>
                <w:bCs/>
                <w:color w:val="222222"/>
                <w:sz w:val="20"/>
                <w:szCs w:val="20"/>
              </w:rPr>
              <w:t>ClinicCloud</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Agendamiento online, historia clínica, facturación</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Requiere internet permanente</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$200.000-500.000/mes</w:t>
            </w:r>
          </w:p>
        </w:tc>
      </w:tr>
      <w:tr w:rsidR="0045576B" w:rsidRPr="003B618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proofErr w:type="spellStart"/>
            <w:r w:rsidRPr="003B618A">
              <w:rPr>
                <w:rFonts w:ascii="Times New Roman" w:hAnsi="Times New Roman" w:cs="Times New Roman"/>
                <w:b/>
                <w:bCs/>
                <w:color w:val="222222"/>
                <w:sz w:val="20"/>
                <w:szCs w:val="20"/>
              </w:rPr>
              <w:t>MedStar</w:t>
            </w:r>
            <w:proofErr w:type="spellEnd"/>
            <w:r w:rsidRPr="003B618A">
              <w:rPr>
                <w:rFonts w:ascii="Times New Roman" w:hAnsi="Times New Roman" w:cs="Times New Roman"/>
                <w:b/>
                <w:bCs/>
                <w:color w:val="222222"/>
                <w:sz w:val="20"/>
                <w:szCs w:val="20"/>
              </w:rPr>
              <w:t xml:space="preserve"> Colombia</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Gestión de citas, recordatorios, reportes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Sin modo offline, interfaz compleja</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$300.000-800.000/mes</w:t>
            </w:r>
          </w:p>
        </w:tc>
      </w:tr>
      <w:tr w:rsidR="0045576B" w:rsidRPr="003B618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proofErr w:type="spellStart"/>
            <w:r w:rsidRPr="003B618A">
              <w:rPr>
                <w:rFonts w:ascii="Times New Roman" w:hAnsi="Times New Roman" w:cs="Times New Roman"/>
                <w:b/>
                <w:bCs/>
                <w:color w:val="222222"/>
                <w:sz w:val="20"/>
                <w:szCs w:val="20"/>
              </w:rPr>
              <w:t>Doctoralia</w:t>
            </w:r>
            <w:proofErr w:type="spellEnd"/>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Reserva online de citas médicas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Solo para médicos con internet y smartphone</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$150.000-400.000/mes</w:t>
            </w:r>
          </w:p>
        </w:tc>
      </w:tr>
      <w:tr w:rsidR="0045576B" w:rsidRPr="003B618A">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proofErr w:type="spellStart"/>
            <w:r w:rsidRPr="003B618A">
              <w:rPr>
                <w:rFonts w:ascii="Times New Roman" w:hAnsi="Times New Roman" w:cs="Times New Roman"/>
                <w:b/>
                <w:bCs/>
                <w:color w:val="222222"/>
                <w:sz w:val="20"/>
                <w:szCs w:val="20"/>
              </w:rPr>
              <w:t>HosPital</w:t>
            </w:r>
            <w:proofErr w:type="spellEnd"/>
            <w:r w:rsidRPr="003B618A">
              <w:rPr>
                <w:rFonts w:ascii="Times New Roman" w:hAnsi="Times New Roman" w:cs="Times New Roman"/>
                <w:b/>
                <w:bCs/>
                <w:color w:val="222222"/>
                <w:sz w:val="20"/>
                <w:szCs w:val="20"/>
              </w:rPr>
              <w:t xml:space="preserve"> (local)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Historia clínica electrónica básica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Sin adaptación rural, sin SMS</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Licencia única $5-15M</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5.2. Brechas identificadas en las soluciones existentes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lastRenderedPageBreak/>
        <w:t>El análisis de las soluciones disponibles revela una brecha estructural significativa: ninguna de las plataformas existentes —nacionales ni internacionales— reúne simultáneamente las características necesarias para el contexto rural nariñense: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Funcionamiento completamente offline con sincronización asíncrona.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Interfaz adaptada a usuarios con baja alfabetización digital y diversidad cultural.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Recordatorios por SMS compatible con teléfonos básicos (no smartphones).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Costo de implementación y sostenimiento accesible para ESE rurales de baja complejidad.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Adaptabilidad al enfoque diferencial étnico (comunidades indígenas y afrodescendientes).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Módulo de gestión básica de historial clínico mínimo integrado con agendamiento.</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Esta brecha valida la pertinencia y originalidad del presente proyecto, que propone una solución diseñada específicamente para este contexto, no una adaptación superficial de herramientas urbanas.</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6. PLANTEAMIENTO DEL PROBLEMA, OBJETIVOS Y JUSTIFICACIÓN</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6.1. Problema central</w:t>
      </w:r>
    </w:p>
    <w:p w:rsidR="0045576B" w:rsidRPr="003B618A" w:rsidRDefault="004616A7">
      <w:pPr>
        <w:pBdr>
          <w:top w:val="single" w:sz="1" w:space="0" w:color="D6E4F0"/>
          <w:left w:val="single" w:sz="12" w:space="0" w:color="2E75B6"/>
          <w:bottom w:val="single" w:sz="1" w:space="0" w:color="D6E4F0"/>
          <w:right w:val="single" w:sz="1" w:space="0" w:color="D6E4F0"/>
        </w:pBdr>
        <w:shd w:val="clear" w:color="auto" w:fill="D6E4F0"/>
        <w:spacing w:before="120" w:after="120"/>
        <w:ind w:left="360" w:right="360"/>
        <w:jc w:val="center"/>
        <w:rPr>
          <w:rFonts w:ascii="Times New Roman" w:hAnsi="Times New Roman" w:cs="Times New Roman"/>
        </w:rPr>
      </w:pPr>
      <w:r w:rsidRPr="003B618A">
        <w:rPr>
          <w:rFonts w:ascii="Times New Roman" w:hAnsi="Times New Roman" w:cs="Times New Roman"/>
          <w:b/>
          <w:bCs/>
          <w:i/>
          <w:iCs/>
          <w:color w:val="1F3864"/>
          <w:sz w:val="26"/>
          <w:szCs w:val="26"/>
        </w:rPr>
        <w:t>Deficiencia en la asignación y gestión de citas médicas en centros de salud rurales de Nariño</w:t>
      </w:r>
    </w:p>
    <w:p w:rsidR="0045576B" w:rsidRPr="003B618A" w:rsidRDefault="0045576B">
      <w:pPr>
        <w:spacing w:before="60" w:after="60"/>
        <w:rPr>
          <w:rFonts w:ascii="Times New Roman" w:hAnsi="Times New Roman" w:cs="Times New Roman"/>
        </w:rPr>
      </w:pP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Los centros de salud rurales de municipios como Samaniego, La Llanada, Tumaco rural, El Tambo, Sandoná y sectores rurales de Pasto continúan gestionando citas médicas de forma manual, mediante cuadernos físicos, orden de llegada o llamadas informales. Esta situación genera barreras de acceso, ineficiencia operativa e inequidad en la atención de poblaciones históricamente marginadas.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6.2. Objetivo general</w:t>
      </w:r>
    </w:p>
    <w:p w:rsidR="0045576B" w:rsidRPr="003B618A" w:rsidRDefault="004616A7">
      <w:pPr>
        <w:pBdr>
          <w:top w:val="single" w:sz="1" w:space="0" w:color="D6E4F0"/>
          <w:left w:val="single" w:sz="12" w:space="0" w:color="2E75B6"/>
          <w:bottom w:val="single" w:sz="1" w:space="0" w:color="D6E4F0"/>
          <w:right w:val="single" w:sz="1" w:space="0" w:color="D6E4F0"/>
        </w:pBdr>
        <w:shd w:val="clear" w:color="auto" w:fill="D6E4F0"/>
        <w:spacing w:before="120" w:after="120"/>
        <w:ind w:left="360" w:right="360"/>
        <w:rPr>
          <w:rFonts w:ascii="Times New Roman" w:hAnsi="Times New Roman" w:cs="Times New Roman"/>
        </w:rPr>
      </w:pPr>
      <w:r w:rsidRPr="003B618A">
        <w:rPr>
          <w:rFonts w:ascii="Times New Roman" w:hAnsi="Times New Roman" w:cs="Times New Roman"/>
          <w:color w:val="333333"/>
        </w:rPr>
        <w:t>Diseñar e implementar un sistema de software para la gestión y asignación de citas médicas en centros de salud rurales del departamento de Nariño, adaptado a condiciones de conectividad limitada y a las características socioculturales de la población beneficiaria, con el fin de mejorar la oportunidad, eficiencia y equidad en el acceso a la atención primaria en salud.</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6.3. Objetivos específicos</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5576B" w:rsidRPr="003B618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proofErr w:type="spellStart"/>
            <w:r w:rsidRPr="003B618A">
              <w:rPr>
                <w:rFonts w:ascii="Times New Roman" w:hAnsi="Times New Roman" w:cs="Times New Roman"/>
                <w:b/>
                <w:bCs/>
                <w:color w:val="FFFFFF"/>
                <w:sz w:val="20"/>
                <w:szCs w:val="20"/>
              </w:rPr>
              <w:t>N°</w:t>
            </w:r>
            <w:proofErr w:type="spellEnd"/>
          </w:p>
        </w:tc>
        <w:tc>
          <w:tcPr>
            <w:tcW w:w="8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Objetivo específico</w:t>
            </w:r>
          </w:p>
        </w:tc>
      </w:tr>
      <w:tr w:rsidR="0045576B" w:rsidRPr="003B618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1</w:t>
            </w:r>
          </w:p>
        </w:tc>
        <w:tc>
          <w:tcPr>
            <w:tcW w:w="8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Diagnosticar el estado actual de la gestión de citas médicas en los centros de salud rurales seleccionados de Nariño, identificando flujos, actores y cuellos de botella.</w:t>
            </w:r>
          </w:p>
        </w:tc>
      </w:tr>
      <w:tr w:rsidR="0045576B" w:rsidRPr="003B618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2</w:t>
            </w:r>
          </w:p>
        </w:tc>
        <w:tc>
          <w:tcPr>
            <w:tcW w:w="8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Diseñar un sistema de asignación de citas con interfaz simple, funcionamiento offline y mecanismos de recordatorio vía SMS, adaptado a las condiciones rurales.</w:t>
            </w:r>
          </w:p>
        </w:tc>
      </w:tr>
      <w:tr w:rsidR="0045576B" w:rsidRPr="003B618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3</w:t>
            </w:r>
          </w:p>
        </w:tc>
        <w:tc>
          <w:tcPr>
            <w:tcW w:w="8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Desarrollar un módulo de gestión básica de pacientes con historial clínico mínimo, control de cupos y panel administrativo para el personal de salud.</w:t>
            </w:r>
          </w:p>
        </w:tc>
      </w:tr>
      <w:tr w:rsidR="0045576B" w:rsidRPr="003B618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4</w:t>
            </w:r>
          </w:p>
        </w:tc>
        <w:tc>
          <w:tcPr>
            <w:tcW w:w="8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Implementar un piloto del sistema en al menos dos centros de salud rurales, capacitando al personal administrativo y médico en su uso.</w:t>
            </w:r>
          </w:p>
        </w:tc>
      </w:tr>
      <w:tr w:rsidR="0045576B" w:rsidRPr="003B618A">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5</w:t>
            </w:r>
          </w:p>
        </w:tc>
        <w:tc>
          <w:tcPr>
            <w:tcW w:w="8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Evaluar el impacto del sistema en la reducción de ausentismo, filas y tiempos de espera, y en la satisfacción de los usuarios y el personal de salud.</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6.4. Justificación</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Justificación social</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 xml:space="preserve">La gestión deficiente de citas afecta especialmente a adultos mayores, mujeres gestantes, niños y comunidades indígenas, quienes dependen de atención oportuna y enfrentan mayores barreras de desplazamiento. Un sistema </w:t>
      </w:r>
      <w:r w:rsidRPr="003B618A">
        <w:rPr>
          <w:rFonts w:ascii="Times New Roman" w:hAnsi="Times New Roman" w:cs="Times New Roman"/>
        </w:rPr>
        <w:lastRenderedPageBreak/>
        <w:t>eficiente de gestión de citas no solo mejora la logística sanitaria: reduce inequidades históricas de acceso a la salud.</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Justificación económica</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Las familias rurales asumen costos de transporte innecesarios y pierden jornadas laborales por citas no confirmadas o perdidas, agravando su situación de vulnerabilidad económica. Se estima que en zonas rurales de Nariño el costo de un viaje a la cabecera municipal puede representar entre el 10% y el 25% del ingreso semanal de una familia campesina.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Justificación institucional</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La sobrecarga administrativa reduce la eficiencia del personal médico y deteriora la calidad del servicio. Los servicios de urgencias se saturan con casos que podrían resolverse por cita previa oportuna. Un sistema digital libera tiempo del personal de salud para la atención clínica efectiva.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Justificación tecnológica</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Las plataformas digitales existentes de las EPS no responden a la realidad rural: requieren conectividad permanente, dispositivos avanzados y alfabetización digital que la población no tiene. Este proyecto ofrece una solución técnica adaptada, sostenible y replicable que puede ser un modelo para otros departamentos con características similares.</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7. ALTERNATIVAS Y RESTRICCIONES DEL SISTEMA DE SOFTWARE</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7.1. Análisis de alternativas tecnológicas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Para el desarrollo del sistema de gestión de citas, se evaluaron tres alternativas tecnológicas principales, considerando los criterios de accesibilidad, costo, escalabilidad y adaptabilidad al contexto rural:</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400"/>
        <w:gridCol w:w="2360"/>
      </w:tblGrid>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Criterio</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Alt. 1: App móvil nativa</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Alt. 2: Aplicación web PWA</w:t>
            </w:r>
          </w:p>
        </w:tc>
        <w:tc>
          <w:tcPr>
            <w:tcW w:w="2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Alt. 3: Software escritorio + web</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Modo offline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Sí (nativa)</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Sí (</w:t>
            </w:r>
            <w:proofErr w:type="spellStart"/>
            <w:r w:rsidRPr="003B618A">
              <w:rPr>
                <w:rFonts w:ascii="Times New Roman" w:hAnsi="Times New Roman" w:cs="Times New Roman"/>
                <w:color w:val="222222"/>
                <w:sz w:val="20"/>
                <w:szCs w:val="20"/>
              </w:rPr>
              <w:t>service</w:t>
            </w:r>
            <w:proofErr w:type="spellEnd"/>
            <w:r w:rsidRPr="003B618A">
              <w:rPr>
                <w:rFonts w:ascii="Times New Roman" w:hAnsi="Times New Roman" w:cs="Times New Roman"/>
                <w:color w:val="222222"/>
                <w:sz w:val="20"/>
                <w:szCs w:val="20"/>
              </w:rPr>
              <w:t xml:space="preserve"> </w:t>
            </w:r>
            <w:proofErr w:type="spellStart"/>
            <w:r w:rsidRPr="003B618A">
              <w:rPr>
                <w:rFonts w:ascii="Times New Roman" w:hAnsi="Times New Roman" w:cs="Times New Roman"/>
                <w:color w:val="222222"/>
                <w:sz w:val="20"/>
                <w:szCs w:val="20"/>
              </w:rPr>
              <w:t>workers</w:t>
            </w:r>
            <w:proofErr w:type="spellEnd"/>
            <w:r w:rsidRPr="003B618A">
              <w:rPr>
                <w:rFonts w:ascii="Times New Roman" w:hAnsi="Times New Roman" w:cs="Times New Roman"/>
                <w:color w:val="222222"/>
                <w:sz w:val="20"/>
                <w:szCs w:val="20"/>
              </w:rPr>
              <w:t>)</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Sí (local DB)</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Dispositivos compatibles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 xml:space="preserve">Solo smartphones </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Cualquier dispositivo con navegador</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 xml:space="preserve">PC + </w:t>
            </w:r>
            <w:proofErr w:type="spellStart"/>
            <w:r w:rsidRPr="003B618A">
              <w:rPr>
                <w:rFonts w:ascii="Times New Roman" w:hAnsi="Times New Roman" w:cs="Times New Roman"/>
                <w:color w:val="222222"/>
                <w:sz w:val="20"/>
                <w:szCs w:val="20"/>
              </w:rPr>
              <w:t>tablets</w:t>
            </w:r>
            <w:proofErr w:type="spellEnd"/>
            <w:r w:rsidRPr="003B618A">
              <w:rPr>
                <w:rFonts w:ascii="Times New Roman" w:hAnsi="Times New Roman" w:cs="Times New Roman"/>
                <w:color w:val="222222"/>
                <w:sz w:val="20"/>
                <w:szCs w:val="20"/>
              </w:rPr>
              <w:t xml:space="preserve"> con navegador</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Costo de desarrollo</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Alto (iOS + Android)</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Medio</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Medio-bajo</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Facilidad de uso rural</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Baja-Media</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Media-Alta</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Alta (en PC de escritorio)</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SMS integrado</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Sí (con API)</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Sí (con API)</w:t>
            </w:r>
          </w:p>
        </w:tc>
        <w:tc>
          <w:tcPr>
            <w:tcW w:w="2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Sí (con API)</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Mantenimiento</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Complejo (tiendas de apps)</w:t>
            </w:r>
          </w:p>
        </w:tc>
        <w:tc>
          <w:tcPr>
            <w:tcW w:w="2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Simple (navegador)</w:t>
            </w:r>
          </w:p>
        </w:tc>
        <w:tc>
          <w:tcPr>
            <w:tcW w:w="2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Simple</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RECOMENDACIÓN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No recomendada</w:t>
            </w:r>
          </w:p>
        </w:tc>
        <w:tc>
          <w:tcPr>
            <w:tcW w:w="2400" w:type="dxa"/>
            <w:tcBorders>
              <w:top w:val="single" w:sz="1" w:space="0" w:color="AAAAAA"/>
              <w:left w:val="single" w:sz="1" w:space="0" w:color="AAAAAA"/>
              <w:bottom w:val="single" w:sz="1" w:space="0" w:color="AAAAAA"/>
              <w:right w:val="single" w:sz="1" w:space="0" w:color="AAAAAA"/>
            </w:tcBorders>
            <w:shd w:val="clear" w:color="auto" w:fill="C6EFCE"/>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RECOMENDADA</w:t>
            </w:r>
          </w:p>
        </w:tc>
        <w:tc>
          <w:tcPr>
            <w:tcW w:w="2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Complementaria</w:t>
            </w:r>
          </w:p>
        </w:tc>
      </w:tr>
    </w:tbl>
    <w:p w:rsidR="0045576B" w:rsidRPr="003B618A" w:rsidRDefault="0045576B">
      <w:pPr>
        <w:spacing w:before="60" w:after="60"/>
        <w:rPr>
          <w:rFonts w:ascii="Times New Roman" w:hAnsi="Times New Roman" w:cs="Times New Roman"/>
        </w:rPr>
      </w:pP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 xml:space="preserve">Se recomienda la Alternativa 2 (PWA - </w:t>
      </w:r>
      <w:proofErr w:type="spellStart"/>
      <w:r w:rsidRPr="003B618A">
        <w:rPr>
          <w:rFonts w:ascii="Times New Roman" w:hAnsi="Times New Roman" w:cs="Times New Roman"/>
        </w:rPr>
        <w:t>Progressive</w:t>
      </w:r>
      <w:proofErr w:type="spellEnd"/>
      <w:r w:rsidRPr="003B618A">
        <w:rPr>
          <w:rFonts w:ascii="Times New Roman" w:hAnsi="Times New Roman" w:cs="Times New Roman"/>
        </w:rPr>
        <w:t xml:space="preserve"> Web App) como tecnología principal, dado que ofrece el mejor balance entre funcionamiento offline, compatibilidad con dispositivos heterogéneos (</w:t>
      </w:r>
      <w:proofErr w:type="spellStart"/>
      <w:r w:rsidRPr="003B618A">
        <w:rPr>
          <w:rFonts w:ascii="Times New Roman" w:hAnsi="Times New Roman" w:cs="Times New Roman"/>
        </w:rPr>
        <w:t>tablets</w:t>
      </w:r>
      <w:proofErr w:type="spellEnd"/>
      <w:r w:rsidRPr="003B618A">
        <w:rPr>
          <w:rFonts w:ascii="Times New Roman" w:hAnsi="Times New Roman" w:cs="Times New Roman"/>
        </w:rPr>
        <w:t xml:space="preserve"> básicas, computadores de escritorio) y facilidad de actualización sin depender de tiendas de aplicaciones.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7.2. Restricciones del sistema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Restricciones técnicas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Conectividad: el sistema no puede depender de internet para su funcionamiento básico. Debe operar con base de datos local y sincronizar cuando haya conexión disponible.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Hardware: debe funcionar en equipos con Windows 7 o superior, o en </w:t>
      </w:r>
      <w:proofErr w:type="spellStart"/>
      <w:r w:rsidRPr="003B618A">
        <w:rPr>
          <w:rFonts w:ascii="Times New Roman" w:hAnsi="Times New Roman" w:cs="Times New Roman"/>
        </w:rPr>
        <w:t>tablets</w:t>
      </w:r>
      <w:proofErr w:type="spellEnd"/>
      <w:r w:rsidRPr="003B618A">
        <w:rPr>
          <w:rFonts w:ascii="Times New Roman" w:hAnsi="Times New Roman" w:cs="Times New Roman"/>
        </w:rPr>
        <w:t xml:space="preserve"> Android básicas (versión 7+). No se puede asumir disponibilidad de hardware reciente.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Ancho de banda: cuando haya conexión, debe ser eficiente en el uso de datos, dado que las conexiones rurales son lentas y costosas (2G/3G).</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Energía: algunas zonas tienen cortes frecuentes de electricidad; el sistema debe tolerar interrupciones sin perder datos.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Restricciones normativas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Ley 1581/2012 (Habeas Data): toda la información de pacientes debe ser tratada con los estándares de protección de datos personales sensibles.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lastRenderedPageBreak/>
        <w:t xml:space="preserve">Resolución 1604/2013 del </w:t>
      </w:r>
      <w:proofErr w:type="spellStart"/>
      <w:r w:rsidRPr="003B618A">
        <w:rPr>
          <w:rFonts w:ascii="Times New Roman" w:hAnsi="Times New Roman" w:cs="Times New Roman"/>
        </w:rPr>
        <w:t>MinSalud</w:t>
      </w:r>
      <w:proofErr w:type="spellEnd"/>
      <w:r w:rsidRPr="003B618A">
        <w:rPr>
          <w:rFonts w:ascii="Times New Roman" w:hAnsi="Times New Roman" w:cs="Times New Roman"/>
        </w:rPr>
        <w:t>: lineamientos para el manejo de historia clínica electrónica.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Circular 058/2015 de la Superintendencia Nacional de Salud: requisitos para sistemas de información en salud.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Política de Interoperabilidad del </w:t>
      </w:r>
      <w:proofErr w:type="spellStart"/>
      <w:r w:rsidRPr="003B618A">
        <w:rPr>
          <w:rFonts w:ascii="Times New Roman" w:hAnsi="Times New Roman" w:cs="Times New Roman"/>
        </w:rPr>
        <w:t>MinSalud</w:t>
      </w:r>
      <w:proofErr w:type="spellEnd"/>
      <w:r w:rsidRPr="003B618A">
        <w:rPr>
          <w:rFonts w:ascii="Times New Roman" w:hAnsi="Times New Roman" w:cs="Times New Roman"/>
        </w:rPr>
        <w:t>: el sistema debe estar diseñado para futuras integraciones con plataformas nacionales (RIPS, historia clínica electrónica).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Restricciones humanas y culturales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El sistema no puede reemplazar la interacción humana en comunidades donde la confianza interpersonal es un valor fundamental.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Debe respetar los sistemas de salud propios de las comunidades indígenas, actuando como complemento y no como sustituto.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interfaz debe estar diseñada con y para los usuarios finales, no impuesta desde una perspectiva urbana o técnica.</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8. MODELO DE IMPLEMENTACIÓN Y ESTRATEGIA DE ADOPCIÓN</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8.1. Metodología de implementación</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proyecto adopta una metodología de desarrollo ágil con enfoque centrado en el usuario (Human-</w:t>
      </w:r>
      <w:proofErr w:type="spellStart"/>
      <w:r w:rsidRPr="003B618A">
        <w:rPr>
          <w:rFonts w:ascii="Times New Roman" w:hAnsi="Times New Roman" w:cs="Times New Roman"/>
        </w:rPr>
        <w:t>Centered</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Design</w:t>
      </w:r>
      <w:proofErr w:type="spellEnd"/>
      <w:r w:rsidRPr="003B618A">
        <w:rPr>
          <w:rFonts w:ascii="Times New Roman" w:hAnsi="Times New Roman" w:cs="Times New Roman"/>
        </w:rPr>
        <w:t>), combinada con investigación acción participativa (IAP) en el componente de diagnóstico y validación. Este enfoque garantiza que el sistema responda a necesidades reales y no a supuestos técnicos.</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Fases del proyecto</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4"/>
        <w:gridCol w:w="2143"/>
        <w:gridCol w:w="3166"/>
        <w:gridCol w:w="1190"/>
        <w:gridCol w:w="1507"/>
      </w:tblGrid>
      <w:tr w:rsidR="0045576B" w:rsidRPr="003B618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Fase</w:t>
            </w:r>
          </w:p>
        </w:tc>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Nombre</w:t>
            </w:r>
          </w:p>
        </w:tc>
        <w:tc>
          <w:tcPr>
            <w:tcW w:w="3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Actividades principales</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Duración</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Responsable</w:t>
            </w:r>
          </w:p>
        </w:tc>
      </w:tr>
      <w:tr w:rsidR="0045576B" w:rsidRPr="003B618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Diagnóstico y análisis</w:t>
            </w:r>
          </w:p>
        </w:tc>
        <w:tc>
          <w:tcPr>
            <w:tcW w:w="3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Visitas de campo, entrevistas, mapeo de procesos actuales, requerimientos con personal y pacientes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~1 mes</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Equipo investigación</w:t>
            </w:r>
          </w:p>
        </w:tc>
      </w:tr>
      <w:tr w:rsidR="0045576B" w:rsidRPr="003B618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2</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Diseño del sistema</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Diseño UX/UI accesible, arquitectura de base de datos, definición de módulos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~1 mes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 xml:space="preserve">UX/UI + </w:t>
            </w:r>
            <w:proofErr w:type="spellStart"/>
            <w:r w:rsidRPr="003B618A">
              <w:rPr>
                <w:rFonts w:ascii="Times New Roman" w:hAnsi="Times New Roman" w:cs="Times New Roman"/>
                <w:color w:val="222222"/>
                <w:sz w:val="20"/>
                <w:szCs w:val="20"/>
              </w:rPr>
              <w:t>devs</w:t>
            </w:r>
            <w:proofErr w:type="spellEnd"/>
          </w:p>
        </w:tc>
      </w:tr>
      <w:tr w:rsidR="0045576B" w:rsidRPr="003B618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Desarrollo</w:t>
            </w:r>
          </w:p>
        </w:tc>
        <w:tc>
          <w:tcPr>
            <w:tcW w:w="3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 xml:space="preserve">Desarrollo </w:t>
            </w:r>
            <w:proofErr w:type="spellStart"/>
            <w:r w:rsidRPr="003B618A">
              <w:rPr>
                <w:rFonts w:ascii="Times New Roman" w:hAnsi="Times New Roman" w:cs="Times New Roman"/>
                <w:color w:val="222222"/>
                <w:sz w:val="20"/>
                <w:szCs w:val="20"/>
              </w:rPr>
              <w:t>backend</w:t>
            </w:r>
            <w:proofErr w:type="spellEnd"/>
            <w:r w:rsidRPr="003B618A">
              <w:rPr>
                <w:rFonts w:ascii="Times New Roman" w:hAnsi="Times New Roman" w:cs="Times New Roman"/>
                <w:color w:val="222222"/>
                <w:sz w:val="20"/>
                <w:szCs w:val="20"/>
              </w:rPr>
              <w:t>/</w:t>
            </w:r>
            <w:proofErr w:type="spellStart"/>
            <w:r w:rsidRPr="003B618A">
              <w:rPr>
                <w:rFonts w:ascii="Times New Roman" w:hAnsi="Times New Roman" w:cs="Times New Roman"/>
                <w:color w:val="222222"/>
                <w:sz w:val="20"/>
                <w:szCs w:val="20"/>
              </w:rPr>
              <w:t>frontend</w:t>
            </w:r>
            <w:proofErr w:type="spellEnd"/>
            <w:r w:rsidRPr="003B618A">
              <w:rPr>
                <w:rFonts w:ascii="Times New Roman" w:hAnsi="Times New Roman" w:cs="Times New Roman"/>
                <w:color w:val="222222"/>
                <w:sz w:val="20"/>
                <w:szCs w:val="20"/>
              </w:rPr>
              <w:t>, módulo offline/</w:t>
            </w:r>
            <w:proofErr w:type="spellStart"/>
            <w:r w:rsidRPr="003B618A">
              <w:rPr>
                <w:rFonts w:ascii="Times New Roman" w:hAnsi="Times New Roman" w:cs="Times New Roman"/>
                <w:color w:val="222222"/>
                <w:sz w:val="20"/>
                <w:szCs w:val="20"/>
              </w:rPr>
              <w:t>sync</w:t>
            </w:r>
            <w:proofErr w:type="spellEnd"/>
            <w:r w:rsidRPr="003B618A">
              <w:rPr>
                <w:rFonts w:ascii="Times New Roman" w:hAnsi="Times New Roman" w:cs="Times New Roman"/>
                <w:color w:val="222222"/>
                <w:sz w:val="20"/>
                <w:szCs w:val="20"/>
              </w:rPr>
              <w:t>, integración SMS, pruebas unitarias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~4 meses</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Desarrolladores</w:t>
            </w:r>
          </w:p>
        </w:tc>
      </w:tr>
      <w:tr w:rsidR="0045576B" w:rsidRPr="003B618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4</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Piloto en campo</w:t>
            </w:r>
          </w:p>
        </w:tc>
        <w:tc>
          <w:tcPr>
            <w:tcW w:w="32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Implementación en 2 centros, capacitación al personal, ajustes según retroalimentación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~2 meses</w:t>
            </w:r>
          </w:p>
        </w:tc>
        <w:tc>
          <w:tcPr>
            <w:tcW w:w="13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Equipo técnico</w:t>
            </w:r>
          </w:p>
        </w:tc>
      </w:tr>
      <w:tr w:rsidR="0045576B" w:rsidRPr="003B618A">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222222"/>
                <w:sz w:val="20"/>
                <w:szCs w:val="20"/>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Evaluación</w:t>
            </w:r>
          </w:p>
        </w:tc>
        <w:tc>
          <w:tcPr>
            <w:tcW w:w="32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Medición de indicadores: ausentismo, tiempos de espera, satisfacción, generación de reportes</w:t>
            </w:r>
          </w:p>
        </w:tc>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~1 mes</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Universidad evaluadora</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8.2. Estrategia de adopción y cambio cultural</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La implementación de tecnología en contextos rurales históricamente excluidos requiere una estrategia de adopción que vaya más allá de la capacitación técnica. Se propone un modelo de apropiación comunitaria: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Agentes de cambio locales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Identificar y capacitar promotores de salud comunitarios como primeros usuarios y multiplicadores del sistema.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Involucrar a líderes comunitarios, gobernadores de cabildo y juntas de acción comunal en la socialización del proyecto.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Crear un grupo de usuarios clave (personal administrativo, médico rural, promotor de salud) que participe en las pruebas y retroalimentación del sistema.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lastRenderedPageBreak/>
        <w:t>Capacitación diferenciada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Sesiones de capacitación presenciales con materiales en lenguaje sencillo, iconografía y simulaciones prácticas.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Videos tutoriales cortos para refuerzo, descargables sin internet.</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Línea de soporte técnico con tiempos de respuesta comprometidos para los centros piloto.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Manual de usuario impreso como respaldo para zonas sin conectividad.</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8.3. Plan de sostenibilidad</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Para garantizar que el sistema no sea un proyecto puntual sino una herramienta duradera, se propone un modelo de sostenibilidad en tres dimensiones: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Sostenibilidad técnica: código abierto, documentación completa, formación de personal técnico local para mantenimiento básico.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Sostenibilidad financiera: modelo de costo compartido entre ESE, alcaldías y posibles convenios con universidades o MinTIC. Costo de operación estimado en $200.000-400.000 COP/mes por centro (principalmente SMS).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Sostenibilidad institucional: integración formal del sistema en los procesos institucionales de las ESE, con indicadores que justifiquen su continuidad ante entes de control.</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9. ACTORES INVOLUCRADOS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9.1. Mapa de actores del proyecto</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 xml:space="preserve">El éxito del proyecto depende de la articulación efectiva de múltiples actores con intereses, capacidades y niveles de influencia diferentes. A </w:t>
      </w:r>
      <w:proofErr w:type="gramStart"/>
      <w:r w:rsidRPr="003B618A">
        <w:rPr>
          <w:rFonts w:ascii="Times New Roman" w:hAnsi="Times New Roman" w:cs="Times New Roman"/>
        </w:rPr>
        <w:t>continuación</w:t>
      </w:r>
      <w:proofErr w:type="gramEnd"/>
      <w:r w:rsidRPr="003B618A">
        <w:rPr>
          <w:rFonts w:ascii="Times New Roman" w:hAnsi="Times New Roman" w:cs="Times New Roman"/>
        </w:rPr>
        <w:t xml:space="preserve"> se presenta el análisis detallado:</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969"/>
        <w:gridCol w:w="2903"/>
        <w:gridCol w:w="1381"/>
        <w:gridCol w:w="952"/>
      </w:tblGrid>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Actor</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Rol en el proyecto</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Interés / Expectativa</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Nivel de influencia</w:t>
            </w:r>
          </w:p>
        </w:tc>
        <w:tc>
          <w:tcPr>
            <w:tcW w:w="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Posición</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Pacientes rurales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Beneficiarios directos</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Acceder a citas sin madrugar; recibir confirmaciones y recordatorios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Alto</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 favor</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Personal médico y enfermería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Usuarios / validadores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Reducir tiempo administrativo; control claro de agenda y cupos</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Alto</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 favor</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Personal administrativo ESE</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Operadores principales</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Simplificar asignación; reducir errores y conflictos por turnos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Alto</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 favor</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ESE (unidad ejecutora)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Implementador principal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Mejorar indicadores de eficiencia, acceso y satisfacción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Alto</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 favor</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Alcaldías municipales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Financiadores / autoridad</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Cumplir metas de salud pública; demostrar resultados</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Medio-alto</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Neutral</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EPS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Marco normativo</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Integración con sus sistemas; cumplimiento de rutas de atención</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Medio</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Neutral</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Comunidades indígenas y campesinas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Beneficiarios diferenciales</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Atención culturalmente apropiada; no reemplazar interacción humana</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Medio</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Variable</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Universidades (apoyo técnico)</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Desarrolladoras / evaluadoras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Aplicar conocimiento en soluciones con impacto social real</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Técnico</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 favor</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proofErr w:type="spellStart"/>
            <w:r w:rsidRPr="003B618A">
              <w:rPr>
                <w:rFonts w:ascii="Times New Roman" w:hAnsi="Times New Roman" w:cs="Times New Roman"/>
                <w:b/>
                <w:bCs/>
                <w:color w:val="222222"/>
                <w:sz w:val="20"/>
                <w:szCs w:val="20"/>
              </w:rPr>
              <w:t>MinSalud</w:t>
            </w:r>
            <w:proofErr w:type="spellEnd"/>
            <w:r w:rsidRPr="003B618A">
              <w:rPr>
                <w:rFonts w:ascii="Times New Roman" w:hAnsi="Times New Roman" w:cs="Times New Roman"/>
                <w:b/>
                <w:bCs/>
                <w:color w:val="222222"/>
                <w:sz w:val="20"/>
                <w:szCs w:val="20"/>
              </w:rPr>
              <w:t xml:space="preserve"> / Secretarías</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Política pública</w:t>
            </w:r>
          </w:p>
        </w:tc>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Alineación con política de APS y digitalización del sistema</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Normativo</w:t>
            </w:r>
          </w:p>
        </w:tc>
        <w:tc>
          <w:tcPr>
            <w:tcW w:w="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A favor</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Operadores de telefonía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Proveedor SMS</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Prestación del servicio de mensajería a bajo costo</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Bajo</w:t>
            </w:r>
          </w:p>
        </w:tc>
        <w:tc>
          <w:tcPr>
            <w:tcW w:w="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color w:val="222222"/>
                <w:sz w:val="20"/>
                <w:szCs w:val="20"/>
              </w:rPr>
              <w:t>Neutral</w:t>
            </w:r>
          </w:p>
        </w:tc>
      </w:tr>
    </w:tbl>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10. EQUIPO DE TRABAJO, ROLES Y HABILIDADES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10.1. Estructura del equipo</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proyecto requiere un equipo interdisciplinario que combine competencias técnicas en desarrollo de software con conocimiento del contexto de salud rural y capacidad de gestión de proyectos sociales. Se propone la siguiente estructura:</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560"/>
        <w:gridCol w:w="2600"/>
      </w:tblGrid>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Rol</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Perfil y habilidades clave</w:t>
            </w:r>
          </w:p>
        </w:tc>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Dedicación estimada</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Líder de proyecto</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Gestión de proyectos tecnológicos, coordinación intersectorial, conocimiento del sistema de salud rural, habilidades de negociación con actores institucionales</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Tiempo completo (todas las fases)</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 xml:space="preserve">Desarrollador </w:t>
            </w:r>
            <w:proofErr w:type="spellStart"/>
            <w:r w:rsidRPr="003B618A">
              <w:rPr>
                <w:rFonts w:ascii="Times New Roman" w:hAnsi="Times New Roman" w:cs="Times New Roman"/>
                <w:b/>
                <w:bCs/>
                <w:color w:val="222222"/>
                <w:sz w:val="20"/>
                <w:szCs w:val="20"/>
              </w:rPr>
              <w:t>backend</w:t>
            </w:r>
            <w:proofErr w:type="spellEnd"/>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APIs REST, bases de datos relacionales (PostgreSQL/SQLite), lógica de sincronización offline, integración de API SMS (</w:t>
            </w:r>
            <w:proofErr w:type="spellStart"/>
            <w:r w:rsidRPr="003B618A">
              <w:rPr>
                <w:rFonts w:ascii="Times New Roman" w:hAnsi="Times New Roman" w:cs="Times New Roman"/>
                <w:color w:val="222222"/>
                <w:sz w:val="20"/>
                <w:szCs w:val="20"/>
              </w:rPr>
              <w:t>Twilio</w:t>
            </w:r>
            <w:proofErr w:type="spellEnd"/>
            <w:r w:rsidRPr="003B618A">
              <w:rPr>
                <w:rFonts w:ascii="Times New Roman" w:hAnsi="Times New Roman" w:cs="Times New Roman"/>
                <w:color w:val="222222"/>
                <w:sz w:val="20"/>
                <w:szCs w:val="20"/>
              </w:rPr>
              <w:t xml:space="preserve">, </w:t>
            </w:r>
            <w:proofErr w:type="spellStart"/>
            <w:r w:rsidRPr="003B618A">
              <w:rPr>
                <w:rFonts w:ascii="Times New Roman" w:hAnsi="Times New Roman" w:cs="Times New Roman"/>
                <w:color w:val="222222"/>
                <w:sz w:val="20"/>
                <w:szCs w:val="20"/>
              </w:rPr>
              <w:t>Infobip</w:t>
            </w:r>
            <w:proofErr w:type="spellEnd"/>
            <w:r w:rsidRPr="003B618A">
              <w:rPr>
                <w:rFonts w:ascii="Times New Roman" w:hAnsi="Times New Roman" w:cs="Times New Roman"/>
                <w:color w:val="222222"/>
                <w:sz w:val="20"/>
                <w:szCs w:val="20"/>
              </w:rPr>
              <w:t xml:space="preserve"> o similar), seguridad de datos</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Tiempo completo (Fases 2-4)</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 xml:space="preserve">Desarrollador </w:t>
            </w:r>
            <w:proofErr w:type="spellStart"/>
            <w:r w:rsidRPr="003B618A">
              <w:rPr>
                <w:rFonts w:ascii="Times New Roman" w:hAnsi="Times New Roman" w:cs="Times New Roman"/>
                <w:b/>
                <w:bCs/>
                <w:color w:val="222222"/>
                <w:sz w:val="20"/>
                <w:szCs w:val="20"/>
              </w:rPr>
              <w:t>frontend</w:t>
            </w:r>
            <w:proofErr w:type="spellEnd"/>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PWA (</w:t>
            </w:r>
            <w:proofErr w:type="spellStart"/>
            <w:r w:rsidRPr="003B618A">
              <w:rPr>
                <w:rFonts w:ascii="Times New Roman" w:hAnsi="Times New Roman" w:cs="Times New Roman"/>
                <w:color w:val="222222"/>
                <w:sz w:val="20"/>
                <w:szCs w:val="20"/>
              </w:rPr>
              <w:t>Progressive</w:t>
            </w:r>
            <w:proofErr w:type="spellEnd"/>
            <w:r w:rsidRPr="003B618A">
              <w:rPr>
                <w:rFonts w:ascii="Times New Roman" w:hAnsi="Times New Roman" w:cs="Times New Roman"/>
                <w:color w:val="222222"/>
                <w:sz w:val="20"/>
                <w:szCs w:val="20"/>
              </w:rPr>
              <w:t xml:space="preserve"> Web App), interfaces accesibles, modo offline con </w:t>
            </w:r>
            <w:proofErr w:type="spellStart"/>
            <w:r w:rsidRPr="003B618A">
              <w:rPr>
                <w:rFonts w:ascii="Times New Roman" w:hAnsi="Times New Roman" w:cs="Times New Roman"/>
                <w:color w:val="222222"/>
                <w:sz w:val="20"/>
                <w:szCs w:val="20"/>
              </w:rPr>
              <w:t>Service</w:t>
            </w:r>
            <w:proofErr w:type="spellEnd"/>
            <w:r w:rsidRPr="003B618A">
              <w:rPr>
                <w:rFonts w:ascii="Times New Roman" w:hAnsi="Times New Roman" w:cs="Times New Roman"/>
                <w:color w:val="222222"/>
                <w:sz w:val="20"/>
                <w:szCs w:val="20"/>
              </w:rPr>
              <w:t xml:space="preserve"> </w:t>
            </w:r>
            <w:proofErr w:type="spellStart"/>
            <w:r w:rsidRPr="003B618A">
              <w:rPr>
                <w:rFonts w:ascii="Times New Roman" w:hAnsi="Times New Roman" w:cs="Times New Roman"/>
                <w:color w:val="222222"/>
                <w:sz w:val="20"/>
                <w:szCs w:val="20"/>
              </w:rPr>
              <w:t>Workers</w:t>
            </w:r>
            <w:proofErr w:type="spellEnd"/>
            <w:r w:rsidRPr="003B618A">
              <w:rPr>
                <w:rFonts w:ascii="Times New Roman" w:hAnsi="Times New Roman" w:cs="Times New Roman"/>
                <w:color w:val="222222"/>
                <w:sz w:val="20"/>
                <w:szCs w:val="20"/>
              </w:rPr>
              <w:t xml:space="preserve"> e </w:t>
            </w:r>
            <w:proofErr w:type="spellStart"/>
            <w:r w:rsidRPr="003B618A">
              <w:rPr>
                <w:rFonts w:ascii="Times New Roman" w:hAnsi="Times New Roman" w:cs="Times New Roman"/>
                <w:color w:val="222222"/>
                <w:sz w:val="20"/>
                <w:szCs w:val="20"/>
              </w:rPr>
              <w:t>IndexedDB</w:t>
            </w:r>
            <w:proofErr w:type="spellEnd"/>
            <w:r w:rsidRPr="003B618A">
              <w:rPr>
                <w:rFonts w:ascii="Times New Roman" w:hAnsi="Times New Roman" w:cs="Times New Roman"/>
                <w:color w:val="222222"/>
                <w:sz w:val="20"/>
                <w:szCs w:val="20"/>
              </w:rPr>
              <w:t xml:space="preserve">, diseño </w:t>
            </w:r>
            <w:proofErr w:type="spellStart"/>
            <w:r w:rsidRPr="003B618A">
              <w:rPr>
                <w:rFonts w:ascii="Times New Roman" w:hAnsi="Times New Roman" w:cs="Times New Roman"/>
                <w:color w:val="222222"/>
                <w:sz w:val="20"/>
                <w:szCs w:val="20"/>
              </w:rPr>
              <w:t>responsive</w:t>
            </w:r>
            <w:proofErr w:type="spellEnd"/>
            <w:r w:rsidRPr="003B618A">
              <w:rPr>
                <w:rFonts w:ascii="Times New Roman" w:hAnsi="Times New Roman" w:cs="Times New Roman"/>
                <w:color w:val="222222"/>
                <w:sz w:val="20"/>
                <w:szCs w:val="20"/>
              </w:rPr>
              <w:t xml:space="preserve"> para </w:t>
            </w:r>
            <w:proofErr w:type="spellStart"/>
            <w:r w:rsidRPr="003B618A">
              <w:rPr>
                <w:rFonts w:ascii="Times New Roman" w:hAnsi="Times New Roman" w:cs="Times New Roman"/>
                <w:color w:val="222222"/>
                <w:sz w:val="20"/>
                <w:szCs w:val="20"/>
              </w:rPr>
              <w:t>tablets</w:t>
            </w:r>
            <w:proofErr w:type="spellEnd"/>
            <w:r w:rsidRPr="003B618A">
              <w:rPr>
                <w:rFonts w:ascii="Times New Roman" w:hAnsi="Times New Roman" w:cs="Times New Roman"/>
                <w:color w:val="222222"/>
                <w:sz w:val="20"/>
                <w:szCs w:val="20"/>
              </w:rPr>
              <w:t xml:space="preserve"> y PC, pruebas de usabilidad</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Tiempo completo (Fases 2-4)</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Diseñador UX/UI</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 xml:space="preserve">Diseño centrado en usuario con baja alfabetización digital, pruebas de usabilidad en campo, </w:t>
            </w:r>
            <w:proofErr w:type="spellStart"/>
            <w:r w:rsidRPr="003B618A">
              <w:rPr>
                <w:rFonts w:ascii="Times New Roman" w:hAnsi="Times New Roman" w:cs="Times New Roman"/>
                <w:color w:val="222222"/>
                <w:sz w:val="20"/>
                <w:szCs w:val="20"/>
              </w:rPr>
              <w:t>design</w:t>
            </w:r>
            <w:proofErr w:type="spellEnd"/>
            <w:r w:rsidRPr="003B618A">
              <w:rPr>
                <w:rFonts w:ascii="Times New Roman" w:hAnsi="Times New Roman" w:cs="Times New Roman"/>
                <w:color w:val="222222"/>
                <w:sz w:val="20"/>
                <w:szCs w:val="20"/>
              </w:rPr>
              <w:t xml:space="preserve"> </w:t>
            </w:r>
            <w:proofErr w:type="spellStart"/>
            <w:r w:rsidRPr="003B618A">
              <w:rPr>
                <w:rFonts w:ascii="Times New Roman" w:hAnsi="Times New Roman" w:cs="Times New Roman"/>
                <w:color w:val="222222"/>
                <w:sz w:val="20"/>
                <w:szCs w:val="20"/>
              </w:rPr>
              <w:t>thinking</w:t>
            </w:r>
            <w:proofErr w:type="spellEnd"/>
            <w:r w:rsidRPr="003B618A">
              <w:rPr>
                <w:rFonts w:ascii="Times New Roman" w:hAnsi="Times New Roman" w:cs="Times New Roman"/>
                <w:color w:val="222222"/>
                <w:sz w:val="20"/>
                <w:szCs w:val="20"/>
              </w:rPr>
              <w:t xml:space="preserve">, prototipado con </w:t>
            </w:r>
            <w:proofErr w:type="spellStart"/>
            <w:r w:rsidRPr="003B618A">
              <w:rPr>
                <w:rFonts w:ascii="Times New Roman" w:hAnsi="Times New Roman" w:cs="Times New Roman"/>
                <w:color w:val="222222"/>
                <w:sz w:val="20"/>
                <w:szCs w:val="20"/>
              </w:rPr>
              <w:t>Figma</w:t>
            </w:r>
            <w:proofErr w:type="spellEnd"/>
            <w:r w:rsidRPr="003B618A">
              <w:rPr>
                <w:rFonts w:ascii="Times New Roman" w:hAnsi="Times New Roman" w:cs="Times New Roman"/>
                <w:color w:val="222222"/>
                <w:sz w:val="20"/>
                <w:szCs w:val="20"/>
              </w:rPr>
              <w:t xml:space="preserve"> o herramientas offline</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Parcial (Fases 1-3)</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Personal de salud (validador)</w:t>
            </w:r>
          </w:p>
        </w:tc>
        <w:tc>
          <w:tcPr>
            <w:tcW w:w="4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Médico o enfermera rural que valide flujos reales, requerimientos clínicos y operativos, interlocutor con las ESE y comunidades</w:t>
            </w:r>
          </w:p>
        </w:tc>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Parcial (Fases 1, 3 y 4)</w:t>
            </w:r>
          </w:p>
        </w:tc>
      </w:tr>
      <w:tr w:rsidR="0045576B" w:rsidRPr="003B618A">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proofErr w:type="spellStart"/>
            <w:r w:rsidRPr="003B618A">
              <w:rPr>
                <w:rFonts w:ascii="Times New Roman" w:hAnsi="Times New Roman" w:cs="Times New Roman"/>
                <w:b/>
                <w:bCs/>
                <w:color w:val="222222"/>
                <w:sz w:val="20"/>
                <w:szCs w:val="20"/>
              </w:rPr>
              <w:t>Tester</w:t>
            </w:r>
            <w:proofErr w:type="spellEnd"/>
            <w:r w:rsidRPr="003B618A">
              <w:rPr>
                <w:rFonts w:ascii="Times New Roman" w:hAnsi="Times New Roman" w:cs="Times New Roman"/>
                <w:b/>
                <w:bCs/>
                <w:color w:val="222222"/>
                <w:sz w:val="20"/>
                <w:szCs w:val="20"/>
              </w:rPr>
              <w:t xml:space="preserve"> / QA</w:t>
            </w:r>
          </w:p>
        </w:tc>
        <w:tc>
          <w:tcPr>
            <w:tcW w:w="4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Pruebas funcionales y de campo en condiciones de conectividad real, pruebas de estrés y rendimiento, documentación de errores y ciclos de corrección</w:t>
            </w:r>
          </w:p>
        </w:tc>
        <w:tc>
          <w:tcPr>
            <w:tcW w:w="2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Parcial (Fases 3-4)</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10.2. Estructura de gobernanza del proyecto</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Para garantizar la transparencia y el buen uso de los recursos, se propone una estructura de gobernanza participativa: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Comité Directivo: representantes de las ESE, alcaldías municipales y universidad desarrolladora. Se reúne mensualmente para revisión de avances.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Equipo técnico operativo: liderado por el líder de proyecto, con reuniones semanales de seguimiento mediante metodología SCRUM adaptada.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Comité de usuarios: personal de salud y representantes de pacientes que validan iteraciones del sistema cada 4 semanas.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Auditoría de impacto: equipo universitario externo que evaluará indicadores en la Fase 5 de forma independiente.</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11. IMPACTO ESPERADO DEL PROYECTO</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11.1. Impacto para los pacientes</w:t>
      </w: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Los beneficiarios directos del sistema experimentarán mejoras tangibles en su experiencia de acceso a la salud:</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Impacto esperado</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Indicador de medición</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Eliminación de filas desde la madrugada</w:t>
            </w:r>
          </w:p>
        </w:tc>
        <w:tc>
          <w:tcPr>
            <w:tcW w:w="5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 de pacientes que llegan sin hacer fila previa (meta: &gt;80% en 6 meses)</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Citas confirmadas con recordatorio SMS</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Tasa de envío y confirmación de recordatorios (meta: &gt;90% de citas con SMS enviado)</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Reducción de viajes en vano</w:t>
            </w:r>
          </w:p>
        </w:tc>
        <w:tc>
          <w:tcPr>
            <w:tcW w:w="5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 de pacientes que no llegaron por cambio de cita no notificado (meta: reducción del 70%)</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Mayor confianza en el sistema de salud</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Encuesta de satisfacción del paciente (meta: &gt;75% de satisfacción positiva)</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11.2. Impacto para el personal de salud</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Impacto esperado</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Indicador de medición</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Menos tiempo en tareas administrativas</w:t>
            </w:r>
          </w:p>
        </w:tc>
        <w:tc>
          <w:tcPr>
            <w:tcW w:w="5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Horas semanales destinadas a gestión de citas antes/después (meta: reducción del 50%)</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Mejor control de agenda y cupos</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Incidencias de doble asignación o conflictos de horario (meta: 0 por mes)</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Historial básico del paciente disponible</w:t>
            </w:r>
          </w:p>
        </w:tc>
        <w:tc>
          <w:tcPr>
            <w:tcW w:w="5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 de pacientes con ficha básica registrada en el sistema (meta: &gt;90% en 3 meses)</w:t>
            </w:r>
          </w:p>
        </w:tc>
      </w:tr>
      <w:tr w:rsidR="0045576B" w:rsidRPr="003B618A">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b/>
                <w:bCs/>
                <w:color w:val="222222"/>
                <w:sz w:val="20"/>
                <w:szCs w:val="20"/>
              </w:rPr>
              <w:t>Reportes automáticos para gestión</w:t>
            </w:r>
          </w:p>
        </w:tc>
        <w:tc>
          <w:tcPr>
            <w:tcW w:w="5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Disponibilidad de reporte mensual de ausentismo y cupos utilizados (meta: 100%)</w:t>
            </w:r>
          </w:p>
        </w:tc>
      </w:tr>
    </w:tbl>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11.3. Impacto para las instituciones (ESE) y el sistema de salud</w:t>
      </w:r>
    </w:p>
    <w:p w:rsidR="0045576B" w:rsidRPr="003B618A" w:rsidRDefault="0045576B">
      <w:pPr>
        <w:spacing w:before="60"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5576B" w:rsidRPr="003B618A">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Para las ESE</w:t>
            </w:r>
          </w:p>
        </w:tc>
        <w:tc>
          <w:tcPr>
            <w:tcW w:w="4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rsidR="0045576B" w:rsidRPr="003B618A" w:rsidRDefault="004616A7">
            <w:pPr>
              <w:jc w:val="center"/>
              <w:rPr>
                <w:rFonts w:ascii="Times New Roman" w:hAnsi="Times New Roman" w:cs="Times New Roman"/>
              </w:rPr>
            </w:pPr>
            <w:r w:rsidRPr="003B618A">
              <w:rPr>
                <w:rFonts w:ascii="Times New Roman" w:hAnsi="Times New Roman" w:cs="Times New Roman"/>
                <w:b/>
                <w:bCs/>
                <w:color w:val="FFFFFF"/>
                <w:sz w:val="20"/>
                <w:szCs w:val="20"/>
              </w:rPr>
              <w:t>Para el sistema de salud regional</w:t>
            </w:r>
          </w:p>
        </w:tc>
      </w:tr>
      <w:tr w:rsidR="0045576B" w:rsidRPr="003B618A">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Reducción del ausentismo en citas (meta: &lt;15%)</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Menor saturación de urgencias por casos de primer nivel</w:t>
            </w:r>
          </w:p>
        </w:tc>
      </w:tr>
      <w:tr w:rsidR="0045576B" w:rsidRPr="003B618A">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Mejora en eficiencia operativa (más citas efectivas/día)</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Atención más oportuna y equitativa para población rural</w:t>
            </w:r>
          </w:p>
        </w:tc>
      </w:tr>
      <w:tr w:rsidR="0045576B" w:rsidRPr="003B618A">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Datos para toma de decisiones gerenciales</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Modelo replicable en otros municipios de Nariño y Colombia</w:t>
            </w:r>
          </w:p>
        </w:tc>
      </w:tr>
      <w:tr w:rsidR="0045576B" w:rsidRPr="003B618A">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Mejora en indicadores de atención primaria</w:t>
            </w:r>
          </w:p>
        </w:tc>
        <w:tc>
          <w:tcPr>
            <w:tcW w:w="46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rsidR="0045576B" w:rsidRPr="003B618A" w:rsidRDefault="004616A7">
            <w:pPr>
              <w:rPr>
                <w:rFonts w:ascii="Times New Roman" w:hAnsi="Times New Roman" w:cs="Times New Roman"/>
              </w:rPr>
            </w:pPr>
            <w:r w:rsidRPr="003B618A">
              <w:rPr>
                <w:rFonts w:ascii="Times New Roman" w:hAnsi="Times New Roman" w:cs="Times New Roman"/>
                <w:color w:val="222222"/>
                <w:sz w:val="20"/>
                <w:szCs w:val="20"/>
              </w:rPr>
              <w:t>Reducción de la brecha digital rural-urbana en salud</w:t>
            </w:r>
          </w:p>
        </w:tc>
      </w:tr>
    </w:tbl>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12. CONCLUSIONES</w:t>
      </w:r>
      <w:bookmarkStart w:id="0" w:name="_GoBack"/>
      <w:bookmarkEnd w:id="0"/>
    </w:p>
    <w:p w:rsidR="0045576B" w:rsidRPr="003B618A" w:rsidRDefault="0045576B">
      <w:pPr>
        <w:spacing w:before="60" w:after="60"/>
        <w:rPr>
          <w:rFonts w:ascii="Times New Roman" w:hAnsi="Times New Roman" w:cs="Times New Roman"/>
        </w:rPr>
      </w:pP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El presente proyecto representa una respuesta concreta y fundamentada a una problemática estructural del sistema de salud rural colombiano: la persistencia de sistemas manuales de gestión de citas en contextos donde la tecnología podría transformar significativamente la experiencia de acceso a la atención primaria.</w:t>
      </w:r>
    </w:p>
    <w:p w:rsidR="0045576B" w:rsidRPr="003B618A" w:rsidRDefault="0045576B">
      <w:pPr>
        <w:spacing w:before="60" w:after="60"/>
        <w:rPr>
          <w:rFonts w:ascii="Times New Roman" w:hAnsi="Times New Roman" w:cs="Times New Roman"/>
        </w:rPr>
      </w:pP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Las conclusiones principales del análisis realizado se pueden sintetizar en los siguientes puntos:</w:t>
      </w:r>
    </w:p>
    <w:p w:rsidR="0045576B" w:rsidRPr="003B618A" w:rsidRDefault="0045576B">
      <w:pPr>
        <w:spacing w:before="60" w:after="60"/>
        <w:rPr>
          <w:rFonts w:ascii="Times New Roman" w:hAnsi="Times New Roman" w:cs="Times New Roman"/>
        </w:rPr>
      </w:pP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La brecha tecnológica en salud rural de Nariño es real y documentada. Los datos disponibles confirman que los centros de salud rurales de los municipios analizados operan sin sistemas digitales de gestión de citas, con consecuencias directas en el acceso, la equidad y la eficiencia del servicio.</w:t>
      </w:r>
    </w:p>
    <w:p w:rsidR="0045576B" w:rsidRPr="003B618A" w:rsidRDefault="0045576B">
      <w:pPr>
        <w:spacing w:before="60" w:after="60"/>
        <w:rPr>
          <w:rFonts w:ascii="Times New Roman" w:hAnsi="Times New Roman" w:cs="Times New Roman"/>
        </w:rPr>
      </w:pP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Las soluciones existentes en el mercado no responden a las necesidades del contexto rural. Ninguna plataforma disponible combina las características mínimas requeridas: funcionamiento offline, SMS para teléfonos básicos, interfaz accesible y costo sostenible para ESE rurales.</w:t>
      </w:r>
    </w:p>
    <w:p w:rsidR="0045576B" w:rsidRPr="003B618A" w:rsidRDefault="0045576B">
      <w:pPr>
        <w:spacing w:before="60" w:after="60"/>
        <w:rPr>
          <w:rFonts w:ascii="Times New Roman" w:hAnsi="Times New Roman" w:cs="Times New Roman"/>
        </w:rPr>
      </w:pP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El proyecto es técnicamente viable y socialmente pertinente. La tecnología PWA con modo offline, integración SMS y base de datos local está disponible, es de código abierto y puede implementarse con un equipo de tamaño reducido en un plazo de 9 a 12 meses.</w:t>
      </w:r>
    </w:p>
    <w:p w:rsidR="0045576B" w:rsidRPr="003B618A" w:rsidRDefault="0045576B">
      <w:pPr>
        <w:spacing w:before="60" w:after="60"/>
        <w:rPr>
          <w:rFonts w:ascii="Times New Roman" w:hAnsi="Times New Roman" w:cs="Times New Roman"/>
        </w:rPr>
      </w:pP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El enfoque diferencial étnico y cultural no es opcional sino estructural. En un departamento con la diversidad de Nariño, ignorar las particularidades de las comunidades indígenas y afrodescendientes equivale a reproducir las inequidades que se pretende reducir.</w:t>
      </w:r>
    </w:p>
    <w:p w:rsidR="0045576B" w:rsidRPr="003B618A" w:rsidRDefault="0045576B">
      <w:pPr>
        <w:spacing w:before="60" w:after="60"/>
        <w:rPr>
          <w:rFonts w:ascii="Times New Roman" w:hAnsi="Times New Roman" w:cs="Times New Roman"/>
        </w:rPr>
      </w:pP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 xml:space="preserve">La sostenibilidad requiere articulación institucional desde el inicio. El proyecto no puede depender exclusivamente de voluntad política temporal; necesita integrarse en los procesos formales de las ESE y generar indicadores que justifiquen su continuidad ante alcaldías, gobernación y </w:t>
      </w:r>
      <w:proofErr w:type="spellStart"/>
      <w:r w:rsidRPr="003B618A">
        <w:rPr>
          <w:rFonts w:ascii="Times New Roman" w:hAnsi="Times New Roman" w:cs="Times New Roman"/>
        </w:rPr>
        <w:t>MinSalud</w:t>
      </w:r>
      <w:proofErr w:type="spellEnd"/>
      <w:r w:rsidRPr="003B618A">
        <w:rPr>
          <w:rFonts w:ascii="Times New Roman" w:hAnsi="Times New Roman" w:cs="Times New Roman"/>
        </w:rPr>
        <w:t>.</w:t>
      </w:r>
    </w:p>
    <w:p w:rsidR="0045576B" w:rsidRPr="003B618A" w:rsidRDefault="0045576B">
      <w:pPr>
        <w:spacing w:before="60" w:after="60"/>
        <w:rPr>
          <w:rFonts w:ascii="Times New Roman" w:hAnsi="Times New Roman" w:cs="Times New Roman"/>
        </w:rPr>
      </w:pPr>
    </w:p>
    <w:p w:rsidR="0045576B" w:rsidRPr="003B618A" w:rsidRDefault="004616A7">
      <w:pPr>
        <w:pStyle w:val="Prrafodelista"/>
        <w:numPr>
          <w:ilvl w:val="0"/>
          <w:numId w:val="3"/>
        </w:numPr>
        <w:spacing w:before="60" w:after="60"/>
        <w:rPr>
          <w:rFonts w:ascii="Times New Roman" w:hAnsi="Times New Roman" w:cs="Times New Roman"/>
        </w:rPr>
      </w:pPr>
      <w:r w:rsidRPr="003B618A">
        <w:rPr>
          <w:rFonts w:ascii="Times New Roman" w:hAnsi="Times New Roman" w:cs="Times New Roman"/>
        </w:rPr>
        <w:t>El modelo es replicable. Una vez validado en los municipios piloto, el sistema puede escalarse a otros municipios rurales de Nariño y de departamentos con características similares (Chocó, Putumayo, Cauca), constituyendo un aporte significativo a la política de digitalización de la atención primaria en Colombia.</w:t>
      </w:r>
    </w:p>
    <w:p w:rsidR="0045576B" w:rsidRPr="003B618A" w:rsidRDefault="0045576B">
      <w:pPr>
        <w:spacing w:before="60" w:after="60"/>
        <w:rPr>
          <w:rFonts w:ascii="Times New Roman" w:hAnsi="Times New Roman" w:cs="Times New Roman"/>
        </w:rPr>
      </w:pP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En definitiva, este proyecto demuestra que la innovación tecnológica con impacto social no requiere soluciones de alta complejidad ni grandes presupuestos: requiere escucha activa del territorio, diseño centrado en las personas y voluntad de construir junto a las comunidades, no para ellas.</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13. RECOMENDACIONES ESTRATÉGICAS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13.1. Recomendaciones para la implementación</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A las ESE rurales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Priorizar la designación de un enlace tecnológico en cada centro de salud que actúe como responsable del sistema y punto de contacto con el equipo técnico.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Asegurar la disponibilidad de al menos un dispositivo (</w:t>
      </w:r>
      <w:proofErr w:type="spellStart"/>
      <w:r w:rsidRPr="003B618A">
        <w:rPr>
          <w:rFonts w:ascii="Times New Roman" w:hAnsi="Times New Roman" w:cs="Times New Roman"/>
        </w:rPr>
        <w:t>tablet</w:t>
      </w:r>
      <w:proofErr w:type="spellEnd"/>
      <w:r w:rsidRPr="003B618A">
        <w:rPr>
          <w:rFonts w:ascii="Times New Roman" w:hAnsi="Times New Roman" w:cs="Times New Roman"/>
        </w:rPr>
        <w:t xml:space="preserve"> o computador) exclusivo para el sistema de gestión de citas, con mantenimiento preventivo programado.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Integrar el sistema como parte de los procesos formales de la institución, incluido en el plan de acción anual y los indicadores de gestión.</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A las alcaldías municipales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Destinar una partida presupuestal específica para la sostenibilidad del sistema (costos de SMS, mantenimiento técnico y actualizaciones).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Incluir el sistema como componente del Plan Local de Salud y del Plan de Ordenamiento Territorial en los municipios con mayores brechas.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Promover acuerdos con operadores de telefonía para tarifas preferenciales de SMS en el marco de programas de salud pública.</w:t>
      </w:r>
    </w:p>
    <w:p w:rsidR="0045576B" w:rsidRPr="003B618A" w:rsidRDefault="0045576B">
      <w:pPr>
        <w:spacing w:before="60" w:after="60"/>
        <w:rPr>
          <w:rFonts w:ascii="Times New Roman" w:hAnsi="Times New Roman" w:cs="Times New Roman"/>
        </w:rPr>
      </w:pPr>
    </w:p>
    <w:p w:rsidR="0045576B" w:rsidRPr="003B618A" w:rsidRDefault="004616A7">
      <w:pPr>
        <w:pStyle w:val="Ttulo3"/>
        <w:rPr>
          <w:rFonts w:ascii="Times New Roman" w:hAnsi="Times New Roman" w:cs="Times New Roman"/>
        </w:rPr>
      </w:pPr>
      <w:r w:rsidRPr="003B618A">
        <w:rPr>
          <w:rFonts w:ascii="Times New Roman" w:hAnsi="Times New Roman" w:cs="Times New Roman"/>
        </w:rPr>
        <w:t>A las universidades desarrolladoras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Establecer un modelo de transferencia tecnológica que incluya capacitación local, documentación completa y acceso al código fuente.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Realizar seguimiento de mediano plazo (al menos 2 años) para evaluar la sostenibilidad real del sistema, más allá del período de ejecución del proyecto.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Publicar los resultados y lecciones aprendidas en revistas académicas y plataformas de innovación social para contribuir al conocimiento del sector.</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13.2. Recomendaciones para la política pública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El </w:t>
      </w:r>
      <w:proofErr w:type="spellStart"/>
      <w:r w:rsidRPr="003B618A">
        <w:rPr>
          <w:rFonts w:ascii="Times New Roman" w:hAnsi="Times New Roman" w:cs="Times New Roman"/>
        </w:rPr>
        <w:t>MinSalud</w:t>
      </w:r>
      <w:proofErr w:type="spellEnd"/>
      <w:r w:rsidRPr="003B618A">
        <w:rPr>
          <w:rFonts w:ascii="Times New Roman" w:hAnsi="Times New Roman" w:cs="Times New Roman"/>
        </w:rPr>
        <w:t xml:space="preserve"> debería establecer estándares mínimos de interoperabilidad para sistemas de gestión de citas en primer nivel de atención, que contemplen contextos de baja conectividad.</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Los PDET deberían incluir componentes explícitos de digitalización de la gestión de salud rural, con presupuestos y metas verificables.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El MinTIC debería considerar el sector salud rural como prioritario en sus programas de conectividad, dotación tecnológica y formación digital.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La Superintendencia Nacional de Salud debería generar incentivos regulatorios para EPS que contribuyan a la digitalización de la atención en zonas rurales.</w:t>
      </w:r>
    </w:p>
    <w:p w:rsidR="0045576B" w:rsidRPr="003B618A" w:rsidRDefault="004616A7">
      <w:pPr>
        <w:rPr>
          <w:rFonts w:ascii="Times New Roman" w:hAnsi="Times New Roman" w:cs="Times New Roman"/>
        </w:rPr>
      </w:pPr>
      <w:r w:rsidRPr="003B618A">
        <w:rPr>
          <w:rFonts w:ascii="Times New Roman" w:hAnsi="Times New Roman" w:cs="Times New Roman"/>
        </w:rPr>
        <w:br w:type="page"/>
      </w:r>
    </w:p>
    <w:p w:rsidR="0045576B" w:rsidRPr="003B618A" w:rsidRDefault="004616A7">
      <w:pPr>
        <w:pStyle w:val="Ttulo1"/>
        <w:pBdr>
          <w:bottom w:val="single" w:sz="4" w:space="0" w:color="2E75B6"/>
        </w:pBdr>
        <w:shd w:val="clear" w:color="auto" w:fill="1F3864"/>
        <w:ind w:left="200" w:right="200"/>
        <w:rPr>
          <w:rFonts w:ascii="Times New Roman" w:hAnsi="Times New Roman" w:cs="Times New Roman"/>
        </w:rPr>
      </w:pPr>
      <w:r w:rsidRPr="003B618A">
        <w:rPr>
          <w:rFonts w:ascii="Times New Roman" w:hAnsi="Times New Roman" w:cs="Times New Roman"/>
        </w:rPr>
        <w:lastRenderedPageBreak/>
        <w:t>14. REFERENCIAS BIBLIOGRÁFICAS</w:t>
      </w:r>
    </w:p>
    <w:p w:rsidR="0045576B" w:rsidRPr="003B618A" w:rsidRDefault="0045576B">
      <w:pPr>
        <w:spacing w:before="60" w:after="60"/>
        <w:rPr>
          <w:rFonts w:ascii="Times New Roman" w:hAnsi="Times New Roman" w:cs="Times New Roman"/>
        </w:rPr>
      </w:pPr>
    </w:p>
    <w:p w:rsidR="0045576B" w:rsidRPr="003B618A" w:rsidRDefault="004616A7">
      <w:pPr>
        <w:spacing w:before="80" w:after="80" w:line="276" w:lineRule="auto"/>
        <w:jc w:val="both"/>
        <w:rPr>
          <w:rFonts w:ascii="Times New Roman" w:hAnsi="Times New Roman" w:cs="Times New Roman"/>
        </w:rPr>
      </w:pPr>
      <w:r w:rsidRPr="003B618A">
        <w:rPr>
          <w:rFonts w:ascii="Times New Roman" w:hAnsi="Times New Roman" w:cs="Times New Roman"/>
        </w:rPr>
        <w:t xml:space="preserve">A </w:t>
      </w:r>
      <w:proofErr w:type="gramStart"/>
      <w:r w:rsidRPr="003B618A">
        <w:rPr>
          <w:rFonts w:ascii="Times New Roman" w:hAnsi="Times New Roman" w:cs="Times New Roman"/>
        </w:rPr>
        <w:t>continuación</w:t>
      </w:r>
      <w:proofErr w:type="gramEnd"/>
      <w:r w:rsidRPr="003B618A">
        <w:rPr>
          <w:rFonts w:ascii="Times New Roman" w:hAnsi="Times New Roman" w:cs="Times New Roman"/>
        </w:rPr>
        <w:t xml:space="preserve"> se presentan las fuentes de referencia consultadas para la elaboración de este documento, organizadas por tipo de fuente:</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Normatividad colombiana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Congreso de Colombia. (1993). Ley 100 de 1993: Por la cual se crea el sistema de seguridad social integral. Diario Oficial.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Congreso de Colombia. (2011). Ley 1438 de 2011: Por medio de la cual se reforma el Sistema General de Seguridad Social en Salud. Diario Oficial.</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Ministerio de Salud y Protección Social. (2013). Resolución 1604: Lineamientos para el manejo de la historia clínica electrónica. </w:t>
      </w:r>
      <w:proofErr w:type="spellStart"/>
      <w:r w:rsidRPr="003B618A">
        <w:rPr>
          <w:rFonts w:ascii="Times New Roman" w:hAnsi="Times New Roman" w:cs="Times New Roman"/>
        </w:rPr>
        <w:t>MinSalud</w:t>
      </w:r>
      <w:proofErr w:type="spellEnd"/>
      <w:r w:rsidRPr="003B618A">
        <w:rPr>
          <w:rFonts w:ascii="Times New Roman" w:hAnsi="Times New Roman" w:cs="Times New Roman"/>
        </w:rPr>
        <w:t>.</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Ministerio de Salud y Protección Social. (2016). Política de Atención Integral en Salud (PAIS). </w:t>
      </w:r>
      <w:proofErr w:type="spellStart"/>
      <w:r w:rsidRPr="003B618A">
        <w:rPr>
          <w:rFonts w:ascii="Times New Roman" w:hAnsi="Times New Roman" w:cs="Times New Roman"/>
        </w:rPr>
        <w:t>MinSalud</w:t>
      </w:r>
      <w:proofErr w:type="spellEnd"/>
      <w:r w:rsidRPr="003B618A">
        <w:rPr>
          <w:rFonts w:ascii="Times New Roman" w:hAnsi="Times New Roman" w:cs="Times New Roman"/>
        </w:rPr>
        <w:t>.</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Documentos institucionales y estadísticas</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DANE. (2018). Censo Nacional de Población y Vivienda 2018. Resultados por departamento: Nariño. Bogotá: DANE.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DANE. (2021). Encuesta de Calidad de Vida 2021. Módulo de acceso a tecnologías. Bogotá: DANE.</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Departamento de Nariño. (2020). Plan Departamental de Desarrollo 2020-2023: 'El momento es ahora'. Pasto: Gobernación de Nariño.</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MinTIC. (2023). Informe de cobertura de telecomunicaciones en Colombia. Bogotá: Ministerio de Tecnologías de la Información.</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Literatura académica y técnica</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Fraser, H. S. F., et al. (2005). </w:t>
      </w:r>
      <w:r w:rsidRPr="003B618A">
        <w:rPr>
          <w:rFonts w:ascii="Times New Roman" w:hAnsi="Times New Roman" w:cs="Times New Roman"/>
          <w:lang w:val="en-US"/>
        </w:rPr>
        <w:t xml:space="preserve">Implementing electronic medical record systems in developing countries. </w:t>
      </w:r>
      <w:proofErr w:type="spellStart"/>
      <w:r w:rsidRPr="003B618A">
        <w:rPr>
          <w:rFonts w:ascii="Times New Roman" w:hAnsi="Times New Roman" w:cs="Times New Roman"/>
        </w:rPr>
        <w:t>Informatics</w:t>
      </w:r>
      <w:proofErr w:type="spellEnd"/>
      <w:r w:rsidRPr="003B618A">
        <w:rPr>
          <w:rFonts w:ascii="Times New Roman" w:hAnsi="Times New Roman" w:cs="Times New Roman"/>
        </w:rPr>
        <w:t xml:space="preserve"> in </w:t>
      </w:r>
      <w:proofErr w:type="spellStart"/>
      <w:r w:rsidRPr="003B618A">
        <w:rPr>
          <w:rFonts w:ascii="Times New Roman" w:hAnsi="Times New Roman" w:cs="Times New Roman"/>
        </w:rPr>
        <w:t>Primary</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Care</w:t>
      </w:r>
      <w:proofErr w:type="spellEnd"/>
      <w:r w:rsidRPr="003B618A">
        <w:rPr>
          <w:rFonts w:ascii="Times New Roman" w:hAnsi="Times New Roman" w:cs="Times New Roman"/>
        </w:rPr>
        <w:t>, 13(2), 83-95.</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rPr>
        <w:t>Källander</w:t>
      </w:r>
      <w:proofErr w:type="spellEnd"/>
      <w:r w:rsidRPr="003B618A">
        <w:rPr>
          <w:rFonts w:ascii="Times New Roman" w:hAnsi="Times New Roman" w:cs="Times New Roman"/>
        </w:rPr>
        <w:t xml:space="preserve">, K., et al. (2013). </w:t>
      </w:r>
      <w:r w:rsidRPr="003B618A">
        <w:rPr>
          <w:rFonts w:ascii="Times New Roman" w:hAnsi="Times New Roman" w:cs="Times New Roman"/>
          <w:lang w:val="en-US"/>
        </w:rPr>
        <w:t xml:space="preserve">Mobile health (mHealth) approaches and lessons for increased performance and retention of community health workers in low- and middle-income countries. </w:t>
      </w:r>
      <w:proofErr w:type="spellStart"/>
      <w:r w:rsidRPr="003B618A">
        <w:rPr>
          <w:rFonts w:ascii="Times New Roman" w:hAnsi="Times New Roman" w:cs="Times New Roman"/>
        </w:rPr>
        <w:t>Journal</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of</w:t>
      </w:r>
      <w:proofErr w:type="spellEnd"/>
      <w:r w:rsidRPr="003B618A">
        <w:rPr>
          <w:rFonts w:ascii="Times New Roman" w:hAnsi="Times New Roman" w:cs="Times New Roman"/>
        </w:rPr>
        <w:t xml:space="preserve"> Medical Internet </w:t>
      </w:r>
      <w:proofErr w:type="spellStart"/>
      <w:r w:rsidRPr="003B618A">
        <w:rPr>
          <w:rFonts w:ascii="Times New Roman" w:hAnsi="Times New Roman" w:cs="Times New Roman"/>
        </w:rPr>
        <w:t>Research</w:t>
      </w:r>
      <w:proofErr w:type="spellEnd"/>
      <w:r w:rsidRPr="003B618A">
        <w:rPr>
          <w:rFonts w:ascii="Times New Roman" w:hAnsi="Times New Roman" w:cs="Times New Roman"/>
        </w:rPr>
        <w:t>, 15(1).</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lang w:val="en-US"/>
        </w:rPr>
        <w:t>Mehl</w:t>
      </w:r>
      <w:proofErr w:type="spellEnd"/>
      <w:r w:rsidRPr="003B618A">
        <w:rPr>
          <w:rFonts w:ascii="Times New Roman" w:hAnsi="Times New Roman" w:cs="Times New Roman"/>
          <w:lang w:val="en-US"/>
        </w:rPr>
        <w:t xml:space="preserve">, G., &amp; </w:t>
      </w:r>
      <w:proofErr w:type="spellStart"/>
      <w:r w:rsidRPr="003B618A">
        <w:rPr>
          <w:rFonts w:ascii="Times New Roman" w:hAnsi="Times New Roman" w:cs="Times New Roman"/>
          <w:lang w:val="en-US"/>
        </w:rPr>
        <w:t>Labrique</w:t>
      </w:r>
      <w:proofErr w:type="spellEnd"/>
      <w:r w:rsidRPr="003B618A">
        <w:rPr>
          <w:rFonts w:ascii="Times New Roman" w:hAnsi="Times New Roman" w:cs="Times New Roman"/>
          <w:lang w:val="en-US"/>
        </w:rPr>
        <w:t xml:space="preserve">, A. (2014). Prioritizing integrated mHealth strategies for universal health coverage. </w:t>
      </w:r>
      <w:proofErr w:type="spellStart"/>
      <w:r w:rsidRPr="003B618A">
        <w:rPr>
          <w:rFonts w:ascii="Times New Roman" w:hAnsi="Times New Roman" w:cs="Times New Roman"/>
        </w:rPr>
        <w:t>Science</w:t>
      </w:r>
      <w:proofErr w:type="spellEnd"/>
      <w:r w:rsidRPr="003B618A">
        <w:rPr>
          <w:rFonts w:ascii="Times New Roman" w:hAnsi="Times New Roman" w:cs="Times New Roman"/>
        </w:rPr>
        <w:t>, 345(6202), 1284-1287.</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Organización Panamericana de la Salud (OPS). (2020). La transformación digital de los sistemas de salud en América Latina y el Caribe. Washington: OPS/OMS.</w:t>
      </w:r>
    </w:p>
    <w:p w:rsidR="0045576B" w:rsidRPr="003B618A" w:rsidRDefault="0045576B">
      <w:pPr>
        <w:spacing w:before="60" w:after="60"/>
        <w:rPr>
          <w:rFonts w:ascii="Times New Roman" w:hAnsi="Times New Roman" w:cs="Times New Roman"/>
        </w:rPr>
      </w:pPr>
    </w:p>
    <w:p w:rsidR="0045576B" w:rsidRPr="003B618A" w:rsidRDefault="004616A7">
      <w:pPr>
        <w:pStyle w:val="Ttulo2"/>
        <w:pBdr>
          <w:bottom w:val="single" w:sz="3" w:space="1" w:color="2E75B6"/>
        </w:pBdr>
        <w:rPr>
          <w:rFonts w:ascii="Times New Roman" w:hAnsi="Times New Roman" w:cs="Times New Roman"/>
        </w:rPr>
      </w:pPr>
      <w:r w:rsidRPr="003B618A">
        <w:rPr>
          <w:rFonts w:ascii="Times New Roman" w:hAnsi="Times New Roman" w:cs="Times New Roman"/>
        </w:rPr>
        <w:t>Experiencias y casos de referencia</w:t>
      </w:r>
    </w:p>
    <w:p w:rsidR="0045576B" w:rsidRPr="003B618A" w:rsidRDefault="004616A7">
      <w:pPr>
        <w:pStyle w:val="Prrafodelista"/>
        <w:numPr>
          <w:ilvl w:val="0"/>
          <w:numId w:val="2"/>
        </w:numPr>
        <w:spacing w:before="60" w:after="60"/>
        <w:rPr>
          <w:rFonts w:ascii="Times New Roman" w:hAnsi="Times New Roman" w:cs="Times New Roman"/>
        </w:rPr>
      </w:pPr>
      <w:proofErr w:type="spellStart"/>
      <w:r w:rsidRPr="003B618A">
        <w:rPr>
          <w:rFonts w:ascii="Times New Roman" w:hAnsi="Times New Roman" w:cs="Times New Roman"/>
          <w:lang w:val="en-US"/>
        </w:rPr>
        <w:t>OpenMRS</w:t>
      </w:r>
      <w:proofErr w:type="spellEnd"/>
      <w:r w:rsidRPr="003B618A">
        <w:rPr>
          <w:rFonts w:ascii="Times New Roman" w:hAnsi="Times New Roman" w:cs="Times New Roman"/>
          <w:lang w:val="en-US"/>
        </w:rPr>
        <w:t xml:space="preserve"> Community. (2023). </w:t>
      </w:r>
      <w:proofErr w:type="spellStart"/>
      <w:r w:rsidRPr="003B618A">
        <w:rPr>
          <w:rFonts w:ascii="Times New Roman" w:hAnsi="Times New Roman" w:cs="Times New Roman"/>
          <w:lang w:val="en-US"/>
        </w:rPr>
        <w:t>OpenMRS</w:t>
      </w:r>
      <w:proofErr w:type="spellEnd"/>
      <w:r w:rsidRPr="003B618A">
        <w:rPr>
          <w:rFonts w:ascii="Times New Roman" w:hAnsi="Times New Roman" w:cs="Times New Roman"/>
          <w:lang w:val="en-US"/>
        </w:rPr>
        <w:t xml:space="preserve"> Reference Application Documentation. </w:t>
      </w:r>
      <w:r w:rsidRPr="003B618A">
        <w:rPr>
          <w:rFonts w:ascii="Times New Roman" w:hAnsi="Times New Roman" w:cs="Times New Roman"/>
        </w:rPr>
        <w:t>Disponible en: https://openmrs.org</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lang w:val="en-US"/>
        </w:rPr>
        <w:t xml:space="preserve">DHIS2. (2023). DHIS2 for Health Information Systems. </w:t>
      </w:r>
      <w:r w:rsidRPr="003B618A">
        <w:rPr>
          <w:rFonts w:ascii="Times New Roman" w:hAnsi="Times New Roman" w:cs="Times New Roman"/>
        </w:rPr>
        <w:t>Disponible en: https://dhis2.org</w:t>
      </w:r>
    </w:p>
    <w:p w:rsidR="0045576B" w:rsidRPr="003B618A" w:rsidRDefault="004616A7">
      <w:pPr>
        <w:pStyle w:val="Prrafodelista"/>
        <w:numPr>
          <w:ilvl w:val="0"/>
          <w:numId w:val="2"/>
        </w:numPr>
        <w:spacing w:before="60" w:after="60"/>
        <w:rPr>
          <w:rFonts w:ascii="Times New Roman" w:hAnsi="Times New Roman" w:cs="Times New Roman"/>
        </w:rPr>
      </w:pPr>
      <w:r w:rsidRPr="003B618A">
        <w:rPr>
          <w:rFonts w:ascii="Times New Roman" w:hAnsi="Times New Roman" w:cs="Times New Roman"/>
        </w:rPr>
        <w:t xml:space="preserve">Ministerio de Salud de Brasil. (2020). </w:t>
      </w:r>
      <w:proofErr w:type="spellStart"/>
      <w:r w:rsidRPr="003B618A">
        <w:rPr>
          <w:rFonts w:ascii="Times New Roman" w:hAnsi="Times New Roman" w:cs="Times New Roman"/>
        </w:rPr>
        <w:t>iClinic</w:t>
      </w:r>
      <w:proofErr w:type="spellEnd"/>
      <w:r w:rsidRPr="003B618A">
        <w:rPr>
          <w:rFonts w:ascii="Times New Roman" w:hAnsi="Times New Roman" w:cs="Times New Roman"/>
        </w:rPr>
        <w:t xml:space="preserve"> Rural: Sistema de </w:t>
      </w:r>
      <w:proofErr w:type="spellStart"/>
      <w:r w:rsidRPr="003B618A">
        <w:rPr>
          <w:rFonts w:ascii="Times New Roman" w:hAnsi="Times New Roman" w:cs="Times New Roman"/>
        </w:rPr>
        <w:t>gestão</w:t>
      </w:r>
      <w:proofErr w:type="spellEnd"/>
      <w:r w:rsidRPr="003B618A">
        <w:rPr>
          <w:rFonts w:ascii="Times New Roman" w:hAnsi="Times New Roman" w:cs="Times New Roman"/>
        </w:rPr>
        <w:t xml:space="preserve"> de consultas para UBS. </w:t>
      </w:r>
      <w:proofErr w:type="spellStart"/>
      <w:r w:rsidRPr="003B618A">
        <w:rPr>
          <w:rFonts w:ascii="Times New Roman" w:hAnsi="Times New Roman" w:cs="Times New Roman"/>
        </w:rPr>
        <w:t>Brasília</w:t>
      </w:r>
      <w:proofErr w:type="spellEnd"/>
      <w:r w:rsidRPr="003B618A">
        <w:rPr>
          <w:rFonts w:ascii="Times New Roman" w:hAnsi="Times New Roman" w:cs="Times New Roman"/>
        </w:rPr>
        <w:t xml:space="preserve">: </w:t>
      </w:r>
      <w:proofErr w:type="spellStart"/>
      <w:r w:rsidRPr="003B618A">
        <w:rPr>
          <w:rFonts w:ascii="Times New Roman" w:hAnsi="Times New Roman" w:cs="Times New Roman"/>
        </w:rPr>
        <w:t>Ministério</w:t>
      </w:r>
      <w:proofErr w:type="spellEnd"/>
      <w:r w:rsidRPr="003B618A">
        <w:rPr>
          <w:rFonts w:ascii="Times New Roman" w:hAnsi="Times New Roman" w:cs="Times New Roman"/>
        </w:rPr>
        <w:t xml:space="preserve"> da </w:t>
      </w:r>
      <w:proofErr w:type="spellStart"/>
      <w:r w:rsidRPr="003B618A">
        <w:rPr>
          <w:rFonts w:ascii="Times New Roman" w:hAnsi="Times New Roman" w:cs="Times New Roman"/>
        </w:rPr>
        <w:t>Saúde</w:t>
      </w:r>
      <w:proofErr w:type="spellEnd"/>
      <w:r w:rsidRPr="003B618A">
        <w:rPr>
          <w:rFonts w:ascii="Times New Roman" w:hAnsi="Times New Roman" w:cs="Times New Roman"/>
        </w:rPr>
        <w:t>.</w:t>
      </w:r>
    </w:p>
    <w:sectPr w:rsidR="0045576B" w:rsidRPr="003B618A">
      <w:footerReference w:type="default" r:id="rId7"/>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80863" w:rsidRDefault="00680863">
      <w:r>
        <w:separator/>
      </w:r>
    </w:p>
  </w:endnote>
  <w:endnote w:type="continuationSeparator" w:id="0">
    <w:p w:rsidR="00680863" w:rsidRDefault="00680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16A7" w:rsidRDefault="004616A7">
    <w:pPr>
      <w:pBdr>
        <w:top w:val="single" w:sz="4" w:space="1" w:color="2E75B6"/>
      </w:pBdr>
      <w:spacing w:before="80"/>
      <w:jc w:val="center"/>
    </w:pPr>
    <w:r>
      <w:rPr>
        <w:color w:val="666666"/>
        <w:sz w:val="18"/>
        <w:szCs w:val="18"/>
      </w:rPr>
      <w:t xml:space="preserve">Página </w:t>
    </w:r>
    <w:r>
      <w:rPr>
        <w:color w:val="2E75B6"/>
        <w:sz w:val="18"/>
        <w:szCs w:val="18"/>
      </w:rPr>
      <w:fldChar w:fldCharType="begin"/>
    </w:r>
    <w:r>
      <w:rPr>
        <w:color w:val="2E75B6"/>
        <w:sz w:val="18"/>
        <w:szCs w:val="18"/>
      </w:rPr>
      <w:instrText>PAGE</w:instrText>
    </w:r>
    <w:r>
      <w:rPr>
        <w:color w:val="2E75B6"/>
        <w:sz w:val="18"/>
        <w:szCs w:val="18"/>
      </w:rPr>
      <w:fldChar w:fldCharType="separate"/>
    </w:r>
    <w:r>
      <w:rPr>
        <w:noProof/>
        <w:color w:val="2E75B6"/>
        <w:sz w:val="18"/>
        <w:szCs w:val="18"/>
      </w:rPr>
      <w:t>1</w:t>
    </w:r>
    <w:r>
      <w:rPr>
        <w:color w:val="2E75B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80863" w:rsidRDefault="00680863">
      <w:r>
        <w:separator/>
      </w:r>
    </w:p>
  </w:footnote>
  <w:footnote w:type="continuationSeparator" w:id="0">
    <w:p w:rsidR="00680863" w:rsidRDefault="006808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26F696E"/>
    <w:multiLevelType w:val="hybridMultilevel"/>
    <w:tmpl w:val="DC147E0A"/>
    <w:lvl w:ilvl="0" w:tplc="CEAAF83E">
      <w:start w:val="1"/>
      <w:numFmt w:val="bullet"/>
      <w:lvlText w:val="•"/>
      <w:lvlJc w:val="left"/>
      <w:pPr>
        <w:ind w:left="720" w:hanging="360"/>
      </w:pPr>
    </w:lvl>
    <w:lvl w:ilvl="1" w:tplc="1354C16E">
      <w:numFmt w:val="decimal"/>
      <w:lvlText w:val=""/>
      <w:lvlJc w:val="left"/>
    </w:lvl>
    <w:lvl w:ilvl="2" w:tplc="47805D28">
      <w:numFmt w:val="decimal"/>
      <w:lvlText w:val=""/>
      <w:lvlJc w:val="left"/>
    </w:lvl>
    <w:lvl w:ilvl="3" w:tplc="2578C44A">
      <w:numFmt w:val="decimal"/>
      <w:lvlText w:val=""/>
      <w:lvlJc w:val="left"/>
    </w:lvl>
    <w:lvl w:ilvl="4" w:tplc="FE2C9B9E">
      <w:numFmt w:val="decimal"/>
      <w:lvlText w:val=""/>
      <w:lvlJc w:val="left"/>
    </w:lvl>
    <w:lvl w:ilvl="5" w:tplc="AC7A37FC">
      <w:numFmt w:val="decimal"/>
      <w:lvlText w:val=""/>
      <w:lvlJc w:val="left"/>
    </w:lvl>
    <w:lvl w:ilvl="6" w:tplc="08D42B4A">
      <w:numFmt w:val="decimal"/>
      <w:lvlText w:val=""/>
      <w:lvlJc w:val="left"/>
    </w:lvl>
    <w:lvl w:ilvl="7" w:tplc="11D692E2">
      <w:numFmt w:val="decimal"/>
      <w:lvlText w:val=""/>
      <w:lvlJc w:val="left"/>
    </w:lvl>
    <w:lvl w:ilvl="8" w:tplc="6A22FCC4">
      <w:numFmt w:val="decimal"/>
      <w:lvlText w:val=""/>
      <w:lvlJc w:val="left"/>
    </w:lvl>
  </w:abstractNum>
  <w:abstractNum w:abstractNumId="1" w15:restartNumberingAfterBreak="0">
    <w:nsid w:val="5A3324B9"/>
    <w:multiLevelType w:val="hybridMultilevel"/>
    <w:tmpl w:val="321E0256"/>
    <w:lvl w:ilvl="0" w:tplc="D9BED410">
      <w:start w:val="1"/>
      <w:numFmt w:val="decimal"/>
      <w:lvlText w:val="%1."/>
      <w:lvlJc w:val="left"/>
      <w:pPr>
        <w:ind w:left="720" w:hanging="360"/>
      </w:pPr>
    </w:lvl>
    <w:lvl w:ilvl="1" w:tplc="F440DAFA">
      <w:numFmt w:val="decimal"/>
      <w:lvlText w:val=""/>
      <w:lvlJc w:val="left"/>
    </w:lvl>
    <w:lvl w:ilvl="2" w:tplc="47D0602E">
      <w:numFmt w:val="decimal"/>
      <w:lvlText w:val=""/>
      <w:lvlJc w:val="left"/>
    </w:lvl>
    <w:lvl w:ilvl="3" w:tplc="5A06086C">
      <w:numFmt w:val="decimal"/>
      <w:lvlText w:val=""/>
      <w:lvlJc w:val="left"/>
    </w:lvl>
    <w:lvl w:ilvl="4" w:tplc="84F4F49E">
      <w:numFmt w:val="decimal"/>
      <w:lvlText w:val=""/>
      <w:lvlJc w:val="left"/>
    </w:lvl>
    <w:lvl w:ilvl="5" w:tplc="13864800">
      <w:numFmt w:val="decimal"/>
      <w:lvlText w:val=""/>
      <w:lvlJc w:val="left"/>
    </w:lvl>
    <w:lvl w:ilvl="6" w:tplc="95AEC124">
      <w:numFmt w:val="decimal"/>
      <w:lvlText w:val=""/>
      <w:lvlJc w:val="left"/>
    </w:lvl>
    <w:lvl w:ilvl="7" w:tplc="0908C77A">
      <w:numFmt w:val="decimal"/>
      <w:lvlText w:val=""/>
      <w:lvlJc w:val="left"/>
    </w:lvl>
    <w:lvl w:ilvl="8" w:tplc="43581368">
      <w:numFmt w:val="decimal"/>
      <w:lvlText w:val=""/>
      <w:lvlJc w:val="left"/>
    </w:lvl>
  </w:abstractNum>
  <w:abstractNum w:abstractNumId="2" w15:restartNumberingAfterBreak="0">
    <w:nsid w:val="6AB55EC8"/>
    <w:multiLevelType w:val="hybridMultilevel"/>
    <w:tmpl w:val="E9A2A7E8"/>
    <w:lvl w:ilvl="0" w:tplc="EF4835D6">
      <w:start w:val="1"/>
      <w:numFmt w:val="bullet"/>
      <w:lvlText w:val="●"/>
      <w:lvlJc w:val="left"/>
      <w:pPr>
        <w:ind w:left="720" w:hanging="360"/>
      </w:pPr>
    </w:lvl>
    <w:lvl w:ilvl="1" w:tplc="D22469E6">
      <w:start w:val="1"/>
      <w:numFmt w:val="bullet"/>
      <w:lvlText w:val="○"/>
      <w:lvlJc w:val="left"/>
      <w:pPr>
        <w:ind w:left="1440" w:hanging="360"/>
      </w:pPr>
    </w:lvl>
    <w:lvl w:ilvl="2" w:tplc="130AA2F4">
      <w:start w:val="1"/>
      <w:numFmt w:val="bullet"/>
      <w:lvlText w:val="■"/>
      <w:lvlJc w:val="left"/>
      <w:pPr>
        <w:ind w:left="2160" w:hanging="360"/>
      </w:pPr>
    </w:lvl>
    <w:lvl w:ilvl="3" w:tplc="DDC43C1C">
      <w:start w:val="1"/>
      <w:numFmt w:val="bullet"/>
      <w:lvlText w:val="●"/>
      <w:lvlJc w:val="left"/>
      <w:pPr>
        <w:ind w:left="2880" w:hanging="360"/>
      </w:pPr>
    </w:lvl>
    <w:lvl w:ilvl="4" w:tplc="6E0E8B36">
      <w:start w:val="1"/>
      <w:numFmt w:val="bullet"/>
      <w:lvlText w:val="○"/>
      <w:lvlJc w:val="left"/>
      <w:pPr>
        <w:ind w:left="3600" w:hanging="360"/>
      </w:pPr>
    </w:lvl>
    <w:lvl w:ilvl="5" w:tplc="1F487F70">
      <w:start w:val="1"/>
      <w:numFmt w:val="bullet"/>
      <w:lvlText w:val="■"/>
      <w:lvlJc w:val="left"/>
      <w:pPr>
        <w:ind w:left="4320" w:hanging="360"/>
      </w:pPr>
    </w:lvl>
    <w:lvl w:ilvl="6" w:tplc="7D1E71BA">
      <w:start w:val="1"/>
      <w:numFmt w:val="bullet"/>
      <w:lvlText w:val="●"/>
      <w:lvlJc w:val="left"/>
      <w:pPr>
        <w:ind w:left="5040" w:hanging="360"/>
      </w:pPr>
    </w:lvl>
    <w:lvl w:ilvl="7" w:tplc="636CBF40">
      <w:start w:val="1"/>
      <w:numFmt w:val="bullet"/>
      <w:lvlText w:val="●"/>
      <w:lvlJc w:val="left"/>
      <w:pPr>
        <w:ind w:left="5760" w:hanging="360"/>
      </w:pPr>
    </w:lvl>
    <w:lvl w:ilvl="8" w:tplc="83DADAB2">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576B"/>
    <w:rsid w:val="003B618A"/>
    <w:rsid w:val="0045576B"/>
    <w:rsid w:val="004616A7"/>
    <w:rsid w:val="006808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CC4B"/>
  <w15:docId w15:val="{FBD8C291-A0F8-4395-A8B4-4B99D48F1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FFFFFF"/>
      <w:sz w:val="32"/>
      <w:szCs w:val="32"/>
    </w:rPr>
  </w:style>
  <w:style w:type="paragraph" w:styleId="Ttulo2">
    <w:name w:val="heading 2"/>
    <w:uiPriority w:val="9"/>
    <w:unhideWhenUsed/>
    <w:qFormat/>
    <w:pPr>
      <w:spacing w:before="280" w:after="120"/>
      <w:outlineLvl w:val="1"/>
    </w:pPr>
    <w:rPr>
      <w:b/>
      <w:bCs/>
      <w:color w:val="1F3864"/>
      <w:sz w:val="26"/>
      <w:szCs w:val="26"/>
    </w:rPr>
  </w:style>
  <w:style w:type="paragraph" w:styleId="Ttulo3">
    <w:name w:val="heading 3"/>
    <w:uiPriority w:val="9"/>
    <w:unhideWhenUsed/>
    <w:qFormat/>
    <w:pPr>
      <w:spacing w:before="200" w:after="80"/>
      <w:outlineLvl w:val="2"/>
    </w:pPr>
    <w:rPr>
      <w:b/>
      <w:bCs/>
      <w:color w:val="2E75B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616A7"/>
    <w:pPr>
      <w:tabs>
        <w:tab w:val="center" w:pos="4419"/>
        <w:tab w:val="right" w:pos="8838"/>
      </w:tabs>
    </w:pPr>
  </w:style>
  <w:style w:type="character" w:customStyle="1" w:styleId="EncabezadoCar">
    <w:name w:val="Encabezado Car"/>
    <w:basedOn w:val="Fuentedeprrafopredeter"/>
    <w:link w:val="Encabezado"/>
    <w:uiPriority w:val="99"/>
    <w:rsid w:val="004616A7"/>
  </w:style>
  <w:style w:type="paragraph" w:styleId="Piedepgina">
    <w:name w:val="footer"/>
    <w:basedOn w:val="Normal"/>
    <w:link w:val="PiedepginaCar"/>
    <w:uiPriority w:val="99"/>
    <w:unhideWhenUsed/>
    <w:rsid w:val="004616A7"/>
    <w:pPr>
      <w:tabs>
        <w:tab w:val="center" w:pos="4419"/>
        <w:tab w:val="right" w:pos="8838"/>
      </w:tabs>
    </w:pPr>
  </w:style>
  <w:style w:type="character" w:customStyle="1" w:styleId="PiedepginaCar">
    <w:name w:val="Pie de página Car"/>
    <w:basedOn w:val="Fuentedeprrafopredeter"/>
    <w:link w:val="Piedepgina"/>
    <w:uiPriority w:val="99"/>
    <w:rsid w:val="00461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6748</Words>
  <Characters>37117</Characters>
  <Application>Microsoft Office Word</Application>
  <DocSecurity>0</DocSecurity>
  <Lines>309</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HEIDY MARCILLO PATINO</cp:lastModifiedBy>
  <cp:revision>2</cp:revision>
  <dcterms:created xsi:type="dcterms:W3CDTF">2026-04-13T17:15:00Z</dcterms:created>
  <dcterms:modified xsi:type="dcterms:W3CDTF">2026-04-13T17:15:00Z</dcterms:modified>
</cp:coreProperties>
</file>