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4B8C"/>
          <w:sz w:val="72"/>
          <w:szCs w:val="72"/>
        </w:rPr>
        <w:t xml:space="preserve">KBeca</w:t>
      </w:r>
    </w:p>
    <w:p>
      <w:pPr>
        <w:spacing w:after="120" w:before="0"/>
        <w:jc w:val="center"/>
      </w:pPr>
      <w:r>
        <w:rPr>
          <w:rFonts w:ascii="Arial" w:cs="Arial" w:eastAsia="Arial" w:hAnsi="Arial"/>
          <w:color w:val="555555"/>
          <w:sz w:val="32"/>
          <w:szCs w:val="32"/>
        </w:rPr>
        <w:t xml:space="preserve">Plataforma abierta de becas para México</w:t>
      </w:r>
    </w:p>
    <w:p>
      <w:pPr>
        <w:spacing w:after="600" w:before="0"/>
        <w:jc w:val="center"/>
      </w:pPr>
      <w:r>
        <w:rPr>
          <w:rFonts w:ascii="Arial" w:cs="Arial" w:eastAsia="Arial" w:hAnsi="Arial"/>
          <w:color w:val="555555"/>
          <w:sz w:val="22"/>
          <w:szCs w:val="22"/>
        </w:rPr>
        <w:t xml:space="preserve">Plan de Negocio · Versión 1.0 · 2025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4B8C"/>
                <w:sz w:val="22"/>
                <w:szCs w:val="22"/>
              </w:rPr>
              <w:t xml:space="preserve">Naturaleza</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Proyecto público, sin fines de lucro, código abierto</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4B8C"/>
                <w:sz w:val="22"/>
                <w:szCs w:val="22"/>
              </w:rPr>
              <w:t xml:space="preserve">Autor</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Trainee de desarrollo de software multiplataforma · Estudiante UTCancún</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4B8C"/>
                <w:sz w:val="22"/>
                <w:szCs w:val="22"/>
              </w:rPr>
              <w:t xml:space="preserve">Equipo</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Proyecto unipersonal asistido por IA</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4B8C"/>
                <w:sz w:val="22"/>
                <w:szCs w:val="22"/>
              </w:rPr>
              <w:t xml:space="preserve">Modelo de sostenibilidad</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Donaciones y patrocinios voluntarios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4B8C"/>
                <w:sz w:val="22"/>
                <w:szCs w:val="22"/>
              </w:rPr>
              <w:t xml:space="preserve">Cobertura geográfica</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México (nacional) — piloto inicial en Cancún / Quintana Roo</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4B8C"/>
                <w:sz w:val="22"/>
                <w:szCs w:val="22"/>
              </w:rPr>
              <w:t xml:space="preserve">Institución piloto</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Universidad Tecnológica de Cancún (UTCancún)</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4B8C"/>
                <w:sz w:val="22"/>
                <w:szCs w:val="22"/>
              </w:rPr>
              <w:t xml:space="preserve">Usuarios objetivo</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Estudiantes, padres de familia, orientadores vocacionales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4B8C"/>
                <w:sz w:val="22"/>
                <w:szCs w:val="22"/>
              </w:rPr>
              <w:t xml:space="preserve">Licencia de software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MIT / Apache 2.0 (por definir)</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4B8C"/>
                <w:sz w:val="22"/>
                <w:szCs w:val="22"/>
              </w:rPr>
              <w:t xml:space="preserve">Versión del documento</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1.0 — Borrador inicial</w:t>
            </w:r>
          </w:p>
        </w:tc>
      </w:tr>
    </w:tbl>
    <w:p>
      <w:pPr>
        <w:spacing w:after="80" w:before="80"/>
      </w:pPr>
      <w:r>
        <w:t xml:space="preserve"/>
      </w:r>
    </w:p>
    <w:p>
      <w:r>
        <w:br w:type="page"/>
      </w:r>
    </w:p>
    <w:p>
      <w:pPr>
        <w:pStyle w:val="Heading1"/>
        <w:spacing w:after="160" w:before="400"/>
      </w:pPr>
      <w:r>
        <w:rPr>
          <w:rFonts w:ascii="Arial" w:cs="Arial" w:eastAsia="Arial" w:hAnsi="Arial"/>
          <w:b/>
          <w:bCs/>
          <w:color w:val="1A4B8C"/>
          <w:sz w:val="32"/>
          <w:szCs w:val="32"/>
        </w:rPr>
        <w:t xml:space="preserve">0. Contexto y enfoque de desarrollo</w:t>
      </w:r>
    </w:p>
    <w:p>
      <w:pPr>
        <w:spacing w:after="100" w:before="60"/>
      </w:pPr>
      <w:r>
        <w:rPr>
          <w:rFonts w:ascii="Arial" w:cs="Arial" w:eastAsia="Arial" w:hAnsi="Arial"/>
          <w:color w:val="1C1C1C"/>
          <w:sz w:val="22"/>
          <w:szCs w:val="22"/>
        </w:rPr>
        <w:t xml:space="preserve">KBeca es un proyecto personal de un estudiante y trainee de desarrollo de software multiplataforma en la Universidad Tecnologica de Cancun (UTCancun). Se desarrolla de forma unipersonal, con asistencia de inteligencia artificial como herramienta principal de productividad.</w:t>
      </w:r>
    </w:p>
    <w:p>
      <w:pPr>
        <w:spacing w:after="80" w:before="80"/>
      </w:pPr>
      <w:r>
        <w:t xml:space="preserve"/>
      </w:r>
    </w:p>
    <w:p>
      <w:pPr>
        <w:spacing w:after="100" w:before="60"/>
      </w:pPr>
      <w:r>
        <w:rPr>
          <w:rFonts w:ascii="Arial" w:cs="Arial" w:eastAsia="Arial" w:hAnsi="Arial"/>
          <w:color w:val="1C1C1C"/>
          <w:sz w:val="22"/>
          <w:szCs w:val="22"/>
        </w:rPr>
        <w:t xml:space="preserve">Este contexto define decisiones clave a lo largo de todo el proyecto:</w:t>
      </w:r>
    </w:p>
    <w:p>
      <w:pPr>
        <w:spacing w:after="80" w:before="80"/>
      </w:pPr>
      <w:r>
        <w:t xml:space="preserve"/>
      </w:r>
    </w:p>
    <w:p>
      <w:pPr>
        <w:pStyle w:val="ListParagraph"/>
        <w:numPr>
          <w:ilvl w:val="0"/>
          <w:numId w:val="2"/>
        </w:numPr>
        <w:spacing w:after="40" w:before="40"/>
      </w:pPr>
      <w:r>
        <w:rPr>
          <w:rFonts w:ascii="Arial" w:cs="Arial" w:eastAsia="Arial" w:hAnsi="Arial"/>
          <w:color w:val="1C1C1C"/>
          <w:sz w:val="22"/>
          <w:szCs w:val="22"/>
        </w:rPr>
        <w:t xml:space="preserve">Complejidad controlada: el alcance del MVP esta deliberadamente acotado para que una sola persona pueda construirlo, desplegarlo y mantenerlo de forma sostenible.</w:t>
      </w:r>
    </w:p>
    <w:p>
      <w:pPr>
        <w:pStyle w:val="ListParagraph"/>
        <w:numPr>
          <w:ilvl w:val="0"/>
          <w:numId w:val="2"/>
        </w:numPr>
        <w:spacing w:after="40" w:before="40"/>
      </w:pPr>
      <w:r>
        <w:rPr>
          <w:rFonts w:ascii="Arial" w:cs="Arial" w:eastAsia="Arial" w:hAnsi="Arial"/>
          <w:color w:val="1C1C1C"/>
          <w:sz w:val="22"/>
          <w:szCs w:val="22"/>
        </w:rPr>
        <w:t xml:space="preserve">Documentacion como base de trabajo con IA: toda la documentacion tecnica y funcional sirve como contexto estructurado para guiar el trabajo asistido por herramientas de IA generativa. Sin una base documental solida, el uso de IA es improductivo.</w:t>
      </w:r>
    </w:p>
    <w:p>
      <w:pPr>
        <w:pStyle w:val="ListParagraph"/>
        <w:numPr>
          <w:ilvl w:val="0"/>
          <w:numId w:val="2"/>
        </w:numPr>
        <w:spacing w:after="40" w:before="40"/>
      </w:pPr>
      <w:r>
        <w:rPr>
          <w:rFonts w:ascii="Arial" w:cs="Arial" w:eastAsia="Arial" w:hAnsi="Arial"/>
          <w:color w:val="1C1C1C"/>
          <w:sz w:val="22"/>
          <w:szCs w:val="22"/>
        </w:rPr>
        <w:t xml:space="preserve">Stack simple y mantenible: se prioriza tecnologia que el autor domina o puede aprender rapidamente, con comunidades activas y buena documentacion.</w:t>
      </w:r>
    </w:p>
    <w:p>
      <w:pPr>
        <w:pStyle w:val="ListParagraph"/>
        <w:numPr>
          <w:ilvl w:val="0"/>
          <w:numId w:val="2"/>
        </w:numPr>
        <w:spacing w:after="40" w:before="40"/>
      </w:pPr>
      <w:r>
        <w:rPr>
          <w:rFonts w:ascii="Arial" w:cs="Arial" w:eastAsia="Arial" w:hAnsi="Arial"/>
          <w:color w:val="1C1C1C"/>
          <w:sz w:val="22"/>
          <w:szCs w:val="22"/>
        </w:rPr>
        <w:t xml:space="preserve">Piloto en UTCancun: la universidad del autor es el primer entorno de validacion real. Los orientadores vocacionales de la institucion son los primeros usuarios clave, eliminando la barrera de distribucion inicial.</w:t>
      </w:r>
    </w:p>
    <w:p>
      <w:pPr>
        <w:pStyle w:val="ListParagraph"/>
        <w:numPr>
          <w:ilvl w:val="0"/>
          <w:numId w:val="2"/>
        </w:numPr>
        <w:spacing w:after="40" w:before="40"/>
      </w:pPr>
      <w:r>
        <w:rPr>
          <w:rFonts w:ascii="Arial" w:cs="Arial" w:eastAsia="Arial" w:hAnsi="Arial"/>
          <w:color w:val="1C1C1C"/>
          <w:sz w:val="22"/>
          <w:szCs w:val="22"/>
        </w:rPr>
        <w:t xml:space="preserve">Proyecto de portafolio profesional: ademas del impacto social, KBeca es una demostracion tangible de capacidades tecnicas para el desarrollo de carrera del autor.</w:t>
      </w:r>
    </w:p>
    <w:p>
      <w:pPr>
        <w:spacing w:after="80" w:before="80"/>
      </w:pPr>
      <w:r>
        <w:t xml:space="preserve"/>
      </w:r>
    </w:p>
    <w:p>
      <w:pPr>
        <w:spacing w:after="100" w:before="60"/>
      </w:pPr>
      <w:r>
        <w:rPr>
          <w:rFonts w:ascii="Arial" w:cs="Arial" w:eastAsia="Arial" w:hAnsi="Arial"/>
          <w:color w:val="1C1C1C"/>
          <w:sz w:val="22"/>
          <w:szCs w:val="22"/>
        </w:rPr>
        <w:t xml:space="preserve">La combinacion de un problema real, un entorno de validacion accesible (UTCancun), herramientas de IA para acelerar el desarrollo y una arquitectura deliberadamente simple hace que este proyecto sea viable para un desarrollador en formacion con ambicion y metodologia.</w:t>
      </w:r>
    </w:p>
    <w:p>
      <w:pPr>
        <w:spacing w:after="80" w:before="80"/>
      </w:pPr>
      <w:r>
        <w:t xml:space="preserve"/>
      </w:r>
    </w:p>
    <w:p>
      <w:r>
        <w:br w:type="page"/>
      </w:r>
    </w:p>
    <w:p>
      <w:pPr>
        <w:pStyle w:val="Heading1"/>
        <w:spacing w:after="160" w:before="400"/>
      </w:pPr>
      <w:r>
        <w:rPr>
          <w:rFonts w:ascii="Arial" w:cs="Arial" w:eastAsia="Arial" w:hAnsi="Arial"/>
          <w:b/>
          <w:bCs/>
          <w:color w:val="1A4B8C"/>
          <w:sz w:val="32"/>
          <w:szCs w:val="32"/>
        </w:rPr>
        <w:t xml:space="preserve">1. Resumen ejecutivo</w:t>
      </w:r>
    </w:p>
    <w:p>
      <w:pPr>
        <w:spacing w:after="100" w:before="60"/>
      </w:pPr>
      <w:r>
        <w:rPr>
          <w:rFonts w:ascii="Arial" w:cs="Arial" w:eastAsia="Arial" w:hAnsi="Arial"/>
          <w:color w:val="1C1C1C"/>
          <w:sz w:val="22"/>
          <w:szCs w:val="22"/>
        </w:rPr>
        <w:t xml:space="preserve">KBeca es una plataforma web de consulta pública, sin fines de lucro y de código abierto, cuya misión es eliminar la brecha de información que impide a millones de estudiantes mexicanos acceder a becas disponibles. El sistema agrega y estructura información de becas públicas y privadas, y permite a cualquier persona encontrar en segundos las opciones a las que tiene derecho, sin necesidad de navegar decenas de portales gubernamentales o institucionales.</w:t>
      </w:r>
    </w:p>
    <w:p>
      <w:pPr>
        <w:spacing w:after="80" w:before="80"/>
      </w:pPr>
      <w:r>
        <w:t xml:space="preserve"/>
      </w:r>
    </w:p>
    <w:p>
      <w:pPr>
        <w:spacing w:after="100" w:before="60"/>
      </w:pPr>
      <w:r>
        <w:rPr>
          <w:rFonts w:ascii="Arial" w:cs="Arial" w:eastAsia="Arial" w:hAnsi="Arial"/>
          <w:color w:val="1C1C1C"/>
          <w:sz w:val="22"/>
          <w:szCs w:val="22"/>
        </w:rPr>
        <w:t xml:space="preserve">El producto central es un motor de matching: el usuario ingresa su perfil (edad, nivel académico, localidad y pertenencia a programas sociales) y recibe una lista priorizada de becas disponibles, con los requisitos, montos y enlaces directos a las fuentes oficiales.</w:t>
      </w:r>
    </w:p>
    <w:p>
      <w:pPr>
        <w:spacing w:after="80" w:before="80"/>
      </w:pPr>
      <w:r>
        <w:t xml:space="preserve"/>
      </w:r>
    </w:p>
    <w:p>
      <w:pPr>
        <w:spacing w:after="100" w:before="60"/>
      </w:pPr>
      <w:r>
        <w:rPr>
          <w:rFonts w:ascii="Arial" w:cs="Arial" w:eastAsia="Arial" w:hAnsi="Arial"/>
          <w:color w:val="1C1C1C"/>
          <w:sz w:val="22"/>
          <w:szCs w:val="22"/>
        </w:rPr>
        <w:t xml:space="preserve">KBeca no gestiona ni procesa solicitudes de becas. No almacena datos sensibles del usuario. No tiene modelo de negocio de monetización directa. Su valor radica en la centralización, estructuración y actualización continua de información pública que hoy está dispersa y es difícil de encontrar.</w:t>
      </w:r>
    </w:p>
    <w:p>
      <w:pPr>
        <w:spacing w:after="80" w:before="80"/>
      </w:pPr>
      <w:r>
        <w:t xml:space="preserve"/>
      </w:r>
    </w:p>
    <w:p>
      <w:pPr>
        <w:pStyle w:val="Heading1"/>
        <w:spacing w:after="160" w:before="400"/>
      </w:pPr>
      <w:r>
        <w:rPr>
          <w:rFonts w:ascii="Arial" w:cs="Arial" w:eastAsia="Arial" w:hAnsi="Arial"/>
          <w:b/>
          <w:bCs/>
          <w:color w:val="1A4B8C"/>
          <w:sz w:val="32"/>
          <w:szCs w:val="32"/>
        </w:rPr>
        <w:t xml:space="preserve">2. Problema que resuelve</w:t>
      </w:r>
    </w:p>
    <w:p>
      <w:pPr>
        <w:pStyle w:val="Heading2"/>
        <w:spacing w:after="120" w:before="280"/>
      </w:pPr>
      <w:r>
        <w:rPr>
          <w:rFonts w:ascii="Arial" w:cs="Arial" w:eastAsia="Arial" w:hAnsi="Arial"/>
          <w:b/>
          <w:bCs/>
          <w:color w:val="1C1C1C"/>
          <w:sz w:val="26"/>
          <w:szCs w:val="26"/>
        </w:rPr>
        <w:t xml:space="preserve">2.1 Diagnóstico</w:t>
      </w:r>
    </w:p>
    <w:p>
      <w:pPr>
        <w:spacing w:after="100" w:before="60"/>
      </w:pPr>
      <w:r>
        <w:rPr>
          <w:rFonts w:ascii="Arial" w:cs="Arial" w:eastAsia="Arial" w:hAnsi="Arial"/>
          <w:color w:val="1C1C1C"/>
          <w:sz w:val="22"/>
          <w:szCs w:val="22"/>
        </w:rPr>
        <w:t xml:space="preserve">En México existen cientos de programas de becas activos en todo momento: programas federales (Benito Juárez, Elisa Acuña, CONACYT), estatales, municipales e institucionales (Santander, BBVA, Cemex, fundaciones privadas). Sin embargo, la información está fragmentada en decenas de portales distintos, con lenguaje burocrático, requisitos cambiantes y poca accesibilidad digital.</w:t>
      </w:r>
    </w:p>
    <w:p>
      <w:pPr>
        <w:spacing w:after="80" w:before="80"/>
      </w:pPr>
      <w:r>
        <w:t xml:space="preserve"/>
      </w:r>
    </w:p>
    <w:p>
      <w:pPr>
        <w:spacing w:after="100" w:before="60"/>
      </w:pPr>
      <w:r>
        <w:rPr>
          <w:rFonts w:ascii="Arial" w:cs="Arial" w:eastAsia="Arial" w:hAnsi="Arial"/>
          <w:color w:val="1C1C1C"/>
          <w:sz w:val="22"/>
          <w:szCs w:val="22"/>
        </w:rPr>
        <w:t xml:space="preserve">El resultado es que muchos estudiantes elegibles —especialmente en contextos de vulnerabilidad económica— no aplican a becas simplemente porque no saben que existen o no saben si califican. Este es un problema de información, no de oferta.</w:t>
      </w:r>
    </w:p>
    <w:p>
      <w:pPr>
        <w:spacing w:after="80" w:before="80"/>
      </w:pPr>
      <w:r>
        <w:t xml:space="preserve"/>
      </w:r>
    </w:p>
    <w:p>
      <w:pPr>
        <w:pStyle w:val="Heading2"/>
        <w:spacing w:after="120" w:before="280"/>
      </w:pPr>
      <w:r>
        <w:rPr>
          <w:rFonts w:ascii="Arial" w:cs="Arial" w:eastAsia="Arial" w:hAnsi="Arial"/>
          <w:b/>
          <w:bCs/>
          <w:color w:val="1C1C1C"/>
          <w:sz w:val="26"/>
          <w:szCs w:val="26"/>
        </w:rPr>
        <w:t xml:space="preserve">2.2 Impacto del problema</w:t>
      </w:r>
    </w:p>
    <w:p>
      <w:pPr>
        <w:pStyle w:val="ListParagraph"/>
        <w:numPr>
          <w:ilvl w:val="0"/>
          <w:numId w:val="2"/>
        </w:numPr>
        <w:spacing w:after="40" w:before="40"/>
      </w:pPr>
      <w:r>
        <w:rPr>
          <w:rFonts w:ascii="Arial" w:cs="Arial" w:eastAsia="Arial" w:hAnsi="Arial"/>
          <w:color w:val="1C1C1C"/>
          <w:sz w:val="22"/>
          <w:szCs w:val="22"/>
        </w:rPr>
        <w:t xml:space="preserve">Estudiantes en zonas rurales o semiurbanas con escaso acceso a orientación vocacional institucional.</w:t>
      </w:r>
    </w:p>
    <w:p>
      <w:pPr>
        <w:pStyle w:val="ListParagraph"/>
        <w:numPr>
          <w:ilvl w:val="0"/>
          <w:numId w:val="2"/>
        </w:numPr>
        <w:spacing w:after="40" w:before="40"/>
      </w:pPr>
      <w:r>
        <w:rPr>
          <w:rFonts w:ascii="Arial" w:cs="Arial" w:eastAsia="Arial" w:hAnsi="Arial"/>
          <w:color w:val="1C1C1C"/>
          <w:sz w:val="22"/>
          <w:szCs w:val="22"/>
        </w:rPr>
        <w:t xml:space="preserve">Familias de bajos ingresos que desconocen programas como la Beca Bienestar o apoyos estatales específicos.</w:t>
      </w:r>
    </w:p>
    <w:p>
      <w:pPr>
        <w:pStyle w:val="ListParagraph"/>
        <w:numPr>
          <w:ilvl w:val="0"/>
          <w:numId w:val="2"/>
        </w:numPr>
        <w:spacing w:after="40" w:before="40"/>
      </w:pPr>
      <w:r>
        <w:rPr>
          <w:rFonts w:ascii="Arial" w:cs="Arial" w:eastAsia="Arial" w:hAnsi="Arial"/>
          <w:color w:val="1C1C1C"/>
          <w:sz w:val="22"/>
          <w:szCs w:val="22"/>
        </w:rPr>
        <w:t xml:space="preserve">Jóvenes indígenas o de grupos en situación de vulnerabilidad que tienen prioridad en múltiples programas pero no acceden a ellos por falta de información.</w:t>
      </w:r>
    </w:p>
    <w:p>
      <w:pPr>
        <w:pStyle w:val="ListParagraph"/>
        <w:numPr>
          <w:ilvl w:val="0"/>
          <w:numId w:val="2"/>
        </w:numPr>
        <w:spacing w:after="40" w:before="40"/>
      </w:pPr>
      <w:r>
        <w:rPr>
          <w:rFonts w:ascii="Arial" w:cs="Arial" w:eastAsia="Arial" w:hAnsi="Arial"/>
          <w:color w:val="1C1C1C"/>
          <w:sz w:val="22"/>
          <w:szCs w:val="22"/>
        </w:rPr>
        <w:t xml:space="preserve">Orientadores vocacionales que dedican horas a rastrear manualmente convocatorias dispersas.</w:t>
      </w:r>
    </w:p>
    <w:p>
      <w:pPr>
        <w:spacing w:after="80" w:before="80"/>
      </w:pPr>
      <w:r>
        <w:t xml:space="preserve"/>
      </w:r>
    </w:p>
    <w:p>
      <w:pPr>
        <w:pStyle w:val="Heading1"/>
        <w:spacing w:after="160" w:before="400"/>
      </w:pPr>
      <w:r>
        <w:rPr>
          <w:rFonts w:ascii="Arial" w:cs="Arial" w:eastAsia="Arial" w:hAnsi="Arial"/>
          <w:b/>
          <w:bCs/>
          <w:color w:val="1A4B8C"/>
          <w:sz w:val="32"/>
          <w:szCs w:val="32"/>
        </w:rPr>
        <w:t xml:space="preserve">3. Solución propuesta</w:t>
      </w:r>
    </w:p>
    <w:p>
      <w:pPr>
        <w:pStyle w:val="Heading2"/>
        <w:spacing w:after="120" w:before="280"/>
      </w:pPr>
      <w:r>
        <w:rPr>
          <w:rFonts w:ascii="Arial" w:cs="Arial" w:eastAsia="Arial" w:hAnsi="Arial"/>
          <w:b/>
          <w:bCs/>
          <w:color w:val="1C1C1C"/>
          <w:sz w:val="26"/>
          <w:szCs w:val="26"/>
        </w:rPr>
        <w:t xml:space="preserve">3.1 Propuesta de valor</w:t>
      </w:r>
    </w:p>
    <w:p>
      <w:pPr>
        <w:spacing w:after="100" w:before="60"/>
      </w:pPr>
      <w:r>
        <w:rPr>
          <w:rFonts w:ascii="Arial" w:cs="Arial" w:eastAsia="Arial" w:hAnsi="Arial"/>
          <w:color w:val="1C1C1C"/>
          <w:sz w:val="22"/>
          <w:szCs w:val="22"/>
        </w:rPr>
        <w:t xml:space="preserve">KBeca centraliza, estructura y actualiza la información de becas en México, ofreciendo un motor de búsqueda por perfil del solicitante. No reemplaza los portales oficiales: los complementa dirigiendo al usuario al lugar correcto con la información precisa para que pueda aplicar.</w:t>
      </w:r>
    </w:p>
    <w:p>
      <w:pPr>
        <w:spacing w:after="80" w:before="80"/>
      </w:pPr>
      <w:r>
        <w:t xml:space="preserve"/>
      </w:r>
    </w:p>
    <w:p>
      <w:pPr>
        <w:pStyle w:val="Heading2"/>
        <w:spacing w:after="120" w:before="280"/>
      </w:pPr>
      <w:r>
        <w:rPr>
          <w:rFonts w:ascii="Arial" w:cs="Arial" w:eastAsia="Arial" w:hAnsi="Arial"/>
          <w:b/>
          <w:bCs/>
          <w:color w:val="1C1C1C"/>
          <w:sz w:val="26"/>
          <w:szCs w:val="26"/>
        </w:rPr>
        <w:t xml:space="preserve">3.2 Funcionalidades core (MVP)</w:t>
      </w:r>
    </w:p>
    <w:p>
      <w:pPr>
        <w:pStyle w:val="ListParagraph"/>
        <w:numPr>
          <w:ilvl w:val="0"/>
          <w:numId w:val="2"/>
        </w:numPr>
        <w:spacing w:after="40" w:before="40"/>
      </w:pPr>
      <w:r>
        <w:rPr>
          <w:rFonts w:ascii="Arial" w:cs="Arial" w:eastAsia="Arial" w:hAnsi="Arial"/>
          <w:color w:val="1C1C1C"/>
          <w:sz w:val="22"/>
          <w:szCs w:val="22"/>
        </w:rPr>
        <w:t xml:space="preserve">Formulario de perfil: edad, nivel académico actual y escuela, pertenencia a programas sociales o grupos prioritarios (indígena, discapacidad, etc.), localidad (estado, municipio, ciudad).</w:t>
      </w:r>
    </w:p>
    <w:p>
      <w:pPr>
        <w:pStyle w:val="ListParagraph"/>
        <w:numPr>
          <w:ilvl w:val="0"/>
          <w:numId w:val="2"/>
        </w:numPr>
        <w:spacing w:after="40" w:before="40"/>
      </w:pPr>
      <w:r>
        <w:rPr>
          <w:rFonts w:ascii="Arial" w:cs="Arial" w:eastAsia="Arial" w:hAnsi="Arial"/>
          <w:color w:val="1C1C1C"/>
          <w:sz w:val="22"/>
          <w:szCs w:val="22"/>
        </w:rPr>
        <w:t xml:space="preserve">Motor de matching: filtrado estructurado en base de datos que cruza el perfil del usuario con los requisitos de cada beca y devuelve resultados relevantes ordenados por compatibilidad.</w:t>
      </w:r>
    </w:p>
    <w:p>
      <w:pPr>
        <w:pStyle w:val="ListParagraph"/>
        <w:numPr>
          <w:ilvl w:val="0"/>
          <w:numId w:val="2"/>
        </w:numPr>
        <w:spacing w:after="40" w:before="40"/>
      </w:pPr>
      <w:r>
        <w:rPr>
          <w:rFonts w:ascii="Arial" w:cs="Arial" w:eastAsia="Arial" w:hAnsi="Arial"/>
          <w:color w:val="1C1C1C"/>
          <w:sz w:val="22"/>
          <w:szCs w:val="22"/>
        </w:rPr>
        <w:t xml:space="preserve">Ficha de cada beca: nombre, organismo, monto o beneficio, requisitos, período de aplicación, enlace directo a la fuente oficial y fecha de última actualización.</w:t>
      </w:r>
    </w:p>
    <w:p>
      <w:pPr>
        <w:pStyle w:val="ListParagraph"/>
        <w:numPr>
          <w:ilvl w:val="0"/>
          <w:numId w:val="2"/>
        </w:numPr>
        <w:spacing w:after="40" w:before="40"/>
      </w:pPr>
      <w:r>
        <w:rPr>
          <w:rFonts w:ascii="Arial" w:cs="Arial" w:eastAsia="Arial" w:hAnsi="Arial"/>
          <w:color w:val="1C1C1C"/>
          <w:sz w:val="22"/>
          <w:szCs w:val="22"/>
        </w:rPr>
        <w:t xml:space="preserve">Actualización continua: pipeline automatizado de scraping semanal con validación editorial antes de publicación.</w:t>
      </w:r>
    </w:p>
    <w:p>
      <w:pPr>
        <w:spacing w:after="80" w:before="80"/>
      </w:pPr>
      <w:r>
        <w:t xml:space="preserve"/>
      </w:r>
    </w:p>
    <w:p>
      <w:pPr>
        <w:pStyle w:val="Heading2"/>
        <w:spacing w:after="120" w:before="280"/>
      </w:pPr>
      <w:r>
        <w:rPr>
          <w:rFonts w:ascii="Arial" w:cs="Arial" w:eastAsia="Arial" w:hAnsi="Arial"/>
          <w:b/>
          <w:bCs/>
          <w:color w:val="1C1C1C"/>
          <w:sz w:val="26"/>
          <w:szCs w:val="26"/>
        </w:rPr>
        <w:t xml:space="preserve">3.3 Funcionalidades fuera del alcance del MVP</w:t>
      </w:r>
    </w:p>
    <w:p>
      <w:pPr>
        <w:pStyle w:val="ListParagraph"/>
        <w:numPr>
          <w:ilvl w:val="0"/>
          <w:numId w:val="2"/>
        </w:numPr>
        <w:spacing w:after="40" w:before="40"/>
      </w:pPr>
      <w:r>
        <w:rPr>
          <w:rFonts w:ascii="Arial" w:cs="Arial" w:eastAsia="Arial" w:hAnsi="Arial"/>
          <w:color w:val="1C1C1C"/>
          <w:sz w:val="22"/>
          <w:szCs w:val="22"/>
        </w:rPr>
        <w:t xml:space="preserve">Gestión de solicitudes o seguimiento de aplicaciones.</w:t>
      </w:r>
    </w:p>
    <w:p>
      <w:pPr>
        <w:pStyle w:val="ListParagraph"/>
        <w:numPr>
          <w:ilvl w:val="0"/>
          <w:numId w:val="2"/>
        </w:numPr>
        <w:spacing w:after="40" w:before="40"/>
      </w:pPr>
      <w:r>
        <w:rPr>
          <w:rFonts w:ascii="Arial" w:cs="Arial" w:eastAsia="Arial" w:hAnsi="Arial"/>
          <w:color w:val="1C1C1C"/>
          <w:sz w:val="22"/>
          <w:szCs w:val="22"/>
        </w:rPr>
        <w:t xml:space="preserve">Almacenamiento de datos personales del usuario (la plataforma es stateless para el solicitante).</w:t>
      </w:r>
    </w:p>
    <w:p>
      <w:pPr>
        <w:pStyle w:val="ListParagraph"/>
        <w:numPr>
          <w:ilvl w:val="0"/>
          <w:numId w:val="2"/>
        </w:numPr>
        <w:spacing w:after="40" w:before="40"/>
      </w:pPr>
      <w:r>
        <w:rPr>
          <w:rFonts w:ascii="Arial" w:cs="Arial" w:eastAsia="Arial" w:hAnsi="Arial"/>
          <w:color w:val="1C1C1C"/>
          <w:sz w:val="22"/>
          <w:szCs w:val="22"/>
        </w:rPr>
        <w:t xml:space="preserve">Notificaciones o alertas personalizadas (se puede considerar en versiones futuras).</w:t>
      </w:r>
    </w:p>
    <w:p>
      <w:pPr>
        <w:pStyle w:val="ListParagraph"/>
        <w:numPr>
          <w:ilvl w:val="0"/>
          <w:numId w:val="2"/>
        </w:numPr>
        <w:spacing w:after="40" w:before="40"/>
      </w:pPr>
      <w:r>
        <w:rPr>
          <w:rFonts w:ascii="Arial" w:cs="Arial" w:eastAsia="Arial" w:hAnsi="Arial"/>
          <w:color w:val="1C1C1C"/>
          <w:sz w:val="22"/>
          <w:szCs w:val="22"/>
        </w:rPr>
        <w:t xml:space="preserve">Foros, comunidad o contenido editorial en la primera fase.</w:t>
      </w:r>
    </w:p>
    <w:p>
      <w:pPr>
        <w:spacing w:after="80" w:before="80"/>
      </w:pPr>
      <w:r>
        <w:t xml:space="preserve"/>
      </w:r>
    </w:p>
    <w:p>
      <w:pPr>
        <w:pStyle w:val="Heading1"/>
        <w:spacing w:after="160" w:before="400"/>
      </w:pPr>
      <w:r>
        <w:rPr>
          <w:rFonts w:ascii="Arial" w:cs="Arial" w:eastAsia="Arial" w:hAnsi="Arial"/>
          <w:b/>
          <w:bCs/>
          <w:color w:val="1A4B8C"/>
          <w:sz w:val="32"/>
          <w:szCs w:val="32"/>
        </w:rPr>
        <w:t xml:space="preserve">4. Usuarios objetivo</w:t>
      </w:r>
    </w:p>
    <w:p>
      <w:pPr>
        <w:pStyle w:val="Heading2"/>
        <w:spacing w:after="120" w:before="280"/>
      </w:pPr>
      <w:r>
        <w:rPr>
          <w:rFonts w:ascii="Arial" w:cs="Arial" w:eastAsia="Arial" w:hAnsi="Arial"/>
          <w:b/>
          <w:bCs/>
          <w:color w:val="1C1C1C"/>
          <w:sz w:val="26"/>
          <w:szCs w:val="26"/>
        </w:rPr>
        <w:t xml:space="preserve">4.1 Perfiles principales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4B8C" w:val="clear"/>
            <w:tcMar>
              <w:top w:type="dxa" w:w="100"/>
              <w:left w:type="dxa" w:w="140"/>
              <w:bottom w:type="dxa" w:w="100"/>
              <w:right w:type="dxa" w:w="140"/>
            </w:tcMar>
          </w:tcPr>
          <w:p>
            <w:r>
              <w:rPr>
                <w:rFonts w:ascii="Arial" w:cs="Arial" w:eastAsia="Arial" w:hAnsi="Arial"/>
                <w:b/>
                <w:bCs/>
                <w:color w:val="FFFFFF"/>
                <w:sz w:val="22"/>
                <w:szCs w:val="22"/>
              </w:rPr>
              <w:t xml:space="preserve">Perfil</w:t>
            </w:r>
          </w:p>
        </w:tc>
        <w:tc>
          <w:tcPr>
            <w:tcW w:type="dxa" w:w="3580"/>
            <w:tcBorders>
              <w:top w:val="single" w:color="CCCCCC" w:sz="1"/>
              <w:left w:val="single" w:color="CCCCCC" w:sz="1"/>
              <w:bottom w:val="single" w:color="CCCCCC" w:sz="1"/>
              <w:right w:val="single" w:color="CCCCCC" w:sz="1"/>
            </w:tcBorders>
            <w:shd w:fill="1A4B8C" w:val="clear"/>
            <w:tcMar>
              <w:top w:type="dxa" w:w="100"/>
              <w:left w:type="dxa" w:w="140"/>
              <w:bottom w:type="dxa" w:w="100"/>
              <w:right w:type="dxa" w:w="140"/>
            </w:tcMar>
          </w:tcPr>
          <w:p>
            <w:r>
              <w:rPr>
                <w:rFonts w:ascii="Arial" w:cs="Arial" w:eastAsia="Arial" w:hAnsi="Arial"/>
                <w:b/>
                <w:bCs/>
                <w:color w:val="FFFFFF"/>
                <w:sz w:val="22"/>
                <w:szCs w:val="22"/>
              </w:rPr>
              <w:t xml:space="preserve">Necesidad</w:t>
            </w:r>
          </w:p>
        </w:tc>
        <w:tc>
          <w:tcPr>
            <w:tcW w:type="dxa" w:w="3580"/>
            <w:tcBorders>
              <w:top w:val="single" w:color="CCCCCC" w:sz="1"/>
              <w:left w:val="single" w:color="CCCCCC" w:sz="1"/>
              <w:bottom w:val="single" w:color="CCCCCC" w:sz="1"/>
              <w:right w:val="single" w:color="CCCCCC" w:sz="1"/>
            </w:tcBorders>
            <w:shd w:fill="1A4B8C" w:val="clear"/>
            <w:tcMar>
              <w:top w:type="dxa" w:w="100"/>
              <w:left w:type="dxa" w:w="140"/>
              <w:bottom w:type="dxa" w:w="100"/>
              <w:right w:type="dxa" w:w="140"/>
            </w:tcMar>
          </w:tcPr>
          <w:p>
            <w:r>
              <w:rPr>
                <w:rFonts w:ascii="Arial" w:cs="Arial" w:eastAsia="Arial" w:hAnsi="Arial"/>
                <w:b/>
                <w:bCs/>
                <w:color w:val="FFFFFF"/>
                <w:sz w:val="22"/>
                <w:szCs w:val="22"/>
              </w:rPr>
              <w:t xml:space="preserve">Cómo usa KBeca</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default"/>
            </w:r>
          </w:p>
        </w:tc>
        <w:tc>
          <w:tcPr>
            <w:tcW w:type="dxa" w:w="35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default"/>
            </w:r>
          </w:p>
        </w:tc>
        <w:tc>
          <w:tcPr>
            <w:tcW w:type="dxa" w:w="35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default"/>
            </w:r>
          </w:p>
        </w:tc>
      </w:tr>
    </w:tbl>
    <w:p>
      <w:pPr>
        <w:spacing w:after="80" w:before="80"/>
      </w:pPr>
      <w:r>
        <w:t xml:space="preserve"/>
      </w:r>
    </w:p>
    <w:p>
      <w:pPr>
        <w:pStyle w:val="Heading2"/>
        <w:spacing w:after="120" w:before="280"/>
      </w:pPr>
      <w:r>
        <w:rPr>
          <w:rFonts w:ascii="Arial" w:cs="Arial" w:eastAsia="Arial" w:hAnsi="Arial"/>
          <w:b/>
          <w:bCs/>
          <w:color w:val="1C1C1C"/>
          <w:sz w:val="26"/>
          <w:szCs w:val="26"/>
        </w:rPr>
        <w:t xml:space="preserve">4.2 Contexto geográfico y socioeconómico</w:t>
      </w:r>
    </w:p>
    <w:p>
      <w:pPr>
        <w:spacing w:after="100" w:before="60"/>
      </w:pPr>
      <w:r>
        <w:rPr>
          <w:rFonts w:ascii="Arial" w:cs="Arial" w:eastAsia="Arial" w:hAnsi="Arial"/>
          <w:color w:val="1C1C1C"/>
          <w:sz w:val="22"/>
          <w:szCs w:val="22"/>
        </w:rPr>
        <w:t xml:space="preserve">La plataforma tiene especial relevancia para usuarios en estados con menor índice de desarrollo humano (Chiapas, Guerrero, Oaxaca, Veracruz, Michoacán), donde la brecha de información es más pronunciada y donde los programas de becas focalizados tienen mayor presencia. El diseño debe contemplar acceso desde dispositivos móviles con conectividad limitada.</w:t>
      </w:r>
    </w:p>
    <w:p>
      <w:pPr>
        <w:spacing w:after="80" w:before="80"/>
      </w:pPr>
      <w:r>
        <w:t xml:space="preserve"/>
      </w:r>
    </w:p>
    <w:p>
      <w:pPr>
        <w:pStyle w:val="Heading1"/>
        <w:spacing w:after="160" w:before="400"/>
      </w:pPr>
      <w:r>
        <w:rPr>
          <w:rFonts w:ascii="Arial" w:cs="Arial" w:eastAsia="Arial" w:hAnsi="Arial"/>
          <w:b/>
          <w:bCs/>
          <w:color w:val="1A4B8C"/>
          <w:sz w:val="32"/>
          <w:szCs w:val="32"/>
        </w:rPr>
        <w:t xml:space="preserve">5. Modelo de sostenibilidad</w:t>
      </w:r>
    </w:p>
    <w:p>
      <w:pPr>
        <w:pStyle w:val="Heading2"/>
        <w:spacing w:after="120" w:before="280"/>
      </w:pPr>
      <w:r>
        <w:rPr>
          <w:rFonts w:ascii="Arial" w:cs="Arial" w:eastAsia="Arial" w:hAnsi="Arial"/>
          <w:b/>
          <w:bCs/>
          <w:color w:val="1C1C1C"/>
          <w:sz w:val="26"/>
          <w:szCs w:val="26"/>
        </w:rPr>
        <w:t xml:space="preserve">5.1 Principios</w:t>
      </w:r>
    </w:p>
    <w:p>
      <w:pPr>
        <w:spacing w:after="100" w:before="60"/>
      </w:pPr>
      <w:r>
        <w:rPr>
          <w:rFonts w:ascii="Arial" w:cs="Arial" w:eastAsia="Arial" w:hAnsi="Arial"/>
          <w:color w:val="1C1C1C"/>
          <w:sz w:val="22"/>
          <w:szCs w:val="22"/>
        </w:rPr>
        <w:t xml:space="preserve">KBeca es un bien público digital. No tiene modelo de monetización directa, no vende datos de usuarios y no acepta publicidad de terceros. Su sostenibilidad descansa en tres pilares:</w:t>
      </w:r>
    </w:p>
    <w:p>
      <w:pPr>
        <w:spacing w:after="80" w:before="80"/>
      </w:pPr>
      <w:r>
        <w:t xml:space="preserve"/>
      </w:r>
    </w:p>
    <w:p>
      <w:pPr>
        <w:pStyle w:val="ListParagraph"/>
        <w:numPr>
          <w:ilvl w:val="0"/>
          <w:numId w:val="2"/>
        </w:numPr>
        <w:spacing w:after="40" w:before="40"/>
      </w:pPr>
      <w:r>
        <w:rPr>
          <w:rFonts w:ascii="Arial" w:cs="Arial" w:eastAsia="Arial" w:hAnsi="Arial"/>
          <w:color w:val="1C1C1C"/>
          <w:sz w:val="22"/>
          <w:szCs w:val="22"/>
        </w:rPr>
        <w:t xml:space="preserve">Donaciones individuales: contribuciones voluntarias de usuarios o simpatizantes a través de plataformas como GitHub Sponsors, Open Collective o Patreon.</w:t>
      </w:r>
    </w:p>
    <w:p>
      <w:pPr>
        <w:pStyle w:val="ListParagraph"/>
        <w:numPr>
          <w:ilvl w:val="0"/>
          <w:numId w:val="2"/>
        </w:numPr>
        <w:spacing w:after="40" w:before="40"/>
      </w:pPr>
      <w:r>
        <w:rPr>
          <w:rFonts w:ascii="Arial" w:cs="Arial" w:eastAsia="Arial" w:hAnsi="Arial"/>
          <w:color w:val="1C1C1C"/>
          <w:sz w:val="22"/>
          <w:szCs w:val="22"/>
        </w:rPr>
        <w:t xml:space="preserve">Patrocinios institucionales: organizaciones que compartan la misión (fundaciones, universidades, empresas con programas de RSE) pueden patrocinar el proyecto con visibilidad no intrusiva en la plataforma.</w:t>
      </w:r>
    </w:p>
    <w:p>
      <w:pPr>
        <w:pStyle w:val="ListParagraph"/>
        <w:numPr>
          <w:ilvl w:val="0"/>
          <w:numId w:val="2"/>
        </w:numPr>
        <w:spacing w:after="40" w:before="40"/>
      </w:pPr>
      <w:r>
        <w:rPr>
          <w:rFonts w:ascii="Arial" w:cs="Arial" w:eastAsia="Arial" w:hAnsi="Arial"/>
          <w:color w:val="1C1C1C"/>
          <w:sz w:val="22"/>
          <w:szCs w:val="22"/>
        </w:rPr>
        <w:t xml:space="preserve">Grants y convocatorias: fondos de innovación cívica, organizaciones como Mozilla Foundation, Wikimedia, USAID o equivalentes mexicanos (IMCO, CIDAC, fundaciones privadas) que financian proyectos de tecnología cívica.</w:t>
      </w:r>
    </w:p>
    <w:p>
      <w:pPr>
        <w:spacing w:after="80" w:before="80"/>
      </w:pPr>
      <w:r>
        <w:t xml:space="preserve"/>
      </w:r>
    </w:p>
    <w:p>
      <w:pPr>
        <w:pStyle w:val="Heading2"/>
        <w:spacing w:after="120" w:before="280"/>
      </w:pPr>
      <w:r>
        <w:rPr>
          <w:rFonts w:ascii="Arial" w:cs="Arial" w:eastAsia="Arial" w:hAnsi="Arial"/>
          <w:b/>
          <w:bCs/>
          <w:color w:val="1C1C1C"/>
          <w:sz w:val="26"/>
          <w:szCs w:val="26"/>
        </w:rPr>
        <w:t xml:space="preserve">5.2 Estructura de costos estimada (operación anual)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4B8C"/>
                <w:sz w:val="22"/>
                <w:szCs w:val="22"/>
              </w:rPr>
              <w:t xml:space="preserve">Hosting frontend (Vercel)</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$0 — tier gratuito permanente para proyectos de bajo trafico</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4B8C"/>
                <w:sz w:val="22"/>
                <w:szCs w:val="22"/>
              </w:rPr>
              <w:t xml:space="preserve">Base de datos (Railway / Render)</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$0 — tier gratuito suficiente para MVP y fase piloto</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4B8C"/>
                <w:sz w:val="22"/>
                <w:szCs w:val="22"/>
              </w:rPr>
              <w:t xml:space="preserve">API LLM para pipeline de ingesta</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$0 — creditos gratuitos para proyectos nuevos (Anthropic / OpenAI); consumo minimo con scraping semanal</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4B8C"/>
                <w:sz w:val="22"/>
                <w:szCs w:val="22"/>
              </w:rPr>
              <w:t xml:space="preserve">Dominio</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$0 — GitHub Education Pack incluye dominio gratuito para estudiantes activos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4B8C"/>
                <w:sz w:val="22"/>
                <w:szCs w:val="22"/>
              </w:rPr>
              <w:t xml:space="preserve">Monitoreo (Sentry + UptimeRobot)</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$0 — tiers gratuitos permanentes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4B8C"/>
                <w:sz w:val="22"/>
                <w:szCs w:val="22"/>
              </w:rPr>
              <w:t xml:space="preserve">Total estimado fase MVP</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$0 USD</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4B8C"/>
                <w:sz w:val="22"/>
                <w:szCs w:val="22"/>
              </w:rPr>
              <w:t xml:space="preserve">Total estimado post-crecimiento</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~$100 - $300 USD/ano solo si el trafico escala significativamente</w:t>
            </w:r>
          </w:p>
        </w:tc>
      </w:tr>
    </w:tbl>
    <w:p>
      <w:pPr>
        <w:spacing w:after="80" w:before="80"/>
      </w:pPr>
      <w:r>
        <w:t xml:space="preserve"/>
      </w:r>
    </w:p>
    <w:p>
      <w:pPr>
        <w:spacing w:after="100" w:before="60"/>
      </w:pPr>
      <w:r>
        <w:rPr>
          <w:rFonts w:ascii="Arial" w:cs="Arial" w:eastAsia="Arial" w:hAnsi="Arial"/>
          <w:color w:val="1C1C1C"/>
          <w:sz w:val="22"/>
          <w:szCs w:val="22"/>
        </w:rPr>
        <w:t xml:space="preserve">La arquitectura esta disenada para operar con costo cero durante toda la fase de desarrollo y piloto. El matching es SQL puro sin IA en tiempo de consulta, lo que elimina el principal costo variable de sistemas similares. El LLM solo interviene en el pipeline de ingesta (scraping semanal), que representa un volumen de tokens muy bajo.</w:t>
      </w:r>
    </w:p>
    <w:p>
      <w:pPr>
        <w:spacing w:after="80" w:before="80"/>
      </w:pPr>
      <w:r>
        <w:t xml:space="preserve"/>
      </w:r>
    </w:p>
    <w:p>
      <w:pPr>
        <w:spacing w:after="100" w:before="60"/>
      </w:pPr>
      <w:r>
        <w:rPr>
          <w:rFonts w:ascii="Arial" w:cs="Arial" w:eastAsia="Arial" w:hAnsi="Arial"/>
          <w:color w:val="1C1C1C"/>
          <w:sz w:val="22"/>
          <w:szCs w:val="22"/>
        </w:rPr>
        <w:t xml:space="preserve">Nota: el autor es estudiante activo en la UTCancun. El GitHub Education Pack esta disponible en github.com/education y otorga creditos y herramientas gratuitas verificando el correo institucional.</w:t>
      </w:r>
    </w:p>
    <w:p>
      <w:pPr>
        <w:spacing w:after="80" w:before="80"/>
      </w:pPr>
      <w:r>
        <w:t xml:space="preserve"/>
      </w:r>
    </w:p>
    <w:p>
      <w:pPr>
        <w:pStyle w:val="Heading1"/>
        <w:spacing w:after="160" w:before="400"/>
      </w:pPr>
      <w:r>
        <w:rPr>
          <w:rFonts w:ascii="Arial" w:cs="Arial" w:eastAsia="Arial" w:hAnsi="Arial"/>
          <w:b/>
          <w:bCs/>
          <w:color w:val="1A4B8C"/>
          <w:sz w:val="32"/>
          <w:szCs w:val="32"/>
        </w:rPr>
        <w:t xml:space="preserve">6. Panorama competitivo y diferenciación</w:t>
      </w:r>
    </w:p>
    <w:p>
      <w:pPr>
        <w:pStyle w:val="Heading2"/>
        <w:spacing w:after="120" w:before="280"/>
      </w:pPr>
      <w:r>
        <w:rPr>
          <w:rFonts w:ascii="Arial" w:cs="Arial" w:eastAsia="Arial" w:hAnsi="Arial"/>
          <w:b/>
          <w:bCs/>
          <w:color w:val="1C1C1C"/>
          <w:sz w:val="26"/>
          <w:szCs w:val="26"/>
        </w:rPr>
        <w:t xml:space="preserve">6.1 Alternativas actuales</w:t>
      </w:r>
    </w:p>
    <w:p>
      <w:pPr>
        <w:pStyle w:val="ListParagraph"/>
        <w:numPr>
          <w:ilvl w:val="0"/>
          <w:numId w:val="2"/>
        </w:numPr>
        <w:spacing w:after="40" w:before="40"/>
      </w:pPr>
      <w:r>
        <w:rPr>
          <w:rFonts w:ascii="Arial" w:cs="Arial" w:eastAsia="Arial" w:hAnsi="Arial"/>
          <w:color w:val="1C1C1C"/>
          <w:sz w:val="22"/>
          <w:szCs w:val="22"/>
        </w:rPr>
        <w:t xml:space="preserve">Portales oficiales (SEP, CONACYT, IMSS): cada uno informa solo sus propias becas, sin visión integrada.</w:t>
      </w:r>
    </w:p>
    <w:p>
      <w:pPr>
        <w:pStyle w:val="ListParagraph"/>
        <w:numPr>
          <w:ilvl w:val="0"/>
          <w:numId w:val="2"/>
        </w:numPr>
        <w:spacing w:after="40" w:before="40"/>
      </w:pPr>
      <w:r>
        <w:rPr>
          <w:rFonts w:ascii="Arial" w:cs="Arial" w:eastAsia="Arial" w:hAnsi="Arial"/>
          <w:color w:val="1C1C1C"/>
          <w:sz w:val="22"/>
          <w:szCs w:val="22"/>
        </w:rPr>
        <w:t xml:space="preserve">Blogs y páginas informativas: contenido desactualizado, sin motor de búsqueda personalizado.</w:t>
      </w:r>
    </w:p>
    <w:p>
      <w:pPr>
        <w:pStyle w:val="ListParagraph"/>
        <w:numPr>
          <w:ilvl w:val="0"/>
          <w:numId w:val="2"/>
        </w:numPr>
        <w:spacing w:after="40" w:before="40"/>
      </w:pPr>
      <w:r>
        <w:rPr>
          <w:rFonts w:ascii="Arial" w:cs="Arial" w:eastAsia="Arial" w:hAnsi="Arial"/>
          <w:color w:val="1C1C1C"/>
          <w:sz w:val="22"/>
          <w:szCs w:val="22"/>
        </w:rPr>
        <w:t xml:space="preserve">Grupos de WhatsApp y redes sociales: información no verificada, efímera y de difícil acceso.</w:t>
      </w:r>
    </w:p>
    <w:p>
      <w:pPr>
        <w:pStyle w:val="ListParagraph"/>
        <w:numPr>
          <w:ilvl w:val="0"/>
          <w:numId w:val="2"/>
        </w:numPr>
        <w:spacing w:after="40" w:before="40"/>
      </w:pPr>
      <w:r>
        <w:rPr>
          <w:rFonts w:ascii="Arial" w:cs="Arial" w:eastAsia="Arial" w:hAnsi="Arial"/>
          <w:color w:val="1C1C1C"/>
          <w:sz w:val="22"/>
          <w:szCs w:val="22"/>
        </w:rPr>
        <w:t xml:space="preserve">Orientadores vocacionales presenciales: recurso limitado geográficamente y en horario.</w:t>
      </w:r>
    </w:p>
    <w:p>
      <w:pPr>
        <w:spacing w:after="80" w:before="80"/>
      </w:pPr>
      <w:r>
        <w:t xml:space="preserve"/>
      </w:r>
    </w:p>
    <w:p>
      <w:pPr>
        <w:pStyle w:val="Heading2"/>
        <w:spacing w:after="120" w:before="280"/>
      </w:pPr>
      <w:r>
        <w:rPr>
          <w:rFonts w:ascii="Arial" w:cs="Arial" w:eastAsia="Arial" w:hAnsi="Arial"/>
          <w:b/>
          <w:bCs/>
          <w:color w:val="1C1C1C"/>
          <w:sz w:val="26"/>
          <w:szCs w:val="26"/>
        </w:rPr>
        <w:t xml:space="preserve">6.2 Ventajas diferenciales de KBeca</w:t>
      </w:r>
    </w:p>
    <w:p>
      <w:pPr>
        <w:pStyle w:val="ListParagraph"/>
        <w:numPr>
          <w:ilvl w:val="0"/>
          <w:numId w:val="2"/>
        </w:numPr>
        <w:spacing w:after="40" w:before="40"/>
      </w:pPr>
      <w:r>
        <w:rPr>
          <w:rFonts w:ascii="Arial" w:cs="Arial" w:eastAsia="Arial" w:hAnsi="Arial"/>
          <w:color w:val="1C1C1C"/>
          <w:sz w:val="22"/>
          <w:szCs w:val="22"/>
        </w:rPr>
        <w:t xml:space="preserve">Agregación: única fuente que reúne becas públicas y privadas en un solo lugar.</w:t>
      </w:r>
    </w:p>
    <w:p>
      <w:pPr>
        <w:pStyle w:val="ListParagraph"/>
        <w:numPr>
          <w:ilvl w:val="0"/>
          <w:numId w:val="2"/>
        </w:numPr>
        <w:spacing w:after="40" w:before="40"/>
      </w:pPr>
      <w:r>
        <w:rPr>
          <w:rFonts w:ascii="Arial" w:cs="Arial" w:eastAsia="Arial" w:hAnsi="Arial"/>
          <w:color w:val="1C1C1C"/>
          <w:sz w:val="22"/>
          <w:szCs w:val="22"/>
        </w:rPr>
        <w:t xml:space="preserve">Personalización por perfil: el resultado no es una lista genérica sino una selección específica para la situación del usuario.</w:t>
      </w:r>
    </w:p>
    <w:p>
      <w:pPr>
        <w:pStyle w:val="ListParagraph"/>
        <w:numPr>
          <w:ilvl w:val="0"/>
          <w:numId w:val="2"/>
        </w:numPr>
        <w:spacing w:after="40" w:before="40"/>
      </w:pPr>
      <w:r>
        <w:rPr>
          <w:rFonts w:ascii="Arial" w:cs="Arial" w:eastAsia="Arial" w:hAnsi="Arial"/>
          <w:color w:val="1C1C1C"/>
          <w:sz w:val="22"/>
          <w:szCs w:val="22"/>
        </w:rPr>
        <w:t xml:space="preserve">Actualización sistemática: pipeline automatizado que detecta cambios en convocatorias.</w:t>
      </w:r>
    </w:p>
    <w:p>
      <w:pPr>
        <w:pStyle w:val="ListParagraph"/>
        <w:numPr>
          <w:ilvl w:val="0"/>
          <w:numId w:val="2"/>
        </w:numPr>
        <w:spacing w:after="40" w:before="40"/>
      </w:pPr>
      <w:r>
        <w:rPr>
          <w:rFonts w:ascii="Arial" w:cs="Arial" w:eastAsia="Arial" w:hAnsi="Arial"/>
          <w:color w:val="1C1C1C"/>
          <w:sz w:val="22"/>
          <w:szCs w:val="22"/>
        </w:rPr>
        <w:t xml:space="preserve">Código abierto: cualquier organización, gobierno o comunidad puede auditar, adaptar o replicar el sistema.</w:t>
      </w:r>
    </w:p>
    <w:p>
      <w:pPr>
        <w:pStyle w:val="ListParagraph"/>
        <w:numPr>
          <w:ilvl w:val="0"/>
          <w:numId w:val="2"/>
        </w:numPr>
        <w:spacing w:after="40" w:before="40"/>
      </w:pPr>
      <w:r>
        <w:rPr>
          <w:rFonts w:ascii="Arial" w:cs="Arial" w:eastAsia="Arial" w:hAnsi="Arial"/>
          <w:color w:val="1C1C1C"/>
          <w:sz w:val="22"/>
          <w:szCs w:val="22"/>
        </w:rPr>
        <w:t xml:space="preserve">Sin datos personales almacenados: genera confianza en usuarios que desconfían de plataformas gubernamentales.</w:t>
      </w:r>
    </w:p>
    <w:p>
      <w:pPr>
        <w:spacing w:after="80" w:before="80"/>
      </w:pPr>
      <w:r>
        <w:t xml:space="preserve"/>
      </w:r>
    </w:p>
    <w:p>
      <w:pPr>
        <w:pStyle w:val="Heading1"/>
        <w:spacing w:after="160" w:before="400"/>
      </w:pPr>
      <w:r>
        <w:rPr>
          <w:rFonts w:ascii="Arial" w:cs="Arial" w:eastAsia="Arial" w:hAnsi="Arial"/>
          <w:b/>
          <w:bCs/>
          <w:color w:val="1A4B8C"/>
          <w:sz w:val="32"/>
          <w:szCs w:val="32"/>
        </w:rPr>
        <w:t xml:space="preserve">7. Hoja de ruta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c>
          <w:tcPr>
            <w:tcW w:type="dxa" w:w="2000"/>
            <w:tcBorders>
              <w:top w:val="single" w:color="CCCCCC" w:sz="1"/>
              <w:left w:val="single" w:color="CCCCCC" w:sz="1"/>
              <w:bottom w:val="single" w:color="CCCCCC" w:sz="1"/>
              <w:right w:val="single" w:color="CCCCCC" w:sz="1"/>
            </w:tcBorders>
            <w:shd w:fill="1A4B8C" w:val="clear"/>
            <w:tcMar>
              <w:top w:type="dxa" w:w="100"/>
              <w:left w:type="dxa" w:w="140"/>
              <w:bottom w:type="dxa" w:w="100"/>
              <w:right w:type="dxa" w:w="140"/>
            </w:tcMar>
          </w:tcPr>
          <w:p>
            <w:r>
              <w:rPr>
                <w:rFonts w:ascii="Arial" w:cs="Arial" w:eastAsia="Arial" w:hAnsi="Arial"/>
                <w:b/>
                <w:bCs/>
                <w:color w:val="FFFFFF"/>
                <w:sz w:val="22"/>
                <w:szCs w:val="22"/>
              </w:rPr>
              <w:t xml:space="preserve">Fase</w:t>
            </w:r>
          </w:p>
        </w:tc>
        <w:tc>
          <w:tcPr>
            <w:tcW w:type="dxa" w:w="5560"/>
            <w:tcBorders>
              <w:top w:val="single" w:color="CCCCCC" w:sz="1"/>
              <w:left w:val="single" w:color="CCCCCC" w:sz="1"/>
              <w:bottom w:val="single" w:color="CCCCCC" w:sz="1"/>
              <w:right w:val="single" w:color="CCCCCC" w:sz="1"/>
            </w:tcBorders>
            <w:shd w:fill="1A4B8C" w:val="clear"/>
            <w:tcMar>
              <w:top w:type="dxa" w:w="100"/>
              <w:left w:type="dxa" w:w="140"/>
              <w:bottom w:type="dxa" w:w="100"/>
              <w:right w:type="dxa" w:w="140"/>
            </w:tcMar>
          </w:tcPr>
          <w:p>
            <w:r>
              <w:rPr>
                <w:rFonts w:ascii="Arial" w:cs="Arial" w:eastAsia="Arial" w:hAnsi="Arial"/>
                <w:b/>
                <w:bCs/>
                <w:color w:val="FFFFFF"/>
                <w:sz w:val="22"/>
                <w:szCs w:val="22"/>
              </w:rPr>
              <w:t xml:space="preserve">Actividades clave</w:t>
            </w:r>
          </w:p>
        </w:tc>
        <w:tc>
          <w:tcPr>
            <w:tcW w:type="dxa" w:w="1800"/>
            <w:tcBorders>
              <w:top w:val="single" w:color="CCCCCC" w:sz="1"/>
              <w:left w:val="single" w:color="CCCCCC" w:sz="1"/>
              <w:bottom w:val="single" w:color="CCCCCC" w:sz="1"/>
              <w:right w:val="single" w:color="CCCCCC" w:sz="1"/>
            </w:tcBorders>
            <w:shd w:fill="1A4B8C" w:val="clear"/>
            <w:tcMar>
              <w:top w:type="dxa" w:w="100"/>
              <w:left w:type="dxa" w:w="140"/>
              <w:bottom w:type="dxa" w:w="100"/>
              <w:right w:type="dxa" w:w="140"/>
            </w:tcMar>
          </w:tcPr>
          <w:p>
            <w:r>
              <w:rPr>
                <w:rFonts w:ascii="Arial" w:cs="Arial" w:eastAsia="Arial" w:hAnsi="Arial"/>
                <w:b/>
                <w:bCs/>
                <w:color w:val="FFFFFF"/>
                <w:sz w:val="22"/>
                <w:szCs w:val="22"/>
              </w:rPr>
              <w:t xml:space="preserve">Duración estimada</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4B8C"/>
                <w:sz w:val="22"/>
                <w:szCs w:val="22"/>
              </w:rPr>
              <w:t xml:space="preserve">Fase 0 · Documentacion</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SRS, modelo de datos y diseno de API. Insercion manual de 20-30 becas para validar el esquema antes de automatizar. Esta fase es la inversion que hace rapido todo lo demas.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1C1C1C"/>
                <w:sz w:val="22"/>
                <w:szCs w:val="22"/>
              </w:rPr>
              <w:t xml:space="preserve">Semanas 1-2</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4B8C"/>
                <w:sz w:val="22"/>
                <w:szCs w:val="22"/>
              </w:rPr>
              <w:t xml:space="preserve">Fase 1 · Ingesta</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Scraper + extractor LLM funcionando. Pipeline que lleva becas de fuentes clave (SEP, CONACYT, Santander, Quintana Roo) a la base de datos con validacion minima.</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1C1C1C"/>
                <w:sz w:val="22"/>
                <w:szCs w:val="22"/>
              </w:rPr>
              <w:t xml:space="preserve">Semanas 3-4</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4B8C"/>
                <w:sz w:val="22"/>
                <w:szCs w:val="22"/>
              </w:rPr>
              <w:t xml:space="preserve">Fase 2 · Frontend MVP</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Formulario de perfil, motor de matching SQL, pagina de resultados. Desplegado en Vercel con dominio real. Funcional, no necesariamente pulido visualmente.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1C1C1C"/>
                <w:sz w:val="22"/>
                <w:szCs w:val="22"/>
              </w:rPr>
              <w:t xml:space="preserve">Semanas 5-6</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4B8C"/>
                <w:sz w:val="22"/>
                <w:szCs w:val="22"/>
              </w:rPr>
              <w:t xml:space="preserve">Fase 3 · Piloto UTCancun</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Prueba real con orientadores vocacionales de la UTCancun. Correccion de datos, ajustes de UX, estabilizacion. Retroalimentacion directa de usuarios reales.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1C1C1C"/>
                <w:sz w:val="22"/>
                <w:szCs w:val="22"/>
              </w:rPr>
              <w:t xml:space="preserve">Semanas 7-8</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A4B8C"/>
                <w:sz w:val="22"/>
                <w:szCs w:val="22"/>
              </w:rPr>
              <w:t xml:space="preserve">Fase 4 · Expansion</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Ampliar a 500+ becas, mejorar UI, abrir a contribuidores externos, explorar sostenibilidad a largo plazo.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1C1C1C"/>
                <w:sz w:val="22"/>
                <w:szCs w:val="22"/>
              </w:rPr>
              <w:t xml:space="preserve">Post mes 2</w:t>
            </w:r>
          </w:p>
        </w:tc>
      </w:tr>
    </w:tbl>
    <w:p>
      <w:pPr>
        <w:spacing w:after="80" w:before="80"/>
      </w:pPr>
      <w:r>
        <w:t xml:space="preserve"/>
      </w:r>
    </w:p>
    <w:p>
      <w:pPr>
        <w:pStyle w:val="Heading1"/>
        <w:spacing w:after="160" w:before="400"/>
      </w:pPr>
      <w:r>
        <w:rPr>
          <w:rFonts w:ascii="Arial" w:cs="Arial" w:eastAsia="Arial" w:hAnsi="Arial"/>
          <w:b/>
          <w:bCs/>
          <w:color w:val="1A4B8C"/>
          <w:sz w:val="32"/>
          <w:szCs w:val="32"/>
        </w:rPr>
        <w:t xml:space="preserve">8. Riesgos y mitigaciones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4B8C" w:val="clear"/>
            <w:tcMar>
              <w:top w:type="dxa" w:w="100"/>
              <w:left w:type="dxa" w:w="140"/>
              <w:bottom w:type="dxa" w:w="100"/>
              <w:right w:type="dxa" w:w="140"/>
            </w:tcMar>
          </w:tcPr>
          <w:p>
            <w:r>
              <w:rPr>
                <w:rFonts w:ascii="Arial" w:cs="Arial" w:eastAsia="Arial" w:hAnsi="Arial"/>
                <w:b/>
                <w:bCs/>
                <w:color w:val="FFFFFF"/>
                <w:sz w:val="22"/>
                <w:szCs w:val="22"/>
              </w:rPr>
              <w:t xml:space="preserve">Riesgo</w:t>
            </w:r>
          </w:p>
        </w:tc>
        <w:tc>
          <w:tcPr>
            <w:tcW w:type="dxa" w:w="3080"/>
            <w:tcBorders>
              <w:top w:val="single" w:color="CCCCCC" w:sz="1"/>
              <w:left w:val="single" w:color="CCCCCC" w:sz="1"/>
              <w:bottom w:val="single" w:color="CCCCCC" w:sz="1"/>
              <w:right w:val="single" w:color="CCCCCC" w:sz="1"/>
            </w:tcBorders>
            <w:shd w:fill="1A4B8C" w:val="clear"/>
            <w:tcMar>
              <w:top w:type="dxa" w:w="100"/>
              <w:left w:type="dxa" w:w="140"/>
              <w:bottom w:type="dxa" w:w="100"/>
              <w:right w:type="dxa" w:w="140"/>
            </w:tcMar>
          </w:tcPr>
          <w:p>
            <w:r>
              <w:rPr>
                <w:rFonts w:ascii="Arial" w:cs="Arial" w:eastAsia="Arial" w:hAnsi="Arial"/>
                <w:b/>
                <w:bCs/>
                <w:color w:val="FFFFFF"/>
                <w:sz w:val="22"/>
                <w:szCs w:val="22"/>
              </w:rPr>
              <w:t xml:space="preserve">Probabilidad / impacto</w:t>
            </w:r>
          </w:p>
        </w:tc>
        <w:tc>
          <w:tcPr>
            <w:tcW w:type="dxa" w:w="3080"/>
            <w:tcBorders>
              <w:top w:val="single" w:color="CCCCCC" w:sz="1"/>
              <w:left w:val="single" w:color="CCCCCC" w:sz="1"/>
              <w:bottom w:val="single" w:color="CCCCCC" w:sz="1"/>
              <w:right w:val="single" w:color="CCCCCC" w:sz="1"/>
            </w:tcBorders>
            <w:shd w:fill="1A4B8C" w:val="clear"/>
            <w:tcMar>
              <w:top w:type="dxa" w:w="100"/>
              <w:left w:type="dxa" w:w="140"/>
              <w:bottom w:type="dxa" w:w="100"/>
              <w:right w:type="dxa" w:w="140"/>
            </w:tcMar>
          </w:tcPr>
          <w:p>
            <w:r>
              <w:rPr>
                <w:rFonts w:ascii="Arial" w:cs="Arial" w:eastAsia="Arial" w:hAnsi="Arial"/>
                <w:b/>
                <w:bCs/>
                <w:color w:val="FFFFFF"/>
                <w:sz w:val="22"/>
                <w:szCs w:val="22"/>
              </w:rPr>
              <w:t xml:space="preserve">Mitigación</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Scraper se rompe al cambiar estructura HTML de fuente oficial</w:t>
            </w:r>
          </w:p>
        </w:tc>
        <w:tc>
          <w:tcPr>
            <w:tcW w:type="dxa" w:w="3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Alta / Alto</w:t>
            </w:r>
          </w:p>
        </w:tc>
        <w:tc>
          <w:tcPr>
            <w:tcW w:type="dxa" w:w="3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Alertas automaticas cuando el scraper falla; revision manual como fallback; panel admin para correccion rapida.</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Informacion de beca desactualizada llega al usuario</w:t>
            </w:r>
          </w:p>
        </w:tc>
        <w:tc>
          <w:tcPr>
            <w:tcW w:type="dxa" w:w="3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Media / Alto</w:t>
            </w:r>
          </w:p>
        </w:tc>
        <w:tc>
          <w:tcPr>
            <w:tcW w:type="dxa" w:w="3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Mostrar siempre fecha de ultima actualizacion y enlace a fuente oficial. El usuario verifica antes de aplicar.</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Abandono del proyecto por carga de trabajo del autor</w:t>
            </w:r>
          </w:p>
        </w:tc>
        <w:tc>
          <w:tcPr>
            <w:tcW w:type="dxa" w:w="3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Media / Alto</w:t>
            </w:r>
          </w:p>
        </w:tc>
        <w:tc>
          <w:tcPr>
            <w:tcW w:type="dxa" w:w="3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Fases pequenas y entregables concretos. El proyecto esta disenado para poder pausarse sin perder progreso. Documentacion completa desde el inicio.</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Deuda tecnica que haga el codigo inmantenible</w:t>
            </w:r>
          </w:p>
        </w:tc>
        <w:tc>
          <w:tcPr>
            <w:tcW w:type="dxa" w:w="3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Alta / Medio</w:t>
            </w:r>
          </w:p>
        </w:tc>
        <w:tc>
          <w:tcPr>
            <w:tcW w:type="dxa" w:w="3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Uso de IA para revision de codigo, tests automatizados desde el MVP y arquitectura simple deliberadamente. La documentacion es el escudo contra esto.</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Falta de adopcion en el piloto UTCancun</w:t>
            </w:r>
          </w:p>
        </w:tc>
        <w:tc>
          <w:tcPr>
            <w:tcW w:type="dxa" w:w="3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Baja / Alto</w:t>
            </w:r>
          </w:p>
        </w:tc>
        <w:tc>
          <w:tcPr>
            <w:tcW w:type="dxa" w:w="30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C1C1C"/>
                <w:sz w:val="22"/>
                <w:szCs w:val="22"/>
              </w:rPr>
              <w:t xml:space="preserve">Involucrar a un orientador vocacional real desde la Fase 0 como co-disenador del producto. El feedback temprano evita construir algo que nadie usa.</w:t>
            </w:r>
          </w:p>
        </w:tc>
      </w:tr>
    </w:tbl>
    <w:p>
      <w:pPr>
        <w:spacing w:after="80" w:before="80"/>
      </w:pPr>
      <w:r>
        <w:t xml:space="preserve"/>
      </w:r>
    </w:p>
    <w:p>
      <w:pPr>
        <w:pStyle w:val="Heading1"/>
        <w:spacing w:after="160" w:before="400"/>
      </w:pPr>
      <w:r>
        <w:rPr>
          <w:rFonts w:ascii="Arial" w:cs="Arial" w:eastAsia="Arial" w:hAnsi="Arial"/>
          <w:b/>
          <w:bCs/>
          <w:color w:val="1A4B8C"/>
          <w:sz w:val="32"/>
          <w:szCs w:val="32"/>
        </w:rPr>
        <w:t xml:space="preserve">9. Principios éticos y de diseño</w:t>
      </w:r>
    </w:p>
    <w:p>
      <w:pPr>
        <w:pStyle w:val="ListParagraph"/>
        <w:numPr>
          <w:ilvl w:val="0"/>
          <w:numId w:val="2"/>
        </w:numPr>
        <w:spacing w:after="40" w:before="40"/>
      </w:pPr>
      <w:r>
        <w:rPr>
          <w:rFonts w:ascii="Arial" w:cs="Arial" w:eastAsia="Arial" w:hAnsi="Arial"/>
          <w:color w:val="1C1C1C"/>
          <w:sz w:val="22"/>
          <w:szCs w:val="22"/>
        </w:rPr>
        <w:t xml:space="preserve">Privacidad por diseño: el motor de matching opera sin guardar el perfil del usuario. Ninguna consulta queda vinculada a una persona.</w:t>
      </w:r>
    </w:p>
    <w:p>
      <w:pPr>
        <w:pStyle w:val="ListParagraph"/>
        <w:numPr>
          <w:ilvl w:val="0"/>
          <w:numId w:val="2"/>
        </w:numPr>
        <w:spacing w:after="40" w:before="40"/>
      </w:pPr>
      <w:r>
        <w:rPr>
          <w:rFonts w:ascii="Arial" w:cs="Arial" w:eastAsia="Arial" w:hAnsi="Arial"/>
          <w:color w:val="1C1C1C"/>
          <w:sz w:val="22"/>
          <w:szCs w:val="22"/>
        </w:rPr>
        <w:t xml:space="preserve">Accesibilidad: diseño compatible con dispositivos de gama baja, conexiones lentas y lectores de pantalla (WCAG 2.1 AA).</w:t>
      </w:r>
    </w:p>
    <w:p>
      <w:pPr>
        <w:pStyle w:val="ListParagraph"/>
        <w:numPr>
          <w:ilvl w:val="0"/>
          <w:numId w:val="2"/>
        </w:numPr>
        <w:spacing w:after="40" w:before="40"/>
      </w:pPr>
      <w:r>
        <w:rPr>
          <w:rFonts w:ascii="Arial" w:cs="Arial" w:eastAsia="Arial" w:hAnsi="Arial"/>
          <w:color w:val="1C1C1C"/>
          <w:sz w:val="22"/>
          <w:szCs w:val="22"/>
        </w:rPr>
        <w:t xml:space="preserve">Neutralidad: KBeca no favorece ni promueve ninguna beca sobre otra más allá de la relevancia para el perfil. No acepta pago por posicionamiento.</w:t>
      </w:r>
    </w:p>
    <w:p>
      <w:pPr>
        <w:pStyle w:val="ListParagraph"/>
        <w:numPr>
          <w:ilvl w:val="0"/>
          <w:numId w:val="2"/>
        </w:numPr>
        <w:spacing w:after="40" w:before="40"/>
      </w:pPr>
      <w:r>
        <w:rPr>
          <w:rFonts w:ascii="Arial" w:cs="Arial" w:eastAsia="Arial" w:hAnsi="Arial"/>
          <w:color w:val="1C1C1C"/>
          <w:sz w:val="22"/>
          <w:szCs w:val="22"/>
        </w:rPr>
        <w:t xml:space="preserve">Transparencia: el código fuente es público, los criterios de matching son auditables y la fuente de cada dato es visible al usuario.</w:t>
      </w:r>
    </w:p>
    <w:p>
      <w:pPr>
        <w:pStyle w:val="ListParagraph"/>
        <w:numPr>
          <w:ilvl w:val="0"/>
          <w:numId w:val="2"/>
        </w:numPr>
        <w:spacing w:after="40" w:before="40"/>
      </w:pPr>
      <w:r>
        <w:rPr>
          <w:rFonts w:ascii="Arial" w:cs="Arial" w:eastAsia="Arial" w:hAnsi="Arial"/>
          <w:color w:val="1C1C1C"/>
          <w:sz w:val="22"/>
          <w:szCs w:val="22"/>
        </w:rPr>
        <w:t xml:space="preserve">Lenguaje claro: los requisitos y condiciones de cada beca se presentan en lenguaje accesible, no burocrático.</w:t>
      </w:r>
    </w:p>
    <w:p>
      <w:pPr>
        <w:spacing w:after="80" w:before="80"/>
      </w:pPr>
      <w:r>
        <w:t xml:space="preserve"/>
      </w:r>
    </w:p>
    <w:p>
      <w:pPr>
        <w:pStyle w:val="Heading1"/>
        <w:spacing w:after="160" w:before="400"/>
      </w:pPr>
      <w:r>
        <w:rPr>
          <w:rFonts w:ascii="Arial" w:cs="Arial" w:eastAsia="Arial" w:hAnsi="Arial"/>
          <w:b/>
          <w:bCs/>
          <w:color w:val="1A4B8C"/>
          <w:sz w:val="32"/>
          <w:szCs w:val="32"/>
        </w:rPr>
        <w:t xml:space="preserve">10. Métricas de éxito</w:t>
      </w:r>
    </w:p>
    <w:p>
      <w:pPr>
        <w:pStyle w:val="Heading2"/>
        <w:spacing w:after="120" w:before="280"/>
      </w:pPr>
      <w:r>
        <w:rPr>
          <w:rFonts w:ascii="Arial" w:cs="Arial" w:eastAsia="Arial" w:hAnsi="Arial"/>
          <w:b/>
          <w:bCs/>
          <w:color w:val="1C1C1C"/>
          <w:sz w:val="26"/>
          <w:szCs w:val="26"/>
        </w:rPr>
        <w:t xml:space="preserve">Métricas de uso</w:t>
      </w:r>
    </w:p>
    <w:p>
      <w:pPr>
        <w:pStyle w:val="ListParagraph"/>
        <w:numPr>
          <w:ilvl w:val="0"/>
          <w:numId w:val="2"/>
        </w:numPr>
        <w:spacing w:after="40" w:before="40"/>
      </w:pPr>
      <w:r>
        <w:rPr>
          <w:rFonts w:ascii="Arial" w:cs="Arial" w:eastAsia="Arial" w:hAnsi="Arial"/>
          <w:color w:val="1C1C1C"/>
          <w:sz w:val="22"/>
          <w:szCs w:val="22"/>
        </w:rPr>
        <w:t xml:space="preserve">Número de consultas únicas mensuales.</w:t>
      </w:r>
    </w:p>
    <w:p>
      <w:pPr>
        <w:pStyle w:val="ListParagraph"/>
        <w:numPr>
          <w:ilvl w:val="0"/>
          <w:numId w:val="2"/>
        </w:numPr>
        <w:spacing w:after="40" w:before="40"/>
      </w:pPr>
      <w:r>
        <w:rPr>
          <w:rFonts w:ascii="Arial" w:cs="Arial" w:eastAsia="Arial" w:hAnsi="Arial"/>
          <w:color w:val="1C1C1C"/>
          <w:sz w:val="22"/>
          <w:szCs w:val="22"/>
        </w:rPr>
        <w:t xml:space="preserve">Tasa de conversión: usuarios que hacen clic al enlace oficial de al menos una beca.</w:t>
      </w:r>
    </w:p>
    <w:p>
      <w:pPr>
        <w:pStyle w:val="ListParagraph"/>
        <w:numPr>
          <w:ilvl w:val="0"/>
          <w:numId w:val="2"/>
        </w:numPr>
        <w:spacing w:after="40" w:before="40"/>
      </w:pPr>
      <w:r>
        <w:rPr>
          <w:rFonts w:ascii="Arial" w:cs="Arial" w:eastAsia="Arial" w:hAnsi="Arial"/>
          <w:color w:val="1C1C1C"/>
          <w:sz w:val="22"/>
          <w:szCs w:val="22"/>
        </w:rPr>
        <w:t xml:space="preserve">Porcentaje de resultados con al menos una beca encontrada (cobertura del matching).</w:t>
      </w:r>
    </w:p>
    <w:p>
      <w:pPr>
        <w:spacing w:after="80" w:before="80"/>
      </w:pPr>
      <w:r>
        <w:t xml:space="preserve"/>
      </w:r>
    </w:p>
    <w:p>
      <w:pPr>
        <w:pStyle w:val="Heading2"/>
        <w:spacing w:after="120" w:before="280"/>
      </w:pPr>
      <w:r>
        <w:rPr>
          <w:rFonts w:ascii="Arial" w:cs="Arial" w:eastAsia="Arial" w:hAnsi="Arial"/>
          <w:b/>
          <w:bCs/>
          <w:color w:val="1C1C1C"/>
          <w:sz w:val="26"/>
          <w:szCs w:val="26"/>
        </w:rPr>
        <w:t xml:space="preserve">Métricas de calidad del dato</w:t>
      </w:r>
    </w:p>
    <w:p>
      <w:pPr>
        <w:pStyle w:val="ListParagraph"/>
        <w:numPr>
          <w:ilvl w:val="0"/>
          <w:numId w:val="2"/>
        </w:numPr>
        <w:spacing w:after="40" w:before="40"/>
      </w:pPr>
      <w:r>
        <w:rPr>
          <w:rFonts w:ascii="Arial" w:cs="Arial" w:eastAsia="Arial" w:hAnsi="Arial"/>
          <w:color w:val="1C1C1C"/>
          <w:sz w:val="22"/>
          <w:szCs w:val="22"/>
        </w:rPr>
        <w:t xml:space="preserve">Porcentaje de becas con fecha de actualización menor a 30 días.</w:t>
      </w:r>
    </w:p>
    <w:p>
      <w:pPr>
        <w:pStyle w:val="ListParagraph"/>
        <w:numPr>
          <w:ilvl w:val="0"/>
          <w:numId w:val="2"/>
        </w:numPr>
        <w:spacing w:after="40" w:before="40"/>
      </w:pPr>
      <w:r>
        <w:rPr>
          <w:rFonts w:ascii="Arial" w:cs="Arial" w:eastAsia="Arial" w:hAnsi="Arial"/>
          <w:color w:val="1C1C1C"/>
          <w:sz w:val="22"/>
          <w:szCs w:val="22"/>
        </w:rPr>
        <w:t xml:space="preserve">Tasa de errores del scraper por semana.</w:t>
      </w:r>
    </w:p>
    <w:p>
      <w:pPr>
        <w:pStyle w:val="ListParagraph"/>
        <w:numPr>
          <w:ilvl w:val="0"/>
          <w:numId w:val="2"/>
        </w:numPr>
        <w:spacing w:after="40" w:before="40"/>
      </w:pPr>
      <w:r>
        <w:rPr>
          <w:rFonts w:ascii="Arial" w:cs="Arial" w:eastAsia="Arial" w:hAnsi="Arial"/>
          <w:color w:val="1C1C1C"/>
          <w:sz w:val="22"/>
          <w:szCs w:val="22"/>
        </w:rPr>
        <w:t xml:space="preserve">Número de correcciones manuales aplicadas por ciclo de ingesta.</w:t>
      </w:r>
    </w:p>
    <w:p>
      <w:pPr>
        <w:spacing w:after="80" w:before="80"/>
      </w:pPr>
      <w:r>
        <w:t xml:space="preserve"/>
      </w:r>
    </w:p>
    <w:p>
      <w:pPr>
        <w:pStyle w:val="Heading2"/>
        <w:spacing w:after="120" w:before="280"/>
      </w:pPr>
      <w:r>
        <w:rPr>
          <w:rFonts w:ascii="Arial" w:cs="Arial" w:eastAsia="Arial" w:hAnsi="Arial"/>
          <w:b/>
          <w:bCs/>
          <w:color w:val="1C1C1C"/>
          <w:sz w:val="26"/>
          <w:szCs w:val="26"/>
        </w:rPr>
        <w:t xml:space="preserve">Métricas de impacto</w:t>
      </w:r>
    </w:p>
    <w:p>
      <w:pPr>
        <w:pStyle w:val="ListParagraph"/>
        <w:numPr>
          <w:ilvl w:val="0"/>
          <w:numId w:val="2"/>
        </w:numPr>
        <w:spacing w:after="40" w:before="40"/>
      </w:pPr>
      <w:r>
        <w:rPr>
          <w:rFonts w:ascii="Arial" w:cs="Arial" w:eastAsia="Arial" w:hAnsi="Arial"/>
          <w:color w:val="1C1C1C"/>
          <w:sz w:val="22"/>
          <w:szCs w:val="22"/>
        </w:rPr>
        <w:t xml:space="preserve">Diversidad geográfica de usuarios (cobertura de estados y municipios).</w:t>
      </w:r>
    </w:p>
    <w:p>
      <w:pPr>
        <w:pStyle w:val="ListParagraph"/>
        <w:numPr>
          <w:ilvl w:val="0"/>
          <w:numId w:val="2"/>
        </w:numPr>
        <w:spacing w:after="40" w:before="40"/>
      </w:pPr>
      <w:r>
        <w:rPr>
          <w:rFonts w:ascii="Arial" w:cs="Arial" w:eastAsia="Arial" w:hAnsi="Arial"/>
          <w:color w:val="1C1C1C"/>
          <w:sz w:val="22"/>
          <w:szCs w:val="22"/>
        </w:rPr>
        <w:t xml:space="preserve">Porcentaje de usuarios de estados con bajo IDH.</w:t>
      </w:r>
    </w:p>
    <w:p>
      <w:pPr>
        <w:pStyle w:val="ListParagraph"/>
        <w:numPr>
          <w:ilvl w:val="0"/>
          <w:numId w:val="2"/>
        </w:numPr>
        <w:spacing w:after="40" w:before="40"/>
      </w:pPr>
      <w:r>
        <w:rPr>
          <w:rFonts w:ascii="Arial" w:cs="Arial" w:eastAsia="Arial" w:hAnsi="Arial"/>
          <w:color w:val="1C1C1C"/>
          <w:sz w:val="22"/>
          <w:szCs w:val="22"/>
        </w:rPr>
        <w:t xml:space="preserve">Testimonios o casos documentados de usuarios que accedieron a una beca a través de KBeca.</w:t>
      </w:r>
    </w:p>
    <w:p>
      <w:pPr>
        <w:spacing w:after="80" w:before="80"/>
      </w:pPr>
      <w:r>
        <w:t xml:space="preserve"/>
      </w:r>
    </w:p>
    <w:p>
      <w:r>
        <w:br w:type="page"/>
      </w:r>
    </w:p>
    <w:p>
      <w:pPr>
        <w:spacing w:after="200" w:before="800"/>
        <w:jc w:val="center"/>
      </w:pPr>
      <w:r>
        <w:rPr>
          <w:rFonts w:ascii="Arial" w:cs="Arial" w:eastAsia="Arial" w:hAnsi="Arial"/>
          <w:b/>
          <w:bCs/>
          <w:color w:val="1A4B8C"/>
          <w:sz w:val="28"/>
          <w:szCs w:val="28"/>
        </w:rPr>
        <w:t xml:space="preserve">KBeca · 2025</w:t>
      </w:r>
    </w:p>
    <w:p>
      <w:pPr>
        <w:spacing w:after="120" w:before="0"/>
        <w:jc w:val="center"/>
      </w:pPr>
      <w:r>
        <w:rPr>
          <w:rFonts w:ascii="Arial" w:cs="Arial" w:eastAsia="Arial" w:hAnsi="Arial"/>
          <w:color w:val="555555"/>
          <w:sz w:val="22"/>
          <w:szCs w:val="22"/>
        </w:rPr>
        <w:t xml:space="preserve">Plataforma abierta de becas para México</w:t>
      </w:r>
    </w:p>
    <w:p>
      <w:pPr>
        <w:spacing w:after="80" w:before="0"/>
        <w:jc w:val="center"/>
      </w:pPr>
      <w:r>
        <w:rPr>
          <w:rFonts w:ascii="Arial" w:cs="Arial" w:eastAsia="Arial" w:hAnsi="Arial"/>
          <w:color w:val="555555"/>
          <w:sz w:val="20"/>
          <w:szCs w:val="20"/>
        </w:rPr>
        <w:t xml:space="preserve">Proyecto público · Sin fines de lucro · Código abierto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B8C" w:sz="4" w:space="1"/>
      </w:pBdr>
      <w:jc w:val="center"/>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KBeca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B8C" w:sz="4" w:space="1"/>
      </w:pBdr>
    </w:pPr>
    <w:r>
      <w:rPr>
        <w:rFonts w:ascii="Arial" w:cs="Arial" w:eastAsia="Arial" w:hAnsi="Arial"/>
        <w:b/>
        <w:bCs/>
        <w:color w:val="1A4B8C"/>
        <w:sz w:val="18"/>
        <w:szCs w:val="18"/>
      </w:rPr>
      <w:t xml:space="preserve">KBeca — Plan de Negocio  </w:t>
    </w:r>
    <w:r>
      <w:rPr>
        <w:rFonts w:ascii="Arial" w:cs="Arial" w:eastAsia="Arial" w:hAnsi="Arial"/>
        <w:color w:val="555555"/>
        <w:sz w:val="18"/>
        <w:szCs w:val="18"/>
      </w:rPr>
      <w:t xml:space="preserve">Documento interno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4B8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C1C1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2026-05-29T04:02:00.251Z</dcterms:created>
  <dcterms:modified xsi:type="dcterms:W3CDTF">2026-05-29T04:02:00.267Z</dcterms:modified>
</cp:coreProperties>
</file>

<file path=docProps/custom.xml><?xml version="1.0" encoding="utf-8"?>
<Properties xmlns="http://schemas.openxmlformats.org/officeDocument/2006/custom-properties" xmlns:vt="http://schemas.openxmlformats.org/officeDocument/2006/docPropsVTypes"/>
</file>