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4CA1" w14:textId="1B523C19" w:rsidR="00921106" w:rsidRPr="00FD5920" w:rsidRDefault="00FD5920" w:rsidP="00FD5920">
      <w:pPr>
        <w:jc w:val="center"/>
        <w:rPr>
          <w:b/>
          <w:bCs/>
          <w:sz w:val="32"/>
          <w:szCs w:val="28"/>
        </w:rPr>
      </w:pPr>
      <w:r w:rsidRPr="00FD5920">
        <w:rPr>
          <w:b/>
          <w:bCs/>
          <w:sz w:val="32"/>
          <w:szCs w:val="28"/>
        </w:rPr>
        <w:t>Gewinnverteilung – Joey und Marie träumen von der Zukunft</w:t>
      </w:r>
    </w:p>
    <w:p w14:paraId="55CD92F4" w14:textId="1D96800C" w:rsidR="00295590" w:rsidRDefault="00B56F6C">
      <w:r>
        <w:rPr>
          <w:rFonts w:ascii="Segoe UI" w:hAnsi="Segoe UI" w:cs="Segoe UI"/>
          <w:color w:val="222222"/>
        </w:rPr>
        <w:t xml:space="preserve">Marie hat sich mit </w:t>
      </w:r>
      <w:r>
        <w:rPr>
          <w:rStyle w:val="hiddenspellerror"/>
          <w:rFonts w:ascii="Segoe UI" w:hAnsi="Segoe UI" w:cs="Segoe UI"/>
          <w:color w:val="222222"/>
        </w:rPr>
        <w:t>Joeys</w:t>
      </w:r>
      <w:r>
        <w:rPr>
          <w:rFonts w:ascii="Segoe UI" w:hAnsi="Segoe UI" w:cs="Segoe UI"/>
          <w:color w:val="222222"/>
        </w:rPr>
        <w:t xml:space="preserve"> Hilfe für die GmbH entschlossen und träumt jetzt schon vom großen Gewinn. Marie geht davon aus, dass ihre Tante Margret in </w:t>
      </w:r>
      <w:r w:rsidR="00123402">
        <w:rPr>
          <w:rFonts w:ascii="Segoe UI" w:hAnsi="Segoe UI" w:cs="Segoe UI"/>
          <w:color w:val="222222"/>
        </w:rPr>
        <w:t>i</w:t>
      </w:r>
      <w:r>
        <w:rPr>
          <w:rFonts w:ascii="Segoe UI" w:hAnsi="Segoe UI" w:cs="Segoe UI"/>
          <w:color w:val="222222"/>
        </w:rPr>
        <w:t xml:space="preserve">hr Unternehmen einsteigt und sie ihre Produktionsmöglichkeiten erweitern sowie die Qualität der Produkte verbessern kann. Zudem steht fest, dass </w:t>
      </w:r>
      <w:r>
        <w:rPr>
          <w:rStyle w:val="hiddenspellerror"/>
          <w:rFonts w:ascii="Segoe UI" w:hAnsi="Segoe UI" w:cs="Segoe UI"/>
          <w:color w:val="222222"/>
        </w:rPr>
        <w:t xml:space="preserve">Joey </w:t>
      </w:r>
      <w:r>
        <w:rPr>
          <w:rFonts w:ascii="Segoe UI" w:hAnsi="Segoe UI" w:cs="Segoe UI"/>
          <w:color w:val="222222"/>
        </w:rPr>
        <w:t xml:space="preserve">und Marie beide ihren festgelegten Beitrag zur Gründung beisteuern und es keine disquotale Gewinnverteilung geben wird. Optimistisch prognostiziert Marie für das Jahr 2023 einen Gewinn von 34.000 €. Beide sind von der Prognose überwältigt. Marie will es jetzt aber genau wissen. Wie viel würde </w:t>
      </w:r>
      <w:r w:rsidR="00123402">
        <w:rPr>
          <w:rFonts w:ascii="Segoe UI" w:hAnsi="Segoe UI" w:cs="Segoe UI"/>
          <w:color w:val="222222"/>
        </w:rPr>
        <w:t>s</w:t>
      </w:r>
      <w:r>
        <w:rPr>
          <w:rFonts w:ascii="Segoe UI" w:hAnsi="Segoe UI" w:cs="Segoe UI"/>
          <w:color w:val="222222"/>
        </w:rPr>
        <w:t xml:space="preserve">ie vom prognostizierten Gewinn bekommen? </w:t>
      </w:r>
      <w:r>
        <w:rPr>
          <w:rStyle w:val="hiddenspellerror"/>
          <w:rFonts w:ascii="Segoe UI" w:hAnsi="Segoe UI" w:cs="Segoe UI"/>
          <w:color w:val="222222"/>
        </w:rPr>
        <w:t>Joey</w:t>
      </w:r>
      <w:r>
        <w:rPr>
          <w:rFonts w:ascii="Segoe UI" w:hAnsi="Segoe UI" w:cs="Segoe UI"/>
          <w:color w:val="222222"/>
        </w:rPr>
        <w:t xml:space="preserve"> drosselt die Erwartungen von Marie und will wissen, wie sich ein Verlust von 6</w:t>
      </w:r>
      <w:r w:rsidR="00123402">
        <w:rPr>
          <w:rFonts w:ascii="Segoe UI" w:hAnsi="Segoe UI" w:cs="Segoe UI"/>
          <w:color w:val="222222"/>
        </w:rPr>
        <w:t>.</w:t>
      </w:r>
      <w:r>
        <w:rPr>
          <w:rFonts w:ascii="Segoe UI" w:hAnsi="Segoe UI" w:cs="Segoe UI"/>
          <w:color w:val="222222"/>
        </w:rPr>
        <w:t xml:space="preserve">000 Euro auf sie auswirken würde. War unsere Entscheidung die </w:t>
      </w:r>
      <w:r w:rsidR="000E3A47"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</w:rPr>
        <w:t>este?</w:t>
      </w:r>
    </w:p>
    <w:p w14:paraId="667E5C22" w14:textId="2BE55DD7" w:rsidR="00295590" w:rsidRDefault="00295590"/>
    <w:p w14:paraId="382473B0" w14:textId="0636D92D" w:rsidR="00692368" w:rsidRDefault="0080420C" w:rsidP="00B520A6">
      <w:r>
        <w:rPr>
          <w:noProof/>
        </w:rPr>
        <w:drawing>
          <wp:inline distT="0" distB="0" distL="0" distR="0" wp14:anchorId="5F73C133" wp14:editId="01363AC4">
            <wp:extent cx="5170170" cy="4305300"/>
            <wp:effectExtent l="0" t="0" r="0" b="0"/>
            <wp:docPr id="10570450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9EDE" w14:textId="208E4F63" w:rsidR="00692368" w:rsidRDefault="00692368" w:rsidP="00B520A6"/>
    <w:p w14:paraId="0E884715" w14:textId="1974EBA9" w:rsidR="007F4E39" w:rsidRDefault="00731827" w:rsidP="00B520A6">
      <w:r>
        <w:t>Da die A</w:t>
      </w:r>
      <w:r w:rsidR="006505C3">
        <w:t>G</w:t>
      </w:r>
      <w:r>
        <w:t xml:space="preserve"> die gleiche gewinn Austeilung hat bleiben wir bei der GmbH</w:t>
      </w:r>
    </w:p>
    <w:sectPr w:rsidR="007F4E3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3245" w14:textId="77777777" w:rsidR="00F44AEB" w:rsidRDefault="00F44AEB" w:rsidP="00FD5920">
      <w:pPr>
        <w:spacing w:after="0" w:line="240" w:lineRule="auto"/>
      </w:pPr>
      <w:r>
        <w:separator/>
      </w:r>
    </w:p>
  </w:endnote>
  <w:endnote w:type="continuationSeparator" w:id="0">
    <w:p w14:paraId="56CA77B7" w14:textId="77777777" w:rsidR="00F44AEB" w:rsidRDefault="00F44AEB" w:rsidP="00FD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5E6E" w14:textId="77777777" w:rsidR="00F44AEB" w:rsidRDefault="00F44AEB" w:rsidP="00FD5920">
      <w:pPr>
        <w:spacing w:after="0" w:line="240" w:lineRule="auto"/>
      </w:pPr>
      <w:r>
        <w:separator/>
      </w:r>
    </w:p>
  </w:footnote>
  <w:footnote w:type="continuationSeparator" w:id="0">
    <w:p w14:paraId="56ED0C99" w14:textId="77777777" w:rsidR="00F44AEB" w:rsidRDefault="00F44AEB" w:rsidP="00FD5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80" w:firstRow="0" w:lastRow="0" w:firstColumn="1" w:lastColumn="0" w:noHBand="0" w:noVBand="1"/>
    </w:tblPr>
    <w:tblGrid>
      <w:gridCol w:w="3561"/>
      <w:gridCol w:w="2312"/>
      <w:gridCol w:w="2596"/>
      <w:gridCol w:w="1725"/>
    </w:tblGrid>
    <w:tr w:rsidR="00FD5920" w:rsidRPr="00030D48" w14:paraId="6F52A73E" w14:textId="77777777" w:rsidTr="002D5735">
      <w:trPr>
        <w:trHeight w:val="840"/>
        <w:jc w:val="center"/>
      </w:trPr>
      <w:tc>
        <w:tcPr>
          <w:tcW w:w="3561" w:type="dxa"/>
          <w:shd w:val="clear" w:color="auto" w:fill="auto"/>
          <w:vAlign w:val="center"/>
        </w:tcPr>
        <w:p w14:paraId="2157AFEB" w14:textId="77777777" w:rsidR="00FD5920" w:rsidRPr="00030D48" w:rsidRDefault="00FD5920" w:rsidP="00FD5920">
          <w:pPr>
            <w:rPr>
              <w:rFonts w:eastAsia="Calibri" w:cs="Times New Roman"/>
              <w:sz w:val="22"/>
              <w:lang w:eastAsia="de-DE"/>
            </w:rPr>
          </w:pPr>
          <w:r w:rsidRPr="00030D48">
            <w:rPr>
              <w:rFonts w:eastAsia="Calibri" w:cs="Times New Roman"/>
              <w:noProof/>
              <w:sz w:val="22"/>
              <w:lang w:eastAsia="de-DE"/>
            </w:rPr>
            <w:drawing>
              <wp:anchor distT="0" distB="0" distL="114300" distR="114300" simplePos="0" relativeHeight="251661312" behindDoc="1" locked="0" layoutInCell="1" allowOverlap="1" wp14:anchorId="1B801F23" wp14:editId="1D3746BA">
                <wp:simplePos x="0" y="0"/>
                <wp:positionH relativeFrom="column">
                  <wp:posOffset>-15875</wp:posOffset>
                </wp:positionH>
                <wp:positionV relativeFrom="paragraph">
                  <wp:posOffset>-40005</wp:posOffset>
                </wp:positionV>
                <wp:extent cx="1981200" cy="695325"/>
                <wp:effectExtent l="0" t="0" r="0" b="9525"/>
                <wp:wrapNone/>
                <wp:docPr id="1" name="Grafik 1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 descr="Ein Bild, das Tex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12" w:type="dxa"/>
          <w:shd w:val="clear" w:color="auto" w:fill="auto"/>
          <w:vAlign w:val="center"/>
        </w:tcPr>
        <w:p w14:paraId="3C049F31" w14:textId="77777777" w:rsidR="00FD5920" w:rsidRPr="00030D48" w:rsidRDefault="00FD5920" w:rsidP="00FD5920">
          <w:pPr>
            <w:jc w:val="center"/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  <w:t>ITK221</w:t>
          </w:r>
        </w:p>
        <w:p w14:paraId="185BE5F5" w14:textId="77777777" w:rsidR="00FD5920" w:rsidRPr="00030D48" w:rsidRDefault="00FD5920" w:rsidP="00FD5920">
          <w:pPr>
            <w:jc w:val="center"/>
            <w:rPr>
              <w:rFonts w:eastAsia="Calibri" w:cs="Times New Roman"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>GVI</w:t>
          </w:r>
          <w:r w:rsidRPr="00030D4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 xml:space="preserve"> - </w:t>
          </w:r>
          <w:r w:rsidRPr="00030D48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de-DE"/>
            </w:rPr>
            <w:t>Bong</w:t>
          </w:r>
        </w:p>
      </w:tc>
      <w:tc>
        <w:tcPr>
          <w:tcW w:w="2596" w:type="dxa"/>
          <w:shd w:val="clear" w:color="auto" w:fill="auto"/>
          <w:vAlign w:val="center"/>
        </w:tcPr>
        <w:p w14:paraId="1891A29A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  <w:p w14:paraId="2617A312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  <w:t>Unternehmen anmelden</w:t>
          </w:r>
        </w:p>
        <w:p w14:paraId="73D7BB0F" w14:textId="77777777" w:rsidR="00FD5920" w:rsidRPr="00030D48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</w:tc>
      <w:tc>
        <w:tcPr>
          <w:tcW w:w="1725" w:type="dxa"/>
          <w:shd w:val="clear" w:color="auto" w:fill="auto"/>
          <w:vAlign w:val="center"/>
        </w:tcPr>
        <w:p w14:paraId="36302044" w14:textId="77777777" w:rsidR="00FD5920" w:rsidRPr="00030D48" w:rsidRDefault="00FD5920" w:rsidP="00FD5920">
          <w:pPr>
            <w:jc w:val="center"/>
            <w:rPr>
              <w:rFonts w:eastAsia="Calibri" w:cs="Times New Roman"/>
              <w:b/>
              <w:bCs/>
              <w:sz w:val="22"/>
              <w:lang w:eastAsia="de-DE"/>
            </w:rPr>
          </w:pPr>
          <w:r>
            <w:rPr>
              <w:rFonts w:eastAsia="Calibri" w:cs="Times New Roman"/>
              <w:b/>
              <w:bCs/>
              <w:sz w:val="22"/>
              <w:lang w:eastAsia="de-DE"/>
            </w:rPr>
            <w:t>LF1</w:t>
          </w:r>
        </w:p>
      </w:tc>
    </w:tr>
  </w:tbl>
  <w:p w14:paraId="50E6EDDC" w14:textId="77777777" w:rsidR="00FD5920" w:rsidRDefault="00FD59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20"/>
    <w:rsid w:val="00077A69"/>
    <w:rsid w:val="00092C39"/>
    <w:rsid w:val="000E3A47"/>
    <w:rsid w:val="00123402"/>
    <w:rsid w:val="00184954"/>
    <w:rsid w:val="001C0579"/>
    <w:rsid w:val="00295590"/>
    <w:rsid w:val="002F5FDC"/>
    <w:rsid w:val="00370AA3"/>
    <w:rsid w:val="00433A79"/>
    <w:rsid w:val="00482256"/>
    <w:rsid w:val="00540DEC"/>
    <w:rsid w:val="005957A1"/>
    <w:rsid w:val="00614A2E"/>
    <w:rsid w:val="006505C3"/>
    <w:rsid w:val="006703FC"/>
    <w:rsid w:val="00692368"/>
    <w:rsid w:val="006D4038"/>
    <w:rsid w:val="00731827"/>
    <w:rsid w:val="007F4E39"/>
    <w:rsid w:val="0080420C"/>
    <w:rsid w:val="00921106"/>
    <w:rsid w:val="00924EEB"/>
    <w:rsid w:val="00960AF7"/>
    <w:rsid w:val="00965E1B"/>
    <w:rsid w:val="009678B6"/>
    <w:rsid w:val="009B3DB3"/>
    <w:rsid w:val="009E77EB"/>
    <w:rsid w:val="00A17A3D"/>
    <w:rsid w:val="00A76F21"/>
    <w:rsid w:val="00A84894"/>
    <w:rsid w:val="00AC3661"/>
    <w:rsid w:val="00AF102E"/>
    <w:rsid w:val="00B520A6"/>
    <w:rsid w:val="00B56F6C"/>
    <w:rsid w:val="00B60E5C"/>
    <w:rsid w:val="00C72B20"/>
    <w:rsid w:val="00CB3CA3"/>
    <w:rsid w:val="00D327D9"/>
    <w:rsid w:val="00D435FF"/>
    <w:rsid w:val="00D83A1A"/>
    <w:rsid w:val="00D92881"/>
    <w:rsid w:val="00DD5825"/>
    <w:rsid w:val="00EA68B7"/>
    <w:rsid w:val="00F03590"/>
    <w:rsid w:val="00F44AEB"/>
    <w:rsid w:val="00F64E27"/>
    <w:rsid w:val="00F90E9A"/>
    <w:rsid w:val="00FC3AA9"/>
    <w:rsid w:val="00FD446A"/>
    <w:rsid w:val="00FD592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7D86"/>
  <w15:chartTrackingRefBased/>
  <w15:docId w15:val="{D55C59EB-7261-4142-8473-0295F015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C0579"/>
    <w:pPr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5920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5920"/>
    <w:rPr>
      <w:rFonts w:ascii="Arial" w:hAnsi="Arial"/>
      <w:sz w:val="24"/>
    </w:rPr>
  </w:style>
  <w:style w:type="character" w:customStyle="1" w:styleId="hiddenspellerror">
    <w:name w:val="hiddenspellerror"/>
    <w:basedOn w:val="Absatz-Standardschriftart"/>
    <w:rsid w:val="00B56F6C"/>
  </w:style>
  <w:style w:type="table" w:styleId="Tabellenraster">
    <w:name w:val="Table Grid"/>
    <w:basedOn w:val="NormaleTabelle"/>
    <w:uiPriority w:val="39"/>
    <w:rsid w:val="0059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123402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FB94-34A1-474A-B2AE-80DB5A6D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Thomas Bong</dc:creator>
  <cp:keywords/>
  <dc:description/>
  <cp:lastModifiedBy>David Stemmler</cp:lastModifiedBy>
  <cp:revision>15</cp:revision>
  <cp:lastPrinted>2022-12-11T15:01:00Z</cp:lastPrinted>
  <dcterms:created xsi:type="dcterms:W3CDTF">2022-12-11T22:14:00Z</dcterms:created>
  <dcterms:modified xsi:type="dcterms:W3CDTF">2023-10-24T10:57:00Z</dcterms:modified>
</cp:coreProperties>
</file>