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414" w14:textId="77777777" w:rsidR="00C174C8" w:rsidRDefault="00C174C8" w:rsidP="00C174C8">
      <w:pPr>
        <w:pStyle w:val="h2"/>
      </w:pPr>
      <w:r w:rsidRPr="00043914">
        <w:t>Immobilien, Anleihen und Co. – Weitere Anlageklassen</w:t>
      </w:r>
    </w:p>
    <w:p w14:paraId="17F8CF9F" w14:textId="77777777" w:rsidR="00C174C8" w:rsidRDefault="00C174C8" w:rsidP="00C174C8">
      <w:pPr>
        <w:pStyle w:val="G0BasisformatGrundschrift"/>
      </w:pPr>
      <w:r>
        <w:t>Es gibt neben Aktien und Aktienfonds zahlreiche weitere Möglichkeiten, Geld gewinnbringend anzulegen. Zu den wichtigsten zählen Immobilien, Anleihen, Gold und Kryptowährungen.</w:t>
      </w:r>
    </w:p>
    <w:p w14:paraId="3F41BDC2" w14:textId="77777777" w:rsidR="00C174C8" w:rsidRDefault="00C174C8" w:rsidP="00C174C8">
      <w:pPr>
        <w:pStyle w:val="h4"/>
      </w:pPr>
      <w:r>
        <w:t>Aufgaben</w:t>
      </w:r>
    </w:p>
    <w:p w14:paraId="0F367415" w14:textId="77777777" w:rsidR="00C174C8" w:rsidRDefault="00C174C8" w:rsidP="00C174C8">
      <w:pPr>
        <w:pStyle w:val="Listennummer"/>
      </w:pPr>
      <w:r>
        <w:t>Erläutern Sie die vier Anlageklassen Immobilien, Gold, Anleihen und Kryptowährungen.</w:t>
      </w:r>
    </w:p>
    <w:p w14:paraId="37100F77" w14:textId="77777777" w:rsidR="00C174C8" w:rsidRDefault="00C174C8" w:rsidP="00C174C8">
      <w:pPr>
        <w:pStyle w:val="Listennummer"/>
        <w:numPr>
          <w:ilvl w:val="0"/>
          <w:numId w:val="0"/>
        </w:numPr>
        <w:ind w:left="360"/>
      </w:pPr>
      <w:r w:rsidRPr="00BE01BC">
        <w:rPr>
          <w:rStyle w:val="Fett"/>
        </w:rPr>
        <w:t>Hinweis:</w:t>
      </w:r>
      <w:r>
        <w:t xml:space="preserve"> Das Schaubild enthält nur die wichtigsten Anlageklassen. Es fehlen z. B. (neben Aktien und Fonds) weitere Rohstoffe, Sparbücher, Festgeldkonten und Kunstwerke.</w:t>
      </w:r>
    </w:p>
    <w:p w14:paraId="7E2E06CB" w14:textId="77777777" w:rsidR="00C174C8" w:rsidRDefault="00C174C8" w:rsidP="00C174C8">
      <w:pPr>
        <w:pStyle w:val="Listennummer"/>
      </w:pPr>
      <w:r>
        <w:t>Recherchieren Sie online die Begriffe „Derivat“ und „Hebel“ im Kontext der Börse.</w:t>
      </w:r>
    </w:p>
    <w:p w14:paraId="46C78D49" w14:textId="63649079" w:rsidR="00C174C8" w:rsidRDefault="00C174C8" w:rsidP="00C174C8">
      <w:pPr>
        <w:pStyle w:val="Listennummer"/>
      </w:pPr>
      <w:r>
        <w:t>Welches ist die ideale Anlageklasse zur Altersvorsorge? Begründen Sie.</w:t>
      </w:r>
    </w:p>
    <w:p w14:paraId="708406F4" w14:textId="77777777" w:rsidR="00C174C8" w:rsidRDefault="00C174C8" w:rsidP="00C174C8">
      <w:pPr>
        <w:pStyle w:val="h4"/>
      </w:pPr>
      <w:r>
        <w:t>Anlageklassen – Eine Übersicht</w:t>
      </w:r>
    </w:p>
    <w:tbl>
      <w:tblPr>
        <w:tblStyle w:val="Tabellenraster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00"/>
        <w:gridCol w:w="5493"/>
      </w:tblGrid>
      <w:tr w:rsidR="00C174C8" w14:paraId="5F8ACA13" w14:textId="77777777" w:rsidTr="002326C3">
        <w:trPr>
          <w:trHeight w:val="2098"/>
        </w:trPr>
        <w:tc>
          <w:tcPr>
            <w:tcW w:w="2122" w:type="dxa"/>
          </w:tcPr>
          <w:p w14:paraId="140BABE4" w14:textId="77777777" w:rsidR="00C174C8" w:rsidRPr="003A01C0" w:rsidRDefault="00C174C8" w:rsidP="002326C3">
            <w:pPr>
              <w:jc w:val="center"/>
              <w:rPr>
                <w:rStyle w:val="fettkursiv"/>
              </w:rPr>
            </w:pPr>
            <w:r w:rsidRPr="003A01C0">
              <w:rPr>
                <w:rStyle w:val="fettkursiv"/>
              </w:rPr>
              <w:t>1. Immobilien:</w:t>
            </w:r>
          </w:p>
          <w:p w14:paraId="1ECDF703" w14:textId="77777777" w:rsidR="00C174C8" w:rsidRDefault="00C174C8" w:rsidP="002326C3">
            <w:pPr>
              <w:pStyle w:val="G0BasisformatGrundschrift"/>
              <w:jc w:val="center"/>
            </w:pPr>
            <w:r>
              <w:rPr>
                <w:noProof/>
              </w:rPr>
              <w:drawing>
                <wp:inline distT="0" distB="0" distL="0" distR="0" wp14:anchorId="3A6C38B6" wp14:editId="64C8745C">
                  <wp:extent cx="1260000" cy="900095"/>
                  <wp:effectExtent l="0" t="0" r="0" b="0"/>
                  <wp:docPr id="63" name="Grafik 63" descr="Ein Bild, das Symbol, Kreis, Muster, Design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Grafik 63" descr="Ein Bild, das Symbol, Kreis, Muster, Design enthält.&#10;&#10;Automatisch generierte Beschreibu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90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3" w:type="dxa"/>
          </w:tcPr>
          <w:p w14:paraId="5E89F5DF" w14:textId="77777777" w:rsidR="00C174C8" w:rsidRDefault="00C174C8" w:rsidP="00C174C8">
            <w:pPr>
              <w:pStyle w:val="Listenabsatz"/>
              <w:numPr>
                <w:ilvl w:val="0"/>
                <w:numId w:val="2"/>
              </w:numPr>
              <w:ind w:left="170" w:hanging="170"/>
              <w:jc w:val="left"/>
            </w:pPr>
            <w:r>
              <w:t>Hierzu zählen Wohnhäuser und Geschäftsimmobilien.</w:t>
            </w:r>
          </w:p>
          <w:p w14:paraId="6DAA464C" w14:textId="77777777" w:rsidR="00C174C8" w:rsidRDefault="00C174C8" w:rsidP="00C174C8">
            <w:pPr>
              <w:pStyle w:val="Listenabsatz"/>
              <w:numPr>
                <w:ilvl w:val="0"/>
                <w:numId w:val="2"/>
              </w:numPr>
              <w:ind w:left="170" w:hanging="170"/>
              <w:jc w:val="left"/>
            </w:pPr>
            <w:r>
              <w:t>können vermietet werden, um Einnahmen zu erzielen</w:t>
            </w:r>
          </w:p>
          <w:p w14:paraId="3857CD18" w14:textId="77777777" w:rsidR="00C174C8" w:rsidRDefault="00C174C8" w:rsidP="002326C3">
            <w:pPr>
              <w:jc w:val="left"/>
            </w:pPr>
            <w:r w:rsidRPr="00BE2FA2">
              <w:rPr>
                <w:color w:val="00B050"/>
              </w:rPr>
              <w:t>Hauptvorteil</w:t>
            </w:r>
            <w:r>
              <w:t>: vor allem in Großstädten hohe und sichere Einnahmen; auch Verkaufsgewinne möglich</w:t>
            </w:r>
          </w:p>
          <w:p w14:paraId="1B63D262" w14:textId="77777777" w:rsidR="00C174C8" w:rsidRDefault="00C174C8" w:rsidP="002326C3">
            <w:pPr>
              <w:jc w:val="left"/>
            </w:pPr>
            <w:r w:rsidRPr="00BE2FA2">
              <w:rPr>
                <w:color w:val="FF0000"/>
              </w:rPr>
              <w:t>Hauptnachteil</w:t>
            </w:r>
            <w:r>
              <w:t>: hoher Kapitalbedarf (meist Kredite)</w:t>
            </w:r>
          </w:p>
        </w:tc>
      </w:tr>
      <w:tr w:rsidR="00C174C8" w14:paraId="35BE053C" w14:textId="77777777" w:rsidTr="002326C3">
        <w:trPr>
          <w:trHeight w:val="2098"/>
        </w:trPr>
        <w:tc>
          <w:tcPr>
            <w:tcW w:w="2122" w:type="dxa"/>
          </w:tcPr>
          <w:p w14:paraId="6A7717E3" w14:textId="77777777" w:rsidR="00C174C8" w:rsidRDefault="00C174C8" w:rsidP="002326C3">
            <w:pPr>
              <w:spacing w:line="295" w:lineRule="exact"/>
              <w:jc w:val="center"/>
              <w:rPr>
                <w:rFonts w:eastAsia="Calibri"/>
                <w:b/>
                <w:bCs/>
                <w:i/>
                <w:iCs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szCs w:val="18"/>
              </w:rPr>
              <w:t>2. Gold:</w:t>
            </w:r>
          </w:p>
          <w:p w14:paraId="75DC4943" w14:textId="77777777" w:rsidR="00C174C8" w:rsidRDefault="00C174C8" w:rsidP="002326C3">
            <w:pPr>
              <w:pStyle w:val="G0BasisformatGrundschrift"/>
              <w:jc w:val="center"/>
            </w:pPr>
            <w:r>
              <w:rPr>
                <w:noProof/>
              </w:rPr>
              <w:drawing>
                <wp:inline distT="0" distB="0" distL="0" distR="0" wp14:anchorId="7924C9E1" wp14:editId="1361C27D">
                  <wp:extent cx="1260000" cy="960079"/>
                  <wp:effectExtent l="0" t="0" r="0" b="0"/>
                  <wp:docPr id="96" name="Grafik 96" descr="Ein Bild, das Tex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Grafik 96" descr="Ein Bild, das Text enthält.&#10;&#10;Automatisch generierte Beschreibu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96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3" w:type="dxa"/>
          </w:tcPr>
          <w:p w14:paraId="1EF37B77" w14:textId="77777777" w:rsidR="00C174C8" w:rsidRDefault="00C174C8" w:rsidP="00C174C8">
            <w:pPr>
              <w:pStyle w:val="Listenabsatz"/>
              <w:numPr>
                <w:ilvl w:val="0"/>
                <w:numId w:val="3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seit der Antike ein Wertaufbewahrungsmittel</w:t>
            </w:r>
          </w:p>
          <w:p w14:paraId="7DD43BE6" w14:textId="77777777" w:rsidR="00C174C8" w:rsidRDefault="00C174C8" w:rsidP="00C174C8">
            <w:pPr>
              <w:pStyle w:val="Listenabsatz"/>
              <w:numPr>
                <w:ilvl w:val="0"/>
                <w:numId w:val="3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auch Rohstoff für Elektronikprodukte und Schmuck</w:t>
            </w:r>
          </w:p>
          <w:p w14:paraId="520AE52F" w14:textId="77777777" w:rsidR="00C174C8" w:rsidRPr="00BE2FA2" w:rsidRDefault="00C174C8" w:rsidP="002326C3">
            <w:pPr>
              <w:spacing w:line="295" w:lineRule="exact"/>
              <w:jc w:val="left"/>
              <w:rPr>
                <w:rFonts w:eastAsia="Calibri"/>
                <w:szCs w:val="18"/>
              </w:rPr>
            </w:pPr>
            <w:r w:rsidRPr="00BE2FA2">
              <w:rPr>
                <w:rFonts w:eastAsia="Calibri"/>
                <w:color w:val="00B050"/>
                <w:szCs w:val="18"/>
              </w:rPr>
              <w:t>Hauptvorteil</w:t>
            </w:r>
            <w:r w:rsidRPr="00BE2FA2">
              <w:rPr>
                <w:rFonts w:eastAsia="Calibri"/>
                <w:szCs w:val="18"/>
              </w:rPr>
              <w:t>: preisunabhängiger Eigenwert und hoher Preis in Krisenlagen</w:t>
            </w:r>
            <w:r>
              <w:rPr>
                <w:rFonts w:eastAsia="Calibri"/>
                <w:szCs w:val="18"/>
              </w:rPr>
              <w:t>:</w:t>
            </w:r>
            <w:r w:rsidRPr="00BE2FA2">
              <w:rPr>
                <w:rFonts w:eastAsia="Calibri"/>
                <w:szCs w:val="18"/>
              </w:rPr>
              <w:t xml:space="preserve"> gut für Vermögensabsicherung</w:t>
            </w:r>
          </w:p>
          <w:p w14:paraId="07071505" w14:textId="77777777" w:rsidR="00C174C8" w:rsidRDefault="00C174C8" w:rsidP="002326C3">
            <w:pPr>
              <w:spacing w:line="295" w:lineRule="exact"/>
              <w:jc w:val="left"/>
            </w:pPr>
            <w:r w:rsidRPr="00BE2FA2">
              <w:rPr>
                <w:rFonts w:eastAsia="Calibri"/>
                <w:color w:val="FF0000"/>
                <w:szCs w:val="18"/>
              </w:rPr>
              <w:t>Hauptnachteil</w:t>
            </w:r>
            <w:r w:rsidRPr="00BE2FA2">
              <w:rPr>
                <w:rFonts w:eastAsia="Calibri"/>
                <w:szCs w:val="18"/>
              </w:rPr>
              <w:t xml:space="preserve">: </w:t>
            </w:r>
            <w:r>
              <w:rPr>
                <w:rFonts w:eastAsia="Calibri"/>
                <w:szCs w:val="18"/>
              </w:rPr>
              <w:t>s</w:t>
            </w:r>
            <w:r w:rsidRPr="00BE2FA2">
              <w:rPr>
                <w:rFonts w:eastAsia="Calibri"/>
                <w:szCs w:val="18"/>
              </w:rPr>
              <w:t>tarke Preisschwankungen</w:t>
            </w:r>
          </w:p>
        </w:tc>
      </w:tr>
      <w:tr w:rsidR="00C174C8" w14:paraId="23FF16E3" w14:textId="77777777" w:rsidTr="002326C3">
        <w:trPr>
          <w:trHeight w:val="2098"/>
        </w:trPr>
        <w:tc>
          <w:tcPr>
            <w:tcW w:w="2122" w:type="dxa"/>
          </w:tcPr>
          <w:p w14:paraId="55DB8CE9" w14:textId="77777777" w:rsidR="00C174C8" w:rsidRDefault="00C174C8" w:rsidP="002326C3">
            <w:pPr>
              <w:spacing w:line="295" w:lineRule="exact"/>
              <w:jc w:val="center"/>
              <w:rPr>
                <w:rFonts w:eastAsia="Calibri"/>
                <w:b/>
                <w:bCs/>
                <w:i/>
                <w:iCs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szCs w:val="18"/>
              </w:rPr>
              <w:t>3. Anleihen:</w:t>
            </w:r>
          </w:p>
          <w:p w14:paraId="62B9B6BC" w14:textId="77777777" w:rsidR="00C174C8" w:rsidRDefault="00C174C8" w:rsidP="002326C3">
            <w:pPr>
              <w:pStyle w:val="G0BasisformatGrundschrift"/>
              <w:jc w:val="center"/>
            </w:pPr>
            <w:r>
              <w:rPr>
                <w:noProof/>
              </w:rPr>
              <w:drawing>
                <wp:inline distT="0" distB="0" distL="0" distR="0" wp14:anchorId="286EF1BB" wp14:editId="433C4EE0">
                  <wp:extent cx="1260000" cy="839950"/>
                  <wp:effectExtent l="0" t="0" r="0" b="0"/>
                  <wp:docPr id="97" name="Grafik 97" descr="Ein Bild, das Gras, Himmel, draußen, Gebäud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Grafik 97" descr="Ein Bild, das Gras, Himmel, draußen, Gebäude enthält.&#10;&#10;Automatisch generierte Beschreibu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3" w:type="dxa"/>
          </w:tcPr>
          <w:p w14:paraId="09A44050" w14:textId="77777777" w:rsidR="00C174C8" w:rsidRDefault="00C174C8" w:rsidP="00C174C8">
            <w:pPr>
              <w:pStyle w:val="Listenabsatz"/>
              <w:numPr>
                <w:ilvl w:val="0"/>
                <w:numId w:val="4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werden von Staaten und Unternehmen ausgegeben</w:t>
            </w:r>
          </w:p>
          <w:p w14:paraId="7D43F3C2" w14:textId="77777777" w:rsidR="00C174C8" w:rsidRDefault="00C174C8" w:rsidP="00C174C8">
            <w:pPr>
              <w:pStyle w:val="Listenabsatz"/>
              <w:numPr>
                <w:ilvl w:val="0"/>
                <w:numId w:val="4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e</w:t>
            </w:r>
            <w:r w:rsidRPr="00CC7558">
              <w:rPr>
                <w:rFonts w:eastAsia="Calibri"/>
                <w:szCs w:val="18"/>
              </w:rPr>
              <w:t>ine Form des Kredits:</w:t>
            </w:r>
            <w:r>
              <w:rPr>
                <w:rFonts w:eastAsia="Calibri"/>
                <w:szCs w:val="18"/>
              </w:rPr>
              <w:t xml:space="preserve"> </w:t>
            </w:r>
            <w:r w:rsidRPr="00CC7558">
              <w:rPr>
                <w:rFonts w:eastAsia="Calibri"/>
                <w:szCs w:val="18"/>
              </w:rPr>
              <w:t xml:space="preserve">Anleihen </w:t>
            </w:r>
            <w:proofErr w:type="gramStart"/>
            <w:r w:rsidRPr="00CC7558">
              <w:rPr>
                <w:rFonts w:eastAsia="Calibri"/>
                <w:szCs w:val="18"/>
              </w:rPr>
              <w:t>können</w:t>
            </w:r>
            <w:proofErr w:type="gramEnd"/>
            <w:r>
              <w:rPr>
                <w:rFonts w:eastAsia="Calibri"/>
                <w:szCs w:val="18"/>
              </w:rPr>
              <w:t xml:space="preserve"> wie Aktien</w:t>
            </w:r>
            <w:r w:rsidRPr="00CC7558">
              <w:rPr>
                <w:rFonts w:eastAsia="Calibri"/>
                <w:szCs w:val="18"/>
              </w:rPr>
              <w:t xml:space="preserve"> weiterverkauft werden, sodass der Gläubiger wechselt</w:t>
            </w:r>
          </w:p>
          <w:p w14:paraId="32EB4A3F" w14:textId="77777777" w:rsidR="00C174C8" w:rsidRPr="00BE2FA2" w:rsidRDefault="00C174C8" w:rsidP="002326C3">
            <w:pPr>
              <w:spacing w:line="295" w:lineRule="exact"/>
              <w:jc w:val="left"/>
              <w:rPr>
                <w:rFonts w:eastAsia="Calibri"/>
                <w:szCs w:val="18"/>
              </w:rPr>
            </w:pPr>
            <w:r w:rsidRPr="00BE2FA2">
              <w:rPr>
                <w:rFonts w:eastAsia="Calibri"/>
                <w:color w:val="00B050"/>
                <w:szCs w:val="18"/>
              </w:rPr>
              <w:t>Hauptvorteil</w:t>
            </w:r>
            <w:r w:rsidRPr="00BE2FA2">
              <w:rPr>
                <w:rFonts w:eastAsia="Calibri"/>
                <w:szCs w:val="18"/>
              </w:rPr>
              <w:t xml:space="preserve">: </w:t>
            </w:r>
            <w:r>
              <w:rPr>
                <w:rFonts w:eastAsia="Calibri"/>
                <w:szCs w:val="18"/>
              </w:rPr>
              <w:t>f</w:t>
            </w:r>
            <w:r w:rsidRPr="00BE2FA2">
              <w:rPr>
                <w:rFonts w:eastAsia="Calibri"/>
                <w:szCs w:val="18"/>
              </w:rPr>
              <w:t>este Zinseinnahmen</w:t>
            </w:r>
          </w:p>
          <w:p w14:paraId="078C149A" w14:textId="77777777" w:rsidR="00C174C8" w:rsidRDefault="00C174C8" w:rsidP="002326C3">
            <w:pPr>
              <w:spacing w:line="295" w:lineRule="exact"/>
              <w:jc w:val="left"/>
            </w:pPr>
            <w:r w:rsidRPr="00BE2FA2">
              <w:rPr>
                <w:rFonts w:eastAsia="Calibri"/>
                <w:color w:val="FF0000"/>
                <w:szCs w:val="18"/>
              </w:rPr>
              <w:t>Hauptnachteil</w:t>
            </w:r>
            <w:r w:rsidRPr="00BE2FA2">
              <w:rPr>
                <w:rFonts w:eastAsia="Calibri"/>
                <w:szCs w:val="18"/>
              </w:rPr>
              <w:t xml:space="preserve">: </w:t>
            </w:r>
            <w:r>
              <w:rPr>
                <w:rFonts w:eastAsia="Calibri"/>
                <w:szCs w:val="18"/>
              </w:rPr>
              <w:t>n</w:t>
            </w:r>
            <w:r w:rsidRPr="00BE2FA2">
              <w:rPr>
                <w:rFonts w:eastAsia="Calibri"/>
                <w:szCs w:val="18"/>
              </w:rPr>
              <w:t>iedrige Einnahmen bei sicheren Staatsanleihen, Insolvenzgefahr bei Firmenanleihen</w:t>
            </w:r>
          </w:p>
        </w:tc>
      </w:tr>
      <w:tr w:rsidR="00C174C8" w14:paraId="640D1AC7" w14:textId="77777777" w:rsidTr="002326C3">
        <w:trPr>
          <w:trHeight w:val="2098"/>
        </w:trPr>
        <w:tc>
          <w:tcPr>
            <w:tcW w:w="2122" w:type="dxa"/>
          </w:tcPr>
          <w:p w14:paraId="0C1DCC1F" w14:textId="77777777" w:rsidR="00C174C8" w:rsidRDefault="00C174C8" w:rsidP="002326C3">
            <w:pPr>
              <w:spacing w:line="295" w:lineRule="exact"/>
              <w:jc w:val="center"/>
              <w:rPr>
                <w:rFonts w:eastAsia="Calibri"/>
                <w:b/>
                <w:bCs/>
                <w:i/>
                <w:iCs/>
                <w:szCs w:val="18"/>
              </w:rPr>
            </w:pPr>
            <w:r>
              <w:rPr>
                <w:rFonts w:eastAsia="Calibri"/>
                <w:b/>
                <w:bCs/>
                <w:i/>
                <w:iCs/>
                <w:szCs w:val="18"/>
              </w:rPr>
              <w:t>4. Kryptowährungen:</w:t>
            </w:r>
          </w:p>
          <w:p w14:paraId="6E2C89F1" w14:textId="77777777" w:rsidR="00C174C8" w:rsidRDefault="00C174C8" w:rsidP="002326C3">
            <w:pPr>
              <w:pStyle w:val="G0BasisformatGrundschrift"/>
              <w:jc w:val="center"/>
            </w:pPr>
            <w:r>
              <w:rPr>
                <w:noProof/>
              </w:rPr>
              <w:drawing>
                <wp:inline distT="0" distB="0" distL="0" distR="0" wp14:anchorId="7BAACD33" wp14:editId="628F17F5">
                  <wp:extent cx="1260000" cy="835650"/>
                  <wp:effectExtent l="0" t="0" r="0" b="3175"/>
                  <wp:docPr id="98" name="Grafik 98" descr="Ein Bild, das Text, Emblem, Kreis, Währung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Grafik 98" descr="Ein Bild, das Text, Emblem, Kreis, Währung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83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3" w:type="dxa"/>
          </w:tcPr>
          <w:p w14:paraId="3DB4C3BC" w14:textId="77777777" w:rsidR="00C174C8" w:rsidRDefault="00C174C8" w:rsidP="00C174C8">
            <w:pPr>
              <w:pStyle w:val="Listenabsatz"/>
              <w:numPr>
                <w:ilvl w:val="0"/>
                <w:numId w:val="5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 xml:space="preserve">digitale Vermögenswerte, </w:t>
            </w:r>
            <w:r w:rsidRPr="009728EF">
              <w:rPr>
                <w:rFonts w:eastAsia="Calibri"/>
                <w:szCs w:val="18"/>
              </w:rPr>
              <w:t xml:space="preserve">dezentral und </w:t>
            </w:r>
            <w:r>
              <w:rPr>
                <w:rFonts w:eastAsia="Calibri"/>
                <w:szCs w:val="18"/>
              </w:rPr>
              <w:t>fälschungs</w:t>
            </w:r>
            <w:r w:rsidRPr="009728EF">
              <w:rPr>
                <w:rFonts w:eastAsia="Calibri"/>
                <w:szCs w:val="18"/>
              </w:rPr>
              <w:t>sicher gespeichert</w:t>
            </w:r>
          </w:p>
          <w:p w14:paraId="5AC5CD66" w14:textId="77777777" w:rsidR="00C174C8" w:rsidRDefault="00C174C8" w:rsidP="00C174C8">
            <w:pPr>
              <w:pStyle w:val="Listenabsatz"/>
              <w:numPr>
                <w:ilvl w:val="0"/>
                <w:numId w:val="5"/>
              </w:numPr>
              <w:spacing w:line="295" w:lineRule="exact"/>
              <w:ind w:left="170" w:hanging="170"/>
              <w:jc w:val="left"/>
              <w:rPr>
                <w:rFonts w:eastAsia="Calibri"/>
                <w:szCs w:val="18"/>
              </w:rPr>
            </w:pPr>
            <w:r>
              <w:rPr>
                <w:rFonts w:eastAsia="Calibri"/>
                <w:szCs w:val="18"/>
              </w:rPr>
              <w:t>im engeren Sinn keine Währung, sondern ein Wertaufbewahrungsmittel ohne eigenen Wert</w:t>
            </w:r>
          </w:p>
          <w:p w14:paraId="7165B48B" w14:textId="77777777" w:rsidR="00C174C8" w:rsidRPr="00BE2FA2" w:rsidRDefault="00C174C8" w:rsidP="002326C3">
            <w:pPr>
              <w:spacing w:line="295" w:lineRule="exact"/>
              <w:jc w:val="left"/>
              <w:rPr>
                <w:rFonts w:eastAsia="Calibri"/>
                <w:szCs w:val="18"/>
              </w:rPr>
            </w:pPr>
            <w:r w:rsidRPr="00BE2FA2">
              <w:rPr>
                <w:rFonts w:eastAsia="Calibri"/>
                <w:color w:val="00B050"/>
                <w:szCs w:val="18"/>
              </w:rPr>
              <w:t>Hauptvorteil</w:t>
            </w:r>
            <w:r w:rsidRPr="00BE2FA2">
              <w:rPr>
                <w:rFonts w:eastAsia="Calibri"/>
                <w:szCs w:val="18"/>
              </w:rPr>
              <w:t>: Dezentrale, bankenferne Verwaltung</w:t>
            </w:r>
          </w:p>
          <w:p w14:paraId="65CC2750" w14:textId="77777777" w:rsidR="00C174C8" w:rsidRDefault="00C174C8" w:rsidP="002326C3">
            <w:pPr>
              <w:spacing w:line="295" w:lineRule="exact"/>
              <w:jc w:val="left"/>
            </w:pPr>
            <w:r w:rsidRPr="00BE2FA2">
              <w:rPr>
                <w:rFonts w:eastAsia="Calibri"/>
                <w:color w:val="FF0000"/>
                <w:szCs w:val="18"/>
              </w:rPr>
              <w:t>Hauptnachteil</w:t>
            </w:r>
            <w:r w:rsidRPr="00BE2FA2">
              <w:rPr>
                <w:rFonts w:eastAsia="Calibri"/>
                <w:szCs w:val="18"/>
              </w:rPr>
              <w:t>: Kein realer Sachwert, pure Spekulation</w:t>
            </w:r>
          </w:p>
        </w:tc>
      </w:tr>
    </w:tbl>
    <w:p w14:paraId="65C921A7" w14:textId="77777777" w:rsidR="00C174C8" w:rsidRPr="00BE2FA2" w:rsidRDefault="00C174C8" w:rsidP="00C174C8">
      <w:pPr>
        <w:pStyle w:val="B10Quellenangabe"/>
      </w:pPr>
      <w:r>
        <w:t xml:space="preserve">Bilder: Reichstag und Münzen © Adobe Stock, restliche: </w:t>
      </w:r>
      <w:proofErr w:type="spellStart"/>
      <w:r>
        <w:t>Colourbox</w:t>
      </w:r>
      <w:proofErr w:type="spellEnd"/>
    </w:p>
    <w:p w14:paraId="5ACDB2A4" w14:textId="4C34E642" w:rsidR="00D0702C" w:rsidRDefault="00D0702C" w:rsidP="00C174C8">
      <w:pPr>
        <w:pStyle w:val="G0BasisformatGrundschrift"/>
      </w:pPr>
    </w:p>
    <w:sectPr w:rsidR="00D07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9E8276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B43073"/>
    <w:multiLevelType w:val="hybridMultilevel"/>
    <w:tmpl w:val="E6F60874"/>
    <w:lvl w:ilvl="0" w:tplc="B8E6F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FEB1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2CA8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6B8D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54D2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2C86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7C63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E04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589B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64E2600"/>
    <w:multiLevelType w:val="hybridMultilevel"/>
    <w:tmpl w:val="0EEA7FF2"/>
    <w:lvl w:ilvl="0" w:tplc="E47AD2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3A0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462F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72F3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2C3F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9E9B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7E49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F6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9261D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67B539B"/>
    <w:multiLevelType w:val="hybridMultilevel"/>
    <w:tmpl w:val="4BE03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F66DA"/>
    <w:multiLevelType w:val="hybridMultilevel"/>
    <w:tmpl w:val="0DACD41C"/>
    <w:lvl w:ilvl="0" w:tplc="BDA62E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EE6A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E014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128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84CA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EE90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DC5E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3487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B255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51871579">
    <w:abstractNumId w:val="0"/>
    <w:lvlOverride w:ilvl="0">
      <w:startOverride w:val="1"/>
    </w:lvlOverride>
  </w:num>
  <w:num w:numId="2" w16cid:durableId="1256287898">
    <w:abstractNumId w:val="3"/>
  </w:num>
  <w:num w:numId="3" w16cid:durableId="256331499">
    <w:abstractNumId w:val="2"/>
  </w:num>
  <w:num w:numId="4" w16cid:durableId="1074475427">
    <w:abstractNumId w:val="4"/>
  </w:num>
  <w:num w:numId="5" w16cid:durableId="1547839349">
    <w:abstractNumId w:val="1"/>
  </w:num>
  <w:num w:numId="6" w16cid:durableId="99301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8"/>
    <w:rsid w:val="00051389"/>
    <w:rsid w:val="007D3EEE"/>
    <w:rsid w:val="00C174C8"/>
    <w:rsid w:val="00D0702C"/>
    <w:rsid w:val="00D3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3946"/>
  <w15:chartTrackingRefBased/>
  <w15:docId w15:val="{5FF74408-0C5E-4A01-9B84-0E4039BD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174C8"/>
    <w:pPr>
      <w:spacing w:after="0" w:line="295" w:lineRule="atLeast"/>
      <w:jc w:val="both"/>
    </w:pPr>
    <w:rPr>
      <w:rFonts w:ascii="Segoe UI" w:hAnsi="Segoe UI"/>
      <w:kern w:val="0"/>
      <w:sz w:val="18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17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17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17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17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7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174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174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174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174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7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17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17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174C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74C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174C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174C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174C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174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174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17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174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17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174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174C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174C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174C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17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174C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174C8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C174C8"/>
    <w:rPr>
      <w:b/>
      <w:bCs/>
    </w:rPr>
  </w:style>
  <w:style w:type="paragraph" w:customStyle="1" w:styleId="h2">
    <w:name w:val="h2"/>
    <w:basedOn w:val="berschrift2"/>
    <w:next w:val="G0BasisformatGrundschrift"/>
    <w:qFormat/>
    <w:rsid w:val="00C174C8"/>
    <w:pPr>
      <w:spacing w:before="0" w:after="170" w:line="390" w:lineRule="exact"/>
    </w:pPr>
    <w:rPr>
      <w:rFonts w:ascii="Segoe UI" w:hAnsi="Segoe UI"/>
      <w:b/>
      <w:color w:val="auto"/>
      <w:sz w:val="28"/>
      <w:szCs w:val="26"/>
    </w:rPr>
  </w:style>
  <w:style w:type="table" w:styleId="Tabellenraster">
    <w:name w:val="Table Grid"/>
    <w:basedOn w:val="NormaleTabelle"/>
    <w:uiPriority w:val="39"/>
    <w:rsid w:val="00C174C8"/>
    <w:pPr>
      <w:spacing w:before="60" w:after="6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4GrundschriftMarginalie">
    <w:name w:val="G4 Grundschrift | Marginalie"/>
    <w:qFormat/>
    <w:rsid w:val="00C174C8"/>
    <w:pPr>
      <w:framePr w:w="1786" w:hSpace="284" w:wrap="notBeside" w:vAnchor="text" w:hAnchor="page" w:xAlign="outside" w:y="1" w:anchorLock="1"/>
      <w:spacing w:after="0" w:line="295" w:lineRule="atLeast"/>
    </w:pPr>
    <w:rPr>
      <w:rFonts w:ascii="Segoe UI" w:hAnsi="Segoe UI"/>
      <w:kern w:val="0"/>
      <w:sz w:val="18"/>
      <w14:ligatures w14:val="none"/>
    </w:rPr>
  </w:style>
  <w:style w:type="paragraph" w:customStyle="1" w:styleId="G0BasisformatGrundschrift">
    <w:name w:val="G0 Basisformat_Grundschrift"/>
    <w:basedOn w:val="Standard"/>
    <w:link w:val="G0BasisformatGrundschriftZchn"/>
    <w:uiPriority w:val="99"/>
    <w:qFormat/>
    <w:rsid w:val="00C174C8"/>
    <w:rPr>
      <w:rFonts w:cs="Segoe UI"/>
      <w:szCs w:val="18"/>
    </w:rPr>
  </w:style>
  <w:style w:type="paragraph" w:customStyle="1" w:styleId="h4">
    <w:name w:val="h4"/>
    <w:basedOn w:val="berschrift4"/>
    <w:next w:val="G0BasisformatGrundschrift"/>
    <w:qFormat/>
    <w:rsid w:val="00C174C8"/>
    <w:pPr>
      <w:spacing w:before="295" w:after="0" w:line="295" w:lineRule="exact"/>
    </w:pPr>
    <w:rPr>
      <w:b/>
      <w:i w:val="0"/>
      <w:color w:val="auto"/>
    </w:rPr>
  </w:style>
  <w:style w:type="paragraph" w:customStyle="1" w:styleId="B10Quellenangabe">
    <w:name w:val="B10 Quellenangabe"/>
    <w:basedOn w:val="Standard"/>
    <w:qFormat/>
    <w:rsid w:val="00C174C8"/>
    <w:pPr>
      <w:spacing w:line="240" w:lineRule="auto"/>
      <w:jc w:val="left"/>
    </w:pPr>
    <w:rPr>
      <w:rFonts w:cstheme="minorHAnsi"/>
      <w:i/>
      <w:iCs/>
      <w:sz w:val="16"/>
      <w:szCs w:val="18"/>
    </w:rPr>
  </w:style>
  <w:style w:type="paragraph" w:styleId="Listennummer">
    <w:name w:val="List Number"/>
    <w:basedOn w:val="Standard"/>
    <w:qFormat/>
    <w:rsid w:val="00C174C8"/>
    <w:pPr>
      <w:numPr>
        <w:numId w:val="1"/>
      </w:numPr>
      <w:contextualSpacing/>
      <w:jc w:val="left"/>
    </w:pPr>
  </w:style>
  <w:style w:type="character" w:customStyle="1" w:styleId="fettkursiv">
    <w:name w:val="fettkursiv"/>
    <w:basedOn w:val="Fett"/>
    <w:uiPriority w:val="1"/>
    <w:qFormat/>
    <w:rsid w:val="00C174C8"/>
    <w:rPr>
      <w:b/>
      <w:bCs/>
      <w:i/>
    </w:rPr>
  </w:style>
  <w:style w:type="character" w:customStyle="1" w:styleId="G0BasisformatGrundschriftZchn">
    <w:name w:val="G0 Basisformat_Grundschrift Zchn"/>
    <w:basedOn w:val="Absatz-Standardschriftart"/>
    <w:link w:val="G0BasisformatGrundschrift"/>
    <w:uiPriority w:val="99"/>
    <w:rsid w:val="00C174C8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Bong, Fabian</dc:creator>
  <cp:keywords/>
  <dc:description/>
  <cp:lastModifiedBy>Bong, Fabian</cp:lastModifiedBy>
  <cp:revision>1</cp:revision>
  <dcterms:created xsi:type="dcterms:W3CDTF">2024-03-04T20:21:00Z</dcterms:created>
  <dcterms:modified xsi:type="dcterms:W3CDTF">2024-03-04T20:23:00Z</dcterms:modified>
</cp:coreProperties>
</file>