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414" w14:textId="77777777" w:rsidR="00C174C8" w:rsidRDefault="00C174C8" w:rsidP="00C174C8">
      <w:pPr>
        <w:pStyle w:val="h2"/>
      </w:pPr>
      <w:r w:rsidRPr="00043914">
        <w:t>Immobilien, Anleihen und Co. – Weitere Anlageklassen</w:t>
      </w:r>
    </w:p>
    <w:p w14:paraId="17F8CF9F" w14:textId="77777777" w:rsidR="00C174C8" w:rsidRDefault="00C174C8" w:rsidP="00C174C8">
      <w:pPr>
        <w:pStyle w:val="G0BasisformatGrundschrift"/>
      </w:pPr>
      <w:r>
        <w:t>Es gibt neben Aktien und Aktienfonds zahlreiche weitere Möglichkeiten, Geld gewinnbringend anzulegen. Zu den wichtigsten zählen Immobilien, Anleihen, Gold und Kryptowährungen.</w:t>
      </w:r>
    </w:p>
    <w:p w14:paraId="3F41BDC2" w14:textId="77777777" w:rsidR="00C174C8" w:rsidRDefault="00C174C8" w:rsidP="00C174C8">
      <w:pPr>
        <w:pStyle w:val="h4"/>
      </w:pPr>
      <w:r>
        <w:t>Aufgaben</w:t>
      </w:r>
    </w:p>
    <w:p w14:paraId="0F367415" w14:textId="77777777" w:rsidR="00C174C8" w:rsidRDefault="00C174C8" w:rsidP="00C174C8">
      <w:pPr>
        <w:pStyle w:val="Listennummer"/>
      </w:pPr>
      <w:r>
        <w:t>Erläutern Sie die vier Anlageklassen Immobilien, Gold, Anleihen und Kryptowährungen.</w:t>
      </w:r>
    </w:p>
    <w:p w14:paraId="37100F77" w14:textId="77777777" w:rsidR="00C174C8" w:rsidRDefault="00C174C8" w:rsidP="00C174C8">
      <w:pPr>
        <w:pStyle w:val="Listennummer"/>
        <w:numPr>
          <w:ilvl w:val="0"/>
          <w:numId w:val="0"/>
        </w:numPr>
        <w:ind w:left="360"/>
      </w:pPr>
      <w:r w:rsidRPr="00BE01BC">
        <w:rPr>
          <w:rStyle w:val="Fett"/>
        </w:rPr>
        <w:t>Hinweis:</w:t>
      </w:r>
      <w:r>
        <w:t xml:space="preserve"> Das Schaubild enthält nur die wichtigsten Anlageklassen. Es fehlen z. B. (neben Aktien und Fonds) weitere Rohstoffe, Sparbücher, Festgeldkonten und Kunstwerke.</w:t>
      </w:r>
    </w:p>
    <w:p w14:paraId="48820765" w14:textId="207224EB" w:rsidR="00571939" w:rsidRPr="00571939" w:rsidRDefault="00571939" w:rsidP="00571939">
      <w:pPr>
        <w:pStyle w:val="Listennummer"/>
        <w:numPr>
          <w:ilvl w:val="0"/>
          <w:numId w:val="10"/>
        </w:numPr>
        <w:rPr>
          <w:rStyle w:val="Fett"/>
          <w:b w:val="0"/>
          <w:bCs w:val="0"/>
        </w:rPr>
      </w:pPr>
      <w:r w:rsidRPr="00571939">
        <w:rPr>
          <w:rStyle w:val="Fett"/>
          <w:b w:val="0"/>
          <w:bCs w:val="0"/>
        </w:rPr>
        <w:t>Immobilien</w:t>
      </w:r>
    </w:p>
    <w:p w14:paraId="36D08AF9" w14:textId="160383EA" w:rsidR="00571939" w:rsidRDefault="00571939" w:rsidP="00571939">
      <w:pPr>
        <w:pStyle w:val="Listennummer"/>
        <w:numPr>
          <w:ilvl w:val="1"/>
          <w:numId w:val="10"/>
        </w:numPr>
      </w:pPr>
      <w:r>
        <w:t>Anteile von Immobilien können ähnlich wie ETFs oder Aktien gekauft und verkauft werden</w:t>
      </w:r>
    </w:p>
    <w:p w14:paraId="3326B1E6" w14:textId="2B26FCB1" w:rsidR="00571939" w:rsidRDefault="00571939" w:rsidP="00571939">
      <w:pPr>
        <w:pStyle w:val="Listennummer"/>
        <w:numPr>
          <w:ilvl w:val="1"/>
          <w:numId w:val="10"/>
        </w:numPr>
      </w:pPr>
      <w:r>
        <w:t>Laufende Kosten, was Instandhaltung angeht</w:t>
      </w:r>
    </w:p>
    <w:p w14:paraId="7BFAAD42" w14:textId="6AC964E8" w:rsidR="00571939" w:rsidRDefault="00571939" w:rsidP="00571939">
      <w:pPr>
        <w:pStyle w:val="Listennummer"/>
        <w:numPr>
          <w:ilvl w:val="1"/>
          <w:numId w:val="10"/>
        </w:numPr>
      </w:pPr>
      <w:r>
        <w:t>Hoher administrativer Aufwand</w:t>
      </w:r>
    </w:p>
    <w:p w14:paraId="6F016A42" w14:textId="2D23CC43" w:rsidR="00571939" w:rsidRDefault="00571939" w:rsidP="00571939">
      <w:pPr>
        <w:pStyle w:val="Listennummer"/>
        <w:numPr>
          <w:ilvl w:val="1"/>
          <w:numId w:val="10"/>
        </w:numPr>
      </w:pPr>
      <w:r>
        <w:t xml:space="preserve">Kauf abhängig vom aktuellen Immobilienmarkt und </w:t>
      </w:r>
      <w:r w:rsidR="003518D3">
        <w:t>Zinsen</w:t>
      </w:r>
    </w:p>
    <w:p w14:paraId="66DD6575" w14:textId="69A1E766" w:rsidR="003518D3" w:rsidRDefault="003518D3" w:rsidP="00571939">
      <w:pPr>
        <w:pStyle w:val="Listennummer"/>
        <w:numPr>
          <w:ilvl w:val="1"/>
          <w:numId w:val="10"/>
        </w:numPr>
      </w:pPr>
      <w:r>
        <w:t>Schwieriger Einstieg mit wenig Kapital</w:t>
      </w:r>
    </w:p>
    <w:p w14:paraId="306659C4" w14:textId="0C33DCE9" w:rsidR="00571939" w:rsidRDefault="00571939" w:rsidP="00571939">
      <w:pPr>
        <w:pStyle w:val="Listennummer"/>
        <w:numPr>
          <w:ilvl w:val="0"/>
          <w:numId w:val="10"/>
        </w:numPr>
      </w:pPr>
      <w:r>
        <w:t>Rohstoffe:</w:t>
      </w:r>
    </w:p>
    <w:p w14:paraId="0F2F165A" w14:textId="33B439B5" w:rsidR="00571939" w:rsidRDefault="003518D3" w:rsidP="00571939">
      <w:pPr>
        <w:pStyle w:val="Listennummer"/>
        <w:numPr>
          <w:ilvl w:val="1"/>
          <w:numId w:val="10"/>
        </w:numPr>
      </w:pPr>
      <w:r>
        <w:t>Kann auch an der Börse gehandelt werden</w:t>
      </w:r>
    </w:p>
    <w:p w14:paraId="4C18FBFB" w14:textId="3D884652" w:rsidR="003518D3" w:rsidRDefault="003518D3" w:rsidP="003518D3">
      <w:pPr>
        <w:pStyle w:val="Listennummer"/>
        <w:numPr>
          <w:ilvl w:val="1"/>
          <w:numId w:val="10"/>
        </w:numPr>
      </w:pPr>
      <w:r>
        <w:t>Wird immer knapper, Bedarf bleibt konstant</w:t>
      </w:r>
    </w:p>
    <w:p w14:paraId="2A3ACC98" w14:textId="1B5BDAF6" w:rsidR="003518D3" w:rsidRDefault="003518D3" w:rsidP="003518D3">
      <w:pPr>
        <w:pStyle w:val="Listennummer"/>
        <w:numPr>
          <w:ilvl w:val="0"/>
          <w:numId w:val="10"/>
        </w:numPr>
      </w:pPr>
      <w:r>
        <w:t>Anleihen:</w:t>
      </w:r>
    </w:p>
    <w:p w14:paraId="4B4DC23C" w14:textId="4A9CB01D" w:rsidR="003518D3" w:rsidRDefault="003518D3" w:rsidP="003518D3">
      <w:pPr>
        <w:pStyle w:val="Listennummer"/>
        <w:numPr>
          <w:ilvl w:val="1"/>
          <w:numId w:val="10"/>
        </w:numPr>
      </w:pPr>
      <w:r>
        <w:t>Beim Staat: sicheres Anlagegut, aber auch wenig Zinsen auf lange Dauer</w:t>
      </w:r>
    </w:p>
    <w:p w14:paraId="118E651C" w14:textId="2C3BD565" w:rsidR="003518D3" w:rsidRDefault="003518D3" w:rsidP="003518D3">
      <w:pPr>
        <w:pStyle w:val="Listennummer"/>
        <w:numPr>
          <w:ilvl w:val="1"/>
          <w:numId w:val="10"/>
        </w:numPr>
      </w:pPr>
      <w:r>
        <w:t>Bei Firmen: zusätzliches Risiko, dass die Firma insolvent gehen kann</w:t>
      </w:r>
    </w:p>
    <w:p w14:paraId="6C81EC80" w14:textId="5DF38743" w:rsidR="003518D3" w:rsidRDefault="003518D3" w:rsidP="003518D3">
      <w:pPr>
        <w:pStyle w:val="Listennummer"/>
        <w:numPr>
          <w:ilvl w:val="0"/>
          <w:numId w:val="10"/>
        </w:numPr>
      </w:pPr>
      <w:r>
        <w:t>Kryptowährungen:</w:t>
      </w:r>
    </w:p>
    <w:p w14:paraId="20D4811C" w14:textId="49AE52C3" w:rsidR="003518D3" w:rsidRDefault="003518D3" w:rsidP="003518D3">
      <w:pPr>
        <w:pStyle w:val="Listennummer"/>
        <w:numPr>
          <w:ilvl w:val="1"/>
          <w:numId w:val="10"/>
        </w:numPr>
      </w:pPr>
      <w:r>
        <w:t>Nicht zentral verwaltet, dadurch keine Bank mit eingebunden</w:t>
      </w:r>
    </w:p>
    <w:p w14:paraId="74E81555" w14:textId="35D032E4" w:rsidR="003518D3" w:rsidRDefault="003518D3" w:rsidP="003518D3">
      <w:pPr>
        <w:pStyle w:val="Listennummer"/>
        <w:numPr>
          <w:ilvl w:val="1"/>
          <w:numId w:val="10"/>
        </w:numPr>
      </w:pPr>
      <w:r>
        <w:t>Abgesichert durch die Blockchain</w:t>
      </w:r>
    </w:p>
    <w:p w14:paraId="38F0D57B" w14:textId="4666A5B9" w:rsidR="003518D3" w:rsidRDefault="003518D3" w:rsidP="003518D3">
      <w:pPr>
        <w:pStyle w:val="Listennummer"/>
        <w:numPr>
          <w:ilvl w:val="1"/>
          <w:numId w:val="10"/>
        </w:numPr>
      </w:pPr>
      <w:r>
        <w:t>Transaktionen anonym und abgesichert</w:t>
      </w:r>
    </w:p>
    <w:p w14:paraId="2A81D574" w14:textId="776B5283" w:rsidR="003518D3" w:rsidRDefault="003518D3" w:rsidP="003518D3">
      <w:pPr>
        <w:pStyle w:val="Listennummer"/>
        <w:numPr>
          <w:ilvl w:val="1"/>
          <w:numId w:val="10"/>
        </w:numPr>
      </w:pPr>
      <w:r>
        <w:t>Hohe Kursschwankungen, dadurch hohe Kursgewinne möglich</w:t>
      </w:r>
    </w:p>
    <w:p w14:paraId="76FEC76D" w14:textId="36A92183" w:rsidR="003518D3" w:rsidRDefault="003518D3" w:rsidP="003518D3">
      <w:pPr>
        <w:pStyle w:val="Listennummer"/>
        <w:numPr>
          <w:ilvl w:val="1"/>
          <w:numId w:val="10"/>
        </w:numPr>
      </w:pPr>
      <w:r>
        <w:t xml:space="preserve">Viele </w:t>
      </w:r>
      <w:proofErr w:type="spellStart"/>
      <w:r>
        <w:t>Coins</w:t>
      </w:r>
      <w:proofErr w:type="spellEnd"/>
      <w:r>
        <w:t xml:space="preserve"> haben keinen wirklichen Sinn und sind daher reines Glücksspiel</w:t>
      </w:r>
    </w:p>
    <w:p w14:paraId="2FB5A13D" w14:textId="20444D43" w:rsidR="003518D3" w:rsidRDefault="003518D3" w:rsidP="003518D3">
      <w:pPr>
        <w:pStyle w:val="Listennummer"/>
        <w:numPr>
          <w:ilvl w:val="1"/>
          <w:numId w:val="10"/>
        </w:numPr>
      </w:pPr>
      <w:r>
        <w:t xml:space="preserve">Jeder kann </w:t>
      </w:r>
      <w:proofErr w:type="spellStart"/>
      <w:r>
        <w:t>Coin</w:t>
      </w:r>
      <w:proofErr w:type="spellEnd"/>
      <w:r>
        <w:t xml:space="preserve"> veröffentlichen, daher fehlt oft die Liquidität zum Auszahlen, wenn der </w:t>
      </w:r>
      <w:proofErr w:type="spellStart"/>
      <w:r>
        <w:t>Coin</w:t>
      </w:r>
      <w:proofErr w:type="spellEnd"/>
      <w:r>
        <w:t xml:space="preserve"> einen hohen Kurs hat</w:t>
      </w:r>
    </w:p>
    <w:p w14:paraId="0BF59390" w14:textId="09428E01" w:rsidR="003518D3" w:rsidRDefault="003518D3" w:rsidP="003518D3">
      <w:pPr>
        <w:pStyle w:val="Listennummer"/>
        <w:numPr>
          <w:ilvl w:val="1"/>
          <w:numId w:val="10"/>
        </w:numPr>
      </w:pPr>
      <w:r>
        <w:t xml:space="preserve">Reiner „Computercode“, </w:t>
      </w:r>
      <w:proofErr w:type="spellStart"/>
      <w:r>
        <w:t>Coin</w:t>
      </w:r>
      <w:proofErr w:type="spellEnd"/>
      <w:r>
        <w:t xml:space="preserve"> existieren nicht wirklich und können daher gut für </w:t>
      </w:r>
      <w:proofErr w:type="spellStart"/>
      <w:r>
        <w:t>Scams</w:t>
      </w:r>
      <w:proofErr w:type="spellEnd"/>
      <w:r>
        <w:t xml:space="preserve"> verwendet werden</w:t>
      </w:r>
    </w:p>
    <w:p w14:paraId="7E2E06CB" w14:textId="77777777" w:rsidR="00C174C8" w:rsidRDefault="00C174C8" w:rsidP="00C174C8">
      <w:pPr>
        <w:pStyle w:val="Listennummer"/>
      </w:pPr>
      <w:r>
        <w:t>Recherchieren Sie online die Begriffe „Derivat“ und „Hebel“ im Kontext der Börse.</w:t>
      </w:r>
    </w:p>
    <w:p w14:paraId="346A31A2" w14:textId="2476148E" w:rsidR="00571939" w:rsidRDefault="00571939" w:rsidP="00571939">
      <w:pPr>
        <w:pStyle w:val="Listennummer"/>
        <w:numPr>
          <w:ilvl w:val="0"/>
          <w:numId w:val="7"/>
        </w:numPr>
      </w:pPr>
      <w:r w:rsidRPr="00571939">
        <w:t>Ein Derivat ist ein Finanzprodukt, das den Preis eines bestimmten Basiswerts abbildet. Basiswerte sind zum Beispiel</w:t>
      </w:r>
      <w:r>
        <w:t xml:space="preserve"> </w:t>
      </w:r>
      <w:r w:rsidRPr="00571939">
        <w:t>Aktien, Devisen oder Indizes.</w:t>
      </w:r>
    </w:p>
    <w:p w14:paraId="214DCB66" w14:textId="5E3A324B" w:rsidR="00571939" w:rsidRPr="00571939" w:rsidRDefault="00571939" w:rsidP="00571939">
      <w:pPr>
        <w:pStyle w:val="Listennummer"/>
        <w:numPr>
          <w:ilvl w:val="0"/>
          <w:numId w:val="7"/>
        </w:numPr>
      </w:pPr>
      <w:r>
        <w:t xml:space="preserve">Hebelprodukte sind Wertpapiere, welche auf einen verstärkten Kurs setzen, dadurch sind </w:t>
      </w:r>
      <w:proofErr w:type="gramStart"/>
      <w:r>
        <w:t>die Gewinn</w:t>
      </w:r>
      <w:proofErr w:type="gramEnd"/>
      <w:r>
        <w:t xml:space="preserve"> und Verlustchancen höher.</w:t>
      </w:r>
    </w:p>
    <w:p w14:paraId="46C78D49" w14:textId="63649079" w:rsidR="00C174C8" w:rsidRDefault="00C174C8" w:rsidP="00C174C8">
      <w:pPr>
        <w:pStyle w:val="Listennummer"/>
      </w:pPr>
      <w:r>
        <w:t>Welches ist die ideale Anlageklasse zur Altersvorsorge? Begründen Sie.</w:t>
      </w:r>
    </w:p>
    <w:p w14:paraId="62805D9B" w14:textId="6A7D017E" w:rsidR="00F45681" w:rsidRDefault="006F5ED5" w:rsidP="00F45681">
      <w:pPr>
        <w:pStyle w:val="Listennummer"/>
        <w:numPr>
          <w:ilvl w:val="0"/>
          <w:numId w:val="0"/>
        </w:numPr>
        <w:ind w:left="360" w:hanging="360"/>
      </w:pPr>
      <w:r>
        <w:t xml:space="preserve">Mischung aus verschiedenen Anlageklassen. </w:t>
      </w:r>
    </w:p>
    <w:p w14:paraId="1E14AF5F" w14:textId="77777777" w:rsidR="006F5ED5" w:rsidRDefault="006F5ED5" w:rsidP="00F45681">
      <w:pPr>
        <w:pStyle w:val="Listennummer"/>
        <w:numPr>
          <w:ilvl w:val="0"/>
          <w:numId w:val="0"/>
        </w:numPr>
        <w:ind w:left="360" w:hanging="360"/>
      </w:pPr>
      <w:r>
        <w:t xml:space="preserve">Aktien bzw. ETF-Portfolio mit monatlicher Einzahlung: </w:t>
      </w:r>
    </w:p>
    <w:p w14:paraId="5374EC7F" w14:textId="1A989366" w:rsidR="006F5ED5" w:rsidRDefault="006F5ED5" w:rsidP="006F5ED5">
      <w:pPr>
        <w:pStyle w:val="Listennummer"/>
        <w:numPr>
          <w:ilvl w:val="0"/>
          <w:numId w:val="0"/>
        </w:numPr>
        <w:ind w:left="360"/>
      </w:pPr>
      <w:r>
        <w:t>Mischung aus thesaurierend und ausschüttend für steuerlichen Vorteil.</w:t>
      </w:r>
    </w:p>
    <w:p w14:paraId="5247C493" w14:textId="3B451134" w:rsidR="006F5ED5" w:rsidRDefault="006F5ED5" w:rsidP="006F5ED5">
      <w:pPr>
        <w:pStyle w:val="Listennummer"/>
        <w:numPr>
          <w:ilvl w:val="0"/>
          <w:numId w:val="0"/>
        </w:numPr>
        <w:ind w:left="360"/>
      </w:pPr>
      <w:r>
        <w:t>70/30 Aufteilung: MSCI-World/Emerging-</w:t>
      </w:r>
      <w:proofErr w:type="spellStart"/>
      <w:r>
        <w:t>Markets</w:t>
      </w:r>
      <w:proofErr w:type="spellEnd"/>
      <w:r>
        <w:t>, damit der US-Anteil nicht zu stark wird</w:t>
      </w:r>
    </w:p>
    <w:p w14:paraId="368E72B4" w14:textId="139F9BFD" w:rsidR="006F5ED5" w:rsidRDefault="006F5ED5" w:rsidP="006F5ED5">
      <w:pPr>
        <w:pStyle w:val="Listennummer"/>
        <w:numPr>
          <w:ilvl w:val="0"/>
          <w:numId w:val="0"/>
        </w:numPr>
        <w:ind w:left="360"/>
      </w:pPr>
      <w:r>
        <w:t>Einzelne starke „Player“ als Einzelaktien hinzufügen, um höhere Rendite im Jahr zu erzielen, hierzu ausreichend Informieren und anhand verschiedener Kriterien auswählen</w:t>
      </w:r>
    </w:p>
    <w:p w14:paraId="65E4FD18" w14:textId="5636CBF1" w:rsidR="006F5ED5" w:rsidRDefault="006F5ED5" w:rsidP="006F5ED5">
      <w:pPr>
        <w:pStyle w:val="Listennummer"/>
        <w:numPr>
          <w:ilvl w:val="0"/>
          <w:numId w:val="0"/>
        </w:numPr>
        <w:ind w:left="360"/>
      </w:pPr>
      <w:r>
        <w:t>Durch Arbeitgeber (betriebliche Altersvorsorge), da der Arbeitgeber und Nehmer zu gleichen Teilen einzahlen, dadurch ist die monatliche Einzahlung höher.</w:t>
      </w:r>
    </w:p>
    <w:p w14:paraId="4D2A61E1" w14:textId="373D8033" w:rsidR="007B5C60" w:rsidRDefault="006F5ED5" w:rsidP="007B5C60">
      <w:pPr>
        <w:pStyle w:val="Listennummer"/>
        <w:numPr>
          <w:ilvl w:val="0"/>
          <w:numId w:val="0"/>
        </w:numPr>
        <w:ind w:left="360" w:hanging="360"/>
      </w:pPr>
      <w:r>
        <w:t>Zusätzlich Immobilien in sicheren Wohnungsmarkt kaufen und vermieten (hierfür muss einiges an Wissen vorhanden sein</w:t>
      </w:r>
      <w:r w:rsidR="007B5C60">
        <w:t>), hohes Kapital erforderlich bzw. Kredite bei Banken um Immobilie zu finanzieren, hoher administrativer Aufwand.</w:t>
      </w:r>
    </w:p>
    <w:p w14:paraId="708406F4" w14:textId="77777777" w:rsidR="00C174C8" w:rsidRDefault="00C174C8" w:rsidP="00C174C8">
      <w:pPr>
        <w:pStyle w:val="h4"/>
      </w:pPr>
      <w:r>
        <w:lastRenderedPageBreak/>
        <w:t>Anlageklassen – Eine Übersicht</w:t>
      </w:r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0"/>
        <w:gridCol w:w="5493"/>
      </w:tblGrid>
      <w:tr w:rsidR="00C174C8" w14:paraId="5F8ACA13" w14:textId="77777777" w:rsidTr="002326C3">
        <w:trPr>
          <w:trHeight w:val="2098"/>
        </w:trPr>
        <w:tc>
          <w:tcPr>
            <w:tcW w:w="2122" w:type="dxa"/>
          </w:tcPr>
          <w:p w14:paraId="140BABE4" w14:textId="77777777" w:rsidR="00C174C8" w:rsidRPr="003A01C0" w:rsidRDefault="00C174C8" w:rsidP="002326C3">
            <w:pPr>
              <w:jc w:val="center"/>
              <w:rPr>
                <w:rStyle w:val="fettkursiv"/>
              </w:rPr>
            </w:pPr>
            <w:r w:rsidRPr="003A01C0">
              <w:rPr>
                <w:rStyle w:val="fettkursiv"/>
              </w:rPr>
              <w:t>1. Immobilien:</w:t>
            </w:r>
          </w:p>
          <w:p w14:paraId="1ECDF703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3A6C38B6" wp14:editId="64C8745C">
                  <wp:extent cx="1260000" cy="900095"/>
                  <wp:effectExtent l="0" t="0" r="0" b="0"/>
                  <wp:docPr id="63" name="Grafik 63" descr="Ein Bild, das Symbol, Kreis, Muster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fik 63" descr="Ein Bild, das Symbol, Kreis, Muster, Design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5E89F5DF" w14:textId="77777777" w:rsidR="00C174C8" w:rsidRDefault="00C174C8" w:rsidP="00C174C8">
            <w:pPr>
              <w:pStyle w:val="Listenabsatz"/>
              <w:numPr>
                <w:ilvl w:val="0"/>
                <w:numId w:val="2"/>
              </w:numPr>
              <w:ind w:left="170" w:hanging="170"/>
              <w:jc w:val="left"/>
            </w:pPr>
            <w:r>
              <w:t>Hierzu zählen Wohnhäuser und Geschäftsimmobilien.</w:t>
            </w:r>
          </w:p>
          <w:p w14:paraId="6DAA464C" w14:textId="77777777" w:rsidR="00C174C8" w:rsidRDefault="00C174C8" w:rsidP="00C174C8">
            <w:pPr>
              <w:pStyle w:val="Listenabsatz"/>
              <w:numPr>
                <w:ilvl w:val="0"/>
                <w:numId w:val="2"/>
              </w:numPr>
              <w:ind w:left="170" w:hanging="170"/>
              <w:jc w:val="left"/>
            </w:pPr>
            <w:r>
              <w:t>können vermietet werden, um Einnahmen zu erzielen</w:t>
            </w:r>
          </w:p>
          <w:p w14:paraId="3857CD18" w14:textId="77777777" w:rsidR="00C174C8" w:rsidRDefault="00C174C8" w:rsidP="002326C3">
            <w:pPr>
              <w:jc w:val="left"/>
            </w:pPr>
            <w:r w:rsidRPr="00BE2FA2">
              <w:rPr>
                <w:color w:val="00B050"/>
              </w:rPr>
              <w:t>Hauptvorteil</w:t>
            </w:r>
            <w:r>
              <w:t>: vor allem in Großstädten hohe und sichere Einnahmen; auch Verkaufsgewinne möglich</w:t>
            </w:r>
          </w:p>
          <w:p w14:paraId="1B63D262" w14:textId="77777777" w:rsidR="00C174C8" w:rsidRDefault="00C174C8" w:rsidP="002326C3">
            <w:pPr>
              <w:jc w:val="left"/>
            </w:pPr>
            <w:r w:rsidRPr="00BE2FA2">
              <w:rPr>
                <w:color w:val="FF0000"/>
              </w:rPr>
              <w:t>Hauptnachteil</w:t>
            </w:r>
            <w:r>
              <w:t>: hoher Kapitalbedarf (meist Kredite)</w:t>
            </w:r>
          </w:p>
        </w:tc>
      </w:tr>
      <w:tr w:rsidR="00C174C8" w14:paraId="35BE053C" w14:textId="77777777" w:rsidTr="002326C3">
        <w:trPr>
          <w:trHeight w:val="2098"/>
        </w:trPr>
        <w:tc>
          <w:tcPr>
            <w:tcW w:w="2122" w:type="dxa"/>
          </w:tcPr>
          <w:p w14:paraId="6A7717E3" w14:textId="77777777" w:rsidR="00C174C8" w:rsidRDefault="00C174C8" w:rsidP="002326C3">
            <w:pPr>
              <w:spacing w:line="295" w:lineRule="exact"/>
              <w:jc w:val="center"/>
              <w:rPr>
                <w:rFonts w:eastAsia="Calibri"/>
                <w:b/>
                <w:bCs/>
                <w:i/>
                <w:iCs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szCs w:val="18"/>
              </w:rPr>
              <w:t>2. Gold:</w:t>
            </w:r>
          </w:p>
          <w:p w14:paraId="75DC4943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7924C9E1" wp14:editId="1361C27D">
                  <wp:extent cx="1260000" cy="960079"/>
                  <wp:effectExtent l="0" t="0" r="0" b="0"/>
                  <wp:docPr id="96" name="Grafik 96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afik 96" descr="Ein Bild, das Text enthält.&#10;&#10;Automatisch generierte Beschreibu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6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1EF37B77" w14:textId="77777777" w:rsidR="00C174C8" w:rsidRDefault="00C174C8" w:rsidP="00C174C8">
            <w:pPr>
              <w:pStyle w:val="Listenabsatz"/>
              <w:numPr>
                <w:ilvl w:val="0"/>
                <w:numId w:val="3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seit der Antike ein Wertaufbewahrungsmittel</w:t>
            </w:r>
          </w:p>
          <w:p w14:paraId="7DD43BE6" w14:textId="77777777" w:rsidR="00C174C8" w:rsidRDefault="00C174C8" w:rsidP="00C174C8">
            <w:pPr>
              <w:pStyle w:val="Listenabsatz"/>
              <w:numPr>
                <w:ilvl w:val="0"/>
                <w:numId w:val="3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auch Rohstoff für Elektronikprodukte und Schmuck</w:t>
            </w:r>
          </w:p>
          <w:p w14:paraId="520AE52F" w14:textId="77777777" w:rsidR="00C174C8" w:rsidRPr="00BE2FA2" w:rsidRDefault="00C174C8" w:rsidP="002326C3">
            <w:pPr>
              <w:spacing w:line="295" w:lineRule="exact"/>
              <w:jc w:val="left"/>
              <w:rPr>
                <w:rFonts w:eastAsia="Calibri"/>
                <w:szCs w:val="18"/>
              </w:rPr>
            </w:pPr>
            <w:r w:rsidRPr="00BE2FA2">
              <w:rPr>
                <w:rFonts w:eastAsia="Calibri"/>
                <w:color w:val="00B050"/>
                <w:szCs w:val="18"/>
              </w:rPr>
              <w:t>Hauptvorteil</w:t>
            </w:r>
            <w:r w:rsidRPr="00BE2FA2">
              <w:rPr>
                <w:rFonts w:eastAsia="Calibri"/>
                <w:szCs w:val="18"/>
              </w:rPr>
              <w:t>: preisunabhängiger Eigenwert und hoher Preis in Krisenlagen</w:t>
            </w:r>
            <w:r>
              <w:rPr>
                <w:rFonts w:eastAsia="Calibri"/>
                <w:szCs w:val="18"/>
              </w:rPr>
              <w:t>:</w:t>
            </w:r>
            <w:r w:rsidRPr="00BE2FA2">
              <w:rPr>
                <w:rFonts w:eastAsia="Calibri"/>
                <w:szCs w:val="18"/>
              </w:rPr>
              <w:t xml:space="preserve"> gut für Vermögensabsicherung</w:t>
            </w:r>
          </w:p>
          <w:p w14:paraId="07071505" w14:textId="77777777" w:rsidR="00C174C8" w:rsidRDefault="00C174C8" w:rsidP="002326C3">
            <w:pPr>
              <w:spacing w:line="295" w:lineRule="exact"/>
              <w:jc w:val="left"/>
            </w:pPr>
            <w:r w:rsidRPr="00BE2FA2">
              <w:rPr>
                <w:rFonts w:eastAsia="Calibri"/>
                <w:color w:val="FF0000"/>
                <w:szCs w:val="18"/>
              </w:rPr>
              <w:t>Hauptnachteil</w:t>
            </w:r>
            <w:r w:rsidRPr="00BE2FA2">
              <w:rPr>
                <w:rFonts w:eastAsia="Calibri"/>
                <w:szCs w:val="18"/>
              </w:rPr>
              <w:t xml:space="preserve">: </w:t>
            </w:r>
            <w:r>
              <w:rPr>
                <w:rFonts w:eastAsia="Calibri"/>
                <w:szCs w:val="18"/>
              </w:rPr>
              <w:t>s</w:t>
            </w:r>
            <w:r w:rsidRPr="00BE2FA2">
              <w:rPr>
                <w:rFonts w:eastAsia="Calibri"/>
                <w:szCs w:val="18"/>
              </w:rPr>
              <w:t>tarke Preisschwankungen</w:t>
            </w:r>
          </w:p>
        </w:tc>
      </w:tr>
      <w:tr w:rsidR="00C174C8" w14:paraId="23FF16E3" w14:textId="77777777" w:rsidTr="002326C3">
        <w:trPr>
          <w:trHeight w:val="2098"/>
        </w:trPr>
        <w:tc>
          <w:tcPr>
            <w:tcW w:w="2122" w:type="dxa"/>
          </w:tcPr>
          <w:p w14:paraId="55DB8CE9" w14:textId="77777777" w:rsidR="00C174C8" w:rsidRDefault="00C174C8" w:rsidP="002326C3">
            <w:pPr>
              <w:spacing w:line="295" w:lineRule="exact"/>
              <w:jc w:val="center"/>
              <w:rPr>
                <w:rFonts w:eastAsia="Calibri"/>
                <w:b/>
                <w:bCs/>
                <w:i/>
                <w:iCs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szCs w:val="18"/>
              </w:rPr>
              <w:t>3. Anleihen:</w:t>
            </w:r>
          </w:p>
          <w:p w14:paraId="62B9B6BC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286EF1BB" wp14:editId="433C4EE0">
                  <wp:extent cx="1260000" cy="839950"/>
                  <wp:effectExtent l="0" t="0" r="0" b="0"/>
                  <wp:docPr id="97" name="Grafik 97" descr="Ein Bild, das Gras, Himmel, draußen, Gebäud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afik 97" descr="Ein Bild, das Gras, Himmel, draußen, Gebäude enthält.&#10;&#10;Automatisch generierte Beschreibu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09A44050" w14:textId="77777777" w:rsidR="00C174C8" w:rsidRDefault="00C174C8" w:rsidP="00C174C8">
            <w:pPr>
              <w:pStyle w:val="Listenabsatz"/>
              <w:numPr>
                <w:ilvl w:val="0"/>
                <w:numId w:val="4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werden von Staaten und Unternehmen ausgegeben</w:t>
            </w:r>
          </w:p>
          <w:p w14:paraId="7D43F3C2" w14:textId="77777777" w:rsidR="00C174C8" w:rsidRDefault="00C174C8" w:rsidP="00C174C8">
            <w:pPr>
              <w:pStyle w:val="Listenabsatz"/>
              <w:numPr>
                <w:ilvl w:val="0"/>
                <w:numId w:val="4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e</w:t>
            </w:r>
            <w:r w:rsidRPr="00CC7558">
              <w:rPr>
                <w:rFonts w:eastAsia="Calibri"/>
                <w:szCs w:val="18"/>
              </w:rPr>
              <w:t>ine Form des Kredits:</w:t>
            </w:r>
            <w:r>
              <w:rPr>
                <w:rFonts w:eastAsia="Calibri"/>
                <w:szCs w:val="18"/>
              </w:rPr>
              <w:t xml:space="preserve"> </w:t>
            </w:r>
            <w:r w:rsidRPr="00CC7558">
              <w:rPr>
                <w:rFonts w:eastAsia="Calibri"/>
                <w:szCs w:val="18"/>
              </w:rPr>
              <w:t xml:space="preserve">Anleihen </w:t>
            </w:r>
            <w:proofErr w:type="gramStart"/>
            <w:r w:rsidRPr="00CC7558">
              <w:rPr>
                <w:rFonts w:eastAsia="Calibri"/>
                <w:szCs w:val="18"/>
              </w:rPr>
              <w:t>können</w:t>
            </w:r>
            <w:proofErr w:type="gramEnd"/>
            <w:r>
              <w:rPr>
                <w:rFonts w:eastAsia="Calibri"/>
                <w:szCs w:val="18"/>
              </w:rPr>
              <w:t xml:space="preserve"> wie Aktien</w:t>
            </w:r>
            <w:r w:rsidRPr="00CC7558">
              <w:rPr>
                <w:rFonts w:eastAsia="Calibri"/>
                <w:szCs w:val="18"/>
              </w:rPr>
              <w:t xml:space="preserve"> weiterverkauft werden, sodass der Gläubiger wechselt</w:t>
            </w:r>
          </w:p>
          <w:p w14:paraId="32EB4A3F" w14:textId="77777777" w:rsidR="00C174C8" w:rsidRPr="00BE2FA2" w:rsidRDefault="00C174C8" w:rsidP="002326C3">
            <w:pPr>
              <w:spacing w:line="295" w:lineRule="exact"/>
              <w:jc w:val="left"/>
              <w:rPr>
                <w:rFonts w:eastAsia="Calibri"/>
                <w:szCs w:val="18"/>
              </w:rPr>
            </w:pPr>
            <w:r w:rsidRPr="00BE2FA2">
              <w:rPr>
                <w:rFonts w:eastAsia="Calibri"/>
                <w:color w:val="00B050"/>
                <w:szCs w:val="18"/>
              </w:rPr>
              <w:t>Hauptvorteil</w:t>
            </w:r>
            <w:r w:rsidRPr="00BE2FA2">
              <w:rPr>
                <w:rFonts w:eastAsia="Calibri"/>
                <w:szCs w:val="18"/>
              </w:rPr>
              <w:t xml:space="preserve">: </w:t>
            </w:r>
            <w:r>
              <w:rPr>
                <w:rFonts w:eastAsia="Calibri"/>
                <w:szCs w:val="18"/>
              </w:rPr>
              <w:t>f</w:t>
            </w:r>
            <w:r w:rsidRPr="00BE2FA2">
              <w:rPr>
                <w:rFonts w:eastAsia="Calibri"/>
                <w:szCs w:val="18"/>
              </w:rPr>
              <w:t>este Zinseinnahmen</w:t>
            </w:r>
          </w:p>
          <w:p w14:paraId="078C149A" w14:textId="77777777" w:rsidR="00C174C8" w:rsidRDefault="00C174C8" w:rsidP="002326C3">
            <w:pPr>
              <w:spacing w:line="295" w:lineRule="exact"/>
              <w:jc w:val="left"/>
            </w:pPr>
            <w:r w:rsidRPr="00BE2FA2">
              <w:rPr>
                <w:rFonts w:eastAsia="Calibri"/>
                <w:color w:val="FF0000"/>
                <w:szCs w:val="18"/>
              </w:rPr>
              <w:t>Hauptnachteil</w:t>
            </w:r>
            <w:r w:rsidRPr="00BE2FA2">
              <w:rPr>
                <w:rFonts w:eastAsia="Calibri"/>
                <w:szCs w:val="18"/>
              </w:rPr>
              <w:t xml:space="preserve">: </w:t>
            </w:r>
            <w:r>
              <w:rPr>
                <w:rFonts w:eastAsia="Calibri"/>
                <w:szCs w:val="18"/>
              </w:rPr>
              <w:t>n</w:t>
            </w:r>
            <w:r w:rsidRPr="00BE2FA2">
              <w:rPr>
                <w:rFonts w:eastAsia="Calibri"/>
                <w:szCs w:val="18"/>
              </w:rPr>
              <w:t>iedrige Einnahmen bei sicheren Staatsanleihen, Insolvenzgefahr bei Firmenanleihen</w:t>
            </w:r>
          </w:p>
        </w:tc>
      </w:tr>
      <w:tr w:rsidR="00C174C8" w14:paraId="640D1AC7" w14:textId="77777777" w:rsidTr="002326C3">
        <w:trPr>
          <w:trHeight w:val="2098"/>
        </w:trPr>
        <w:tc>
          <w:tcPr>
            <w:tcW w:w="2122" w:type="dxa"/>
          </w:tcPr>
          <w:p w14:paraId="0C1DCC1F" w14:textId="77777777" w:rsidR="00C174C8" w:rsidRDefault="00C174C8" w:rsidP="002326C3">
            <w:pPr>
              <w:spacing w:line="295" w:lineRule="exact"/>
              <w:jc w:val="center"/>
              <w:rPr>
                <w:rFonts w:eastAsia="Calibri"/>
                <w:b/>
                <w:bCs/>
                <w:i/>
                <w:iCs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szCs w:val="18"/>
              </w:rPr>
              <w:t>4. Kryptowährungen:</w:t>
            </w:r>
          </w:p>
          <w:p w14:paraId="6E2C89F1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7BAACD33" wp14:editId="628F17F5">
                  <wp:extent cx="1260000" cy="835650"/>
                  <wp:effectExtent l="0" t="0" r="0" b="3175"/>
                  <wp:docPr id="98" name="Grafik 98" descr="Ein Bild, das Text, Emblem, Kreis, Währung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afik 98" descr="Ein Bild, das Text, Emblem, Kreis, Währung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3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3DB4C3BC" w14:textId="77777777" w:rsidR="00C174C8" w:rsidRDefault="00C174C8" w:rsidP="00C174C8">
            <w:pPr>
              <w:pStyle w:val="Listenabsatz"/>
              <w:numPr>
                <w:ilvl w:val="0"/>
                <w:numId w:val="5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 xml:space="preserve">digitale Vermögenswerte, </w:t>
            </w:r>
            <w:r w:rsidRPr="009728EF">
              <w:rPr>
                <w:rFonts w:eastAsia="Calibri"/>
                <w:szCs w:val="18"/>
              </w:rPr>
              <w:t xml:space="preserve">dezentral und </w:t>
            </w:r>
            <w:r>
              <w:rPr>
                <w:rFonts w:eastAsia="Calibri"/>
                <w:szCs w:val="18"/>
              </w:rPr>
              <w:t>fälschungs</w:t>
            </w:r>
            <w:r w:rsidRPr="009728EF">
              <w:rPr>
                <w:rFonts w:eastAsia="Calibri"/>
                <w:szCs w:val="18"/>
              </w:rPr>
              <w:t>sicher gespeichert</w:t>
            </w:r>
          </w:p>
          <w:p w14:paraId="5AC5CD66" w14:textId="77777777" w:rsidR="00C174C8" w:rsidRDefault="00C174C8" w:rsidP="00C174C8">
            <w:pPr>
              <w:pStyle w:val="Listenabsatz"/>
              <w:numPr>
                <w:ilvl w:val="0"/>
                <w:numId w:val="5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im engeren Sinn keine Währung, sondern ein Wertaufbewahrungsmittel ohne eigenen Wert</w:t>
            </w:r>
          </w:p>
          <w:p w14:paraId="7165B48B" w14:textId="77777777" w:rsidR="00C174C8" w:rsidRPr="00BE2FA2" w:rsidRDefault="00C174C8" w:rsidP="002326C3">
            <w:pPr>
              <w:spacing w:line="295" w:lineRule="exact"/>
              <w:jc w:val="left"/>
              <w:rPr>
                <w:rFonts w:eastAsia="Calibri"/>
                <w:szCs w:val="18"/>
              </w:rPr>
            </w:pPr>
            <w:r w:rsidRPr="00BE2FA2">
              <w:rPr>
                <w:rFonts w:eastAsia="Calibri"/>
                <w:color w:val="00B050"/>
                <w:szCs w:val="18"/>
              </w:rPr>
              <w:t>Hauptvorteil</w:t>
            </w:r>
            <w:r w:rsidRPr="00BE2FA2">
              <w:rPr>
                <w:rFonts w:eastAsia="Calibri"/>
                <w:szCs w:val="18"/>
              </w:rPr>
              <w:t>: Dezentrale, bankenferne Verwaltung</w:t>
            </w:r>
          </w:p>
          <w:p w14:paraId="65CC2750" w14:textId="77777777" w:rsidR="00C174C8" w:rsidRDefault="00C174C8" w:rsidP="002326C3">
            <w:pPr>
              <w:spacing w:line="295" w:lineRule="exact"/>
              <w:jc w:val="left"/>
            </w:pPr>
            <w:r w:rsidRPr="00BE2FA2">
              <w:rPr>
                <w:rFonts w:eastAsia="Calibri"/>
                <w:color w:val="FF0000"/>
                <w:szCs w:val="18"/>
              </w:rPr>
              <w:t>Hauptnachteil</w:t>
            </w:r>
            <w:r w:rsidRPr="00BE2FA2">
              <w:rPr>
                <w:rFonts w:eastAsia="Calibri"/>
                <w:szCs w:val="18"/>
              </w:rPr>
              <w:t>: Kein realer Sachwert, pure Spekulation</w:t>
            </w:r>
          </w:p>
        </w:tc>
      </w:tr>
    </w:tbl>
    <w:p w14:paraId="65C921A7" w14:textId="77777777" w:rsidR="00C174C8" w:rsidRPr="00BE2FA2" w:rsidRDefault="00C174C8" w:rsidP="00C174C8">
      <w:pPr>
        <w:pStyle w:val="B10Quellenangabe"/>
      </w:pPr>
      <w:r>
        <w:t xml:space="preserve">Bilder: Reichstag und Münzen © Adobe Stock, restliche: </w:t>
      </w:r>
      <w:proofErr w:type="spellStart"/>
      <w:r>
        <w:t>Colourbox</w:t>
      </w:r>
      <w:proofErr w:type="spellEnd"/>
    </w:p>
    <w:p w14:paraId="5ACDB2A4" w14:textId="4C34E642" w:rsidR="00D0702C" w:rsidRDefault="00D0702C" w:rsidP="00C174C8">
      <w:pPr>
        <w:pStyle w:val="G0BasisformatGrundschrift"/>
      </w:pPr>
    </w:p>
    <w:sectPr w:rsidR="00D0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9E8276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43073"/>
    <w:multiLevelType w:val="hybridMultilevel"/>
    <w:tmpl w:val="E6F60874"/>
    <w:lvl w:ilvl="0" w:tplc="B8E6F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EB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2CA8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8D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54D2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2C8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C6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E04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589B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6629EA"/>
    <w:multiLevelType w:val="multilevel"/>
    <w:tmpl w:val="410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6057"/>
    <w:multiLevelType w:val="hybridMultilevel"/>
    <w:tmpl w:val="1602BD88"/>
    <w:lvl w:ilvl="0" w:tplc="B16606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7519A"/>
    <w:multiLevelType w:val="hybridMultilevel"/>
    <w:tmpl w:val="61B4ACC6"/>
    <w:lvl w:ilvl="0" w:tplc="A2004E7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E2600"/>
    <w:multiLevelType w:val="hybridMultilevel"/>
    <w:tmpl w:val="0EEA7FF2"/>
    <w:lvl w:ilvl="0" w:tplc="E47AD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3A0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462F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72F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2C3F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9E9B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E49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F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261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1C75748"/>
    <w:multiLevelType w:val="hybridMultilevel"/>
    <w:tmpl w:val="2BCE0D08"/>
    <w:lvl w:ilvl="0" w:tplc="133AF50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B539B"/>
    <w:multiLevelType w:val="hybridMultilevel"/>
    <w:tmpl w:val="4BE03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F66DA"/>
    <w:multiLevelType w:val="hybridMultilevel"/>
    <w:tmpl w:val="0DACD41C"/>
    <w:lvl w:ilvl="0" w:tplc="BDA62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EE6A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E01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128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84CA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EE90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DC5E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48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B25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51871579">
    <w:abstractNumId w:val="0"/>
    <w:lvlOverride w:ilvl="0">
      <w:startOverride w:val="1"/>
    </w:lvlOverride>
  </w:num>
  <w:num w:numId="2" w16cid:durableId="1256287898">
    <w:abstractNumId w:val="7"/>
  </w:num>
  <w:num w:numId="3" w16cid:durableId="256331499">
    <w:abstractNumId w:val="5"/>
  </w:num>
  <w:num w:numId="4" w16cid:durableId="1074475427">
    <w:abstractNumId w:val="8"/>
  </w:num>
  <w:num w:numId="5" w16cid:durableId="1547839349">
    <w:abstractNumId w:val="1"/>
  </w:num>
  <w:num w:numId="6" w16cid:durableId="99301727">
    <w:abstractNumId w:val="0"/>
  </w:num>
  <w:num w:numId="7" w16cid:durableId="1519927365">
    <w:abstractNumId w:val="3"/>
  </w:num>
  <w:num w:numId="8" w16cid:durableId="1976058110">
    <w:abstractNumId w:val="2"/>
  </w:num>
  <w:num w:numId="9" w16cid:durableId="1205405687">
    <w:abstractNumId w:val="4"/>
  </w:num>
  <w:num w:numId="10" w16cid:durableId="1094784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8"/>
    <w:rsid w:val="00051389"/>
    <w:rsid w:val="003518D3"/>
    <w:rsid w:val="00571939"/>
    <w:rsid w:val="006F5ED5"/>
    <w:rsid w:val="007B5C60"/>
    <w:rsid w:val="007D3EEE"/>
    <w:rsid w:val="00C174C8"/>
    <w:rsid w:val="00D0702C"/>
    <w:rsid w:val="00D36466"/>
    <w:rsid w:val="00F4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3946"/>
  <w15:chartTrackingRefBased/>
  <w15:docId w15:val="{5FF74408-0C5E-4A01-9B84-0E4039B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4C8"/>
    <w:pPr>
      <w:spacing w:after="0" w:line="295" w:lineRule="atLeast"/>
      <w:jc w:val="both"/>
    </w:pPr>
    <w:rPr>
      <w:rFonts w:ascii="Segoe UI" w:hAnsi="Segoe UI"/>
      <w:kern w:val="0"/>
      <w:sz w:val="18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4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4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4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4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4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4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4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4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4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4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4C8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174C8"/>
    <w:rPr>
      <w:b/>
      <w:bCs/>
    </w:rPr>
  </w:style>
  <w:style w:type="paragraph" w:customStyle="1" w:styleId="h2">
    <w:name w:val="h2"/>
    <w:basedOn w:val="berschrift2"/>
    <w:next w:val="G0BasisformatGrundschrift"/>
    <w:qFormat/>
    <w:rsid w:val="00C174C8"/>
    <w:pPr>
      <w:spacing w:before="0" w:after="170" w:line="390" w:lineRule="exact"/>
    </w:pPr>
    <w:rPr>
      <w:rFonts w:ascii="Segoe UI" w:hAnsi="Segoe UI"/>
      <w:b/>
      <w:color w:val="auto"/>
      <w:sz w:val="28"/>
      <w:szCs w:val="26"/>
    </w:rPr>
  </w:style>
  <w:style w:type="table" w:styleId="Tabellenraster">
    <w:name w:val="Table Grid"/>
    <w:basedOn w:val="NormaleTabelle"/>
    <w:uiPriority w:val="39"/>
    <w:rsid w:val="00C174C8"/>
    <w:pPr>
      <w:spacing w:before="60" w:after="6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4GrundschriftMarginalie">
    <w:name w:val="G4 Grundschrift | Marginalie"/>
    <w:qFormat/>
    <w:rsid w:val="00C174C8"/>
    <w:pPr>
      <w:framePr w:w="1786" w:hSpace="284" w:wrap="notBeside" w:vAnchor="text" w:hAnchor="page" w:xAlign="outside" w:y="1" w:anchorLock="1"/>
      <w:spacing w:after="0" w:line="295" w:lineRule="atLeast"/>
    </w:pPr>
    <w:rPr>
      <w:rFonts w:ascii="Segoe UI" w:hAnsi="Segoe UI"/>
      <w:kern w:val="0"/>
      <w:sz w:val="18"/>
      <w14:ligatures w14:val="none"/>
    </w:rPr>
  </w:style>
  <w:style w:type="paragraph" w:customStyle="1" w:styleId="G0BasisformatGrundschrift">
    <w:name w:val="G0 Basisformat_Grundschrift"/>
    <w:basedOn w:val="Standard"/>
    <w:link w:val="G0BasisformatGrundschriftZchn"/>
    <w:uiPriority w:val="99"/>
    <w:qFormat/>
    <w:rsid w:val="00C174C8"/>
    <w:rPr>
      <w:rFonts w:cs="Segoe UI"/>
      <w:szCs w:val="18"/>
    </w:rPr>
  </w:style>
  <w:style w:type="paragraph" w:customStyle="1" w:styleId="h4">
    <w:name w:val="h4"/>
    <w:basedOn w:val="berschrift4"/>
    <w:next w:val="G0BasisformatGrundschrift"/>
    <w:qFormat/>
    <w:rsid w:val="00C174C8"/>
    <w:pPr>
      <w:spacing w:before="295" w:after="0" w:line="295" w:lineRule="exact"/>
    </w:pPr>
    <w:rPr>
      <w:b/>
      <w:i w:val="0"/>
      <w:color w:val="auto"/>
    </w:rPr>
  </w:style>
  <w:style w:type="paragraph" w:customStyle="1" w:styleId="B10Quellenangabe">
    <w:name w:val="B10 Quellenangabe"/>
    <w:basedOn w:val="Standard"/>
    <w:qFormat/>
    <w:rsid w:val="00C174C8"/>
    <w:pPr>
      <w:spacing w:line="240" w:lineRule="auto"/>
      <w:jc w:val="left"/>
    </w:pPr>
    <w:rPr>
      <w:rFonts w:cstheme="minorHAnsi"/>
      <w:i/>
      <w:iCs/>
      <w:sz w:val="16"/>
      <w:szCs w:val="18"/>
    </w:rPr>
  </w:style>
  <w:style w:type="paragraph" w:styleId="Listennummer">
    <w:name w:val="List Number"/>
    <w:basedOn w:val="Standard"/>
    <w:qFormat/>
    <w:rsid w:val="00C174C8"/>
    <w:pPr>
      <w:numPr>
        <w:numId w:val="1"/>
      </w:numPr>
      <w:contextualSpacing/>
      <w:jc w:val="left"/>
    </w:pPr>
  </w:style>
  <w:style w:type="character" w:customStyle="1" w:styleId="fettkursiv">
    <w:name w:val="fettkursiv"/>
    <w:basedOn w:val="Fett"/>
    <w:uiPriority w:val="1"/>
    <w:qFormat/>
    <w:rsid w:val="00C174C8"/>
    <w:rPr>
      <w:b/>
      <w:bCs/>
      <w:i/>
    </w:rPr>
  </w:style>
  <w:style w:type="character" w:customStyle="1" w:styleId="G0BasisformatGrundschriftZchn">
    <w:name w:val="G0 Basisformat_Grundschrift Zchn"/>
    <w:basedOn w:val="Absatz-Standardschriftart"/>
    <w:link w:val="G0BasisformatGrundschrift"/>
    <w:uiPriority w:val="99"/>
    <w:rsid w:val="00C174C8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Fabian</dc:creator>
  <cp:keywords/>
  <dc:description/>
  <cp:lastModifiedBy>Leufen, Lukas</cp:lastModifiedBy>
  <cp:revision>4</cp:revision>
  <dcterms:created xsi:type="dcterms:W3CDTF">2024-03-04T20:21:00Z</dcterms:created>
  <dcterms:modified xsi:type="dcterms:W3CDTF">2024-03-12T11:53:00Z</dcterms:modified>
</cp:coreProperties>
</file>